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181" w:rsidRPr="00AE1444" w:rsidRDefault="00B5707B" w:rsidP="00511181">
      <w:pPr>
        <w:jc w:val="right"/>
        <w:rPr>
          <w:rFonts w:cs="Times New Roman,Bold"/>
          <w:bCs/>
        </w:rPr>
      </w:pPr>
      <w:r w:rsidRPr="00AE1444">
        <w:rPr>
          <w:rFonts w:cs="Times New Roman,Bold"/>
          <w:bCs/>
        </w:rPr>
        <w:t xml:space="preserve">                                              </w:t>
      </w:r>
      <w:r w:rsidR="00511181" w:rsidRPr="00AE1444">
        <w:rPr>
          <w:rFonts w:cs="Times New Roman,Bold"/>
          <w:bCs/>
        </w:rPr>
        <w:t xml:space="preserve">УТВЕРЖДЕНО </w:t>
      </w:r>
    </w:p>
    <w:p w:rsidR="00511181" w:rsidRPr="00AE1444" w:rsidRDefault="00511181" w:rsidP="00511181">
      <w:pPr>
        <w:jc w:val="right"/>
        <w:rPr>
          <w:rFonts w:cs="Times New Roman,Bold"/>
          <w:bCs/>
        </w:rPr>
      </w:pPr>
      <w:r w:rsidRPr="00AE1444">
        <w:rPr>
          <w:rFonts w:cs="Times New Roman,Bold"/>
          <w:bCs/>
        </w:rPr>
        <w:t xml:space="preserve">распоряжением Контрольно-счетного органа </w:t>
      </w:r>
    </w:p>
    <w:p w:rsidR="00511181" w:rsidRPr="00AE1444" w:rsidRDefault="00511181" w:rsidP="00511181">
      <w:pPr>
        <w:jc w:val="right"/>
        <w:rPr>
          <w:rFonts w:cs="Times New Roman,Bold"/>
          <w:bCs/>
        </w:rPr>
      </w:pPr>
      <w:r w:rsidRPr="00AE1444">
        <w:rPr>
          <w:rFonts w:cs="Times New Roman,Bold"/>
          <w:bCs/>
        </w:rPr>
        <w:t xml:space="preserve">Приозерского муниципального района </w:t>
      </w:r>
    </w:p>
    <w:p w:rsidR="00511181" w:rsidRPr="00AE1444" w:rsidRDefault="00511181" w:rsidP="00511181">
      <w:pPr>
        <w:jc w:val="right"/>
        <w:rPr>
          <w:rFonts w:cs="Times New Roman,Bold"/>
          <w:bCs/>
        </w:rPr>
      </w:pPr>
      <w:r w:rsidRPr="00AE1444">
        <w:rPr>
          <w:rFonts w:cs="Times New Roman,Bold"/>
          <w:bCs/>
        </w:rPr>
        <w:t xml:space="preserve">Ленинградской области </w:t>
      </w:r>
    </w:p>
    <w:p w:rsidR="007A4002" w:rsidRPr="00AE1444" w:rsidRDefault="0086469F" w:rsidP="00511181">
      <w:pPr>
        <w:jc w:val="right"/>
        <w:rPr>
          <w:noProof/>
        </w:rPr>
      </w:pPr>
      <w:r>
        <w:rPr>
          <w:rFonts w:cs="Times New Roman,Bold"/>
          <w:bCs/>
        </w:rPr>
        <w:t>от 17.04.2023 г№ 3</w:t>
      </w:r>
      <w:r w:rsidR="00F82825">
        <w:rPr>
          <w:rFonts w:cs="Times New Roman,Bold"/>
          <w:bCs/>
        </w:rPr>
        <w:t>5</w:t>
      </w:r>
      <w:bookmarkStart w:id="0" w:name="_GoBack"/>
      <w:bookmarkEnd w:id="0"/>
      <w:r w:rsidR="00511181" w:rsidRPr="00AE1444">
        <w:rPr>
          <w:rFonts w:cs="Times New Roman,Bold"/>
          <w:bCs/>
        </w:rPr>
        <w:t xml:space="preserve">-р </w:t>
      </w:r>
    </w:p>
    <w:p w:rsidR="00511181" w:rsidRPr="00AE1444" w:rsidRDefault="00AE1444" w:rsidP="00511181">
      <w:pPr>
        <w:jc w:val="right"/>
        <w:rPr>
          <w:noProof/>
        </w:rPr>
      </w:pPr>
      <w:r w:rsidRPr="00AE1444">
        <w:rPr>
          <w:noProof/>
        </w:rPr>
        <w:t>приложение 1</w:t>
      </w:r>
    </w:p>
    <w:p w:rsidR="00511181" w:rsidRPr="00AE1444" w:rsidRDefault="00511181" w:rsidP="00511181">
      <w:pPr>
        <w:rPr>
          <w:noProof/>
        </w:rPr>
      </w:pPr>
    </w:p>
    <w:p w:rsidR="00511181" w:rsidRDefault="00511181" w:rsidP="00511181">
      <w:pPr>
        <w:rPr>
          <w:noProof/>
        </w:rPr>
      </w:pPr>
    </w:p>
    <w:p w:rsidR="00AE1444" w:rsidRDefault="00AE1444" w:rsidP="00511181">
      <w:pPr>
        <w:rPr>
          <w:noProof/>
        </w:rPr>
      </w:pPr>
    </w:p>
    <w:p w:rsidR="00B5707B" w:rsidRDefault="00671461" w:rsidP="00671461">
      <w:pPr>
        <w:autoSpaceDE w:val="0"/>
        <w:autoSpaceDN w:val="0"/>
        <w:adjustRightInd w:val="0"/>
        <w:spacing w:line="240" w:lineRule="atLeast"/>
        <w:outlineLvl w:val="0"/>
        <w:rPr>
          <w:rFonts w:cs="Times New Roman,Bold"/>
          <w:b/>
          <w:bCs/>
          <w:sz w:val="28"/>
          <w:szCs w:val="32"/>
        </w:rPr>
      </w:pPr>
      <w:r>
        <w:rPr>
          <w:rFonts w:cs="Times New Roman,Bold"/>
          <w:b/>
          <w:bCs/>
          <w:sz w:val="28"/>
          <w:szCs w:val="32"/>
        </w:rPr>
        <w:t xml:space="preserve">                      </w:t>
      </w:r>
      <w:r w:rsidR="00511181">
        <w:rPr>
          <w:rFonts w:cs="Times New Roman,Bold"/>
          <w:b/>
          <w:bCs/>
          <w:sz w:val="28"/>
          <w:szCs w:val="32"/>
        </w:rPr>
        <w:t xml:space="preserve">                               </w:t>
      </w:r>
      <w:r>
        <w:rPr>
          <w:rFonts w:cs="Times New Roman,Bold"/>
          <w:b/>
          <w:bCs/>
          <w:sz w:val="28"/>
          <w:szCs w:val="32"/>
        </w:rPr>
        <w:t xml:space="preserve">    </w:t>
      </w:r>
      <w:r w:rsidR="00B5707B" w:rsidRPr="008D49D2">
        <w:rPr>
          <w:rFonts w:cs="Times New Roman,Bold"/>
          <w:b/>
          <w:bCs/>
          <w:sz w:val="28"/>
          <w:szCs w:val="32"/>
        </w:rPr>
        <w:t>ОТЧЕТ</w:t>
      </w:r>
    </w:p>
    <w:p w:rsidR="00B5707B" w:rsidRPr="008D49D2" w:rsidRDefault="00B5707B" w:rsidP="007A4002">
      <w:pPr>
        <w:autoSpaceDE w:val="0"/>
        <w:autoSpaceDN w:val="0"/>
        <w:adjustRightInd w:val="0"/>
        <w:spacing w:line="120" w:lineRule="auto"/>
        <w:jc w:val="center"/>
        <w:outlineLvl w:val="0"/>
        <w:rPr>
          <w:rFonts w:cs="Times New Roman,Bold"/>
          <w:b/>
          <w:bCs/>
          <w:sz w:val="28"/>
          <w:szCs w:val="32"/>
        </w:rPr>
      </w:pPr>
    </w:p>
    <w:p w:rsidR="00F444F5" w:rsidRPr="002E4198" w:rsidRDefault="00F444F5" w:rsidP="00F444F5">
      <w:pPr>
        <w:autoSpaceDE w:val="0"/>
        <w:autoSpaceDN w:val="0"/>
        <w:adjustRightInd w:val="0"/>
        <w:spacing w:line="240" w:lineRule="atLeast"/>
        <w:jc w:val="center"/>
        <w:outlineLvl w:val="0"/>
        <w:rPr>
          <w:b/>
          <w:bCs/>
          <w:sz w:val="25"/>
          <w:szCs w:val="25"/>
        </w:rPr>
      </w:pPr>
      <w:r w:rsidRPr="002E4198">
        <w:rPr>
          <w:rFonts w:cs="Times New Roman,Bold"/>
          <w:b/>
          <w:bCs/>
          <w:sz w:val="25"/>
          <w:szCs w:val="25"/>
        </w:rPr>
        <w:t>о проведени</w:t>
      </w:r>
      <w:r w:rsidR="00774D40">
        <w:rPr>
          <w:rFonts w:cs="Times New Roman,Bold"/>
          <w:b/>
          <w:bCs/>
          <w:sz w:val="25"/>
          <w:szCs w:val="25"/>
        </w:rPr>
        <w:t>и</w:t>
      </w:r>
      <w:r w:rsidRPr="002E4198">
        <w:rPr>
          <w:rFonts w:cs="Times New Roman,Bold"/>
          <w:b/>
          <w:bCs/>
          <w:sz w:val="25"/>
          <w:szCs w:val="25"/>
        </w:rPr>
        <w:t xml:space="preserve"> экспертно-аналитического мероприятия:  </w:t>
      </w:r>
      <w:r w:rsidRPr="002E4198">
        <w:rPr>
          <w:b/>
          <w:bCs/>
          <w:sz w:val="25"/>
          <w:szCs w:val="25"/>
        </w:rPr>
        <w:t>«Мониторинг эффективности использования бюджетных средств, направл</w:t>
      </w:r>
      <w:r w:rsidR="00464F39">
        <w:rPr>
          <w:b/>
          <w:bCs/>
          <w:sz w:val="25"/>
          <w:szCs w:val="25"/>
        </w:rPr>
        <w:t>енных</w:t>
      </w:r>
      <w:r w:rsidRPr="002E4198">
        <w:rPr>
          <w:b/>
          <w:bCs/>
          <w:sz w:val="25"/>
          <w:szCs w:val="25"/>
        </w:rPr>
        <w:t xml:space="preserve"> на закупку товаров, работ и услуг для  </w:t>
      </w:r>
      <w:r w:rsidR="009F7704">
        <w:rPr>
          <w:b/>
          <w:bCs/>
          <w:sz w:val="25"/>
          <w:szCs w:val="25"/>
        </w:rPr>
        <w:t xml:space="preserve">обеспечения </w:t>
      </w:r>
      <w:r w:rsidRPr="002E4198">
        <w:rPr>
          <w:b/>
          <w:bCs/>
          <w:sz w:val="25"/>
          <w:szCs w:val="25"/>
        </w:rPr>
        <w:t xml:space="preserve">муниципальных нужд </w:t>
      </w:r>
      <w:r w:rsidR="009F7704">
        <w:rPr>
          <w:b/>
          <w:bCs/>
          <w:sz w:val="25"/>
          <w:szCs w:val="25"/>
        </w:rPr>
        <w:t xml:space="preserve">администрациями </w:t>
      </w:r>
      <w:r w:rsidRPr="002E4198">
        <w:rPr>
          <w:b/>
          <w:bCs/>
          <w:sz w:val="25"/>
          <w:szCs w:val="25"/>
        </w:rPr>
        <w:t>городски</w:t>
      </w:r>
      <w:r w:rsidR="009F7704">
        <w:rPr>
          <w:b/>
          <w:bCs/>
          <w:sz w:val="25"/>
          <w:szCs w:val="25"/>
        </w:rPr>
        <w:t>х</w:t>
      </w:r>
      <w:r w:rsidRPr="002E4198">
        <w:rPr>
          <w:b/>
          <w:bCs/>
          <w:sz w:val="25"/>
          <w:szCs w:val="25"/>
        </w:rPr>
        <w:t xml:space="preserve"> и сельски</w:t>
      </w:r>
      <w:r w:rsidR="009F7704">
        <w:rPr>
          <w:b/>
          <w:bCs/>
          <w:sz w:val="25"/>
          <w:szCs w:val="25"/>
        </w:rPr>
        <w:t>х поселений</w:t>
      </w:r>
      <w:r w:rsidRPr="002E4198">
        <w:rPr>
          <w:b/>
          <w:bCs/>
          <w:sz w:val="25"/>
          <w:szCs w:val="25"/>
        </w:rPr>
        <w:t xml:space="preserve"> Приозерск</w:t>
      </w:r>
      <w:r w:rsidR="009F7704">
        <w:rPr>
          <w:b/>
          <w:bCs/>
          <w:sz w:val="25"/>
          <w:szCs w:val="25"/>
        </w:rPr>
        <w:t>ого</w:t>
      </w:r>
      <w:r w:rsidRPr="002E4198">
        <w:rPr>
          <w:b/>
          <w:bCs/>
          <w:sz w:val="25"/>
          <w:szCs w:val="25"/>
        </w:rPr>
        <w:t xml:space="preserve"> муниципальн</w:t>
      </w:r>
      <w:r w:rsidR="009F7704">
        <w:rPr>
          <w:b/>
          <w:bCs/>
          <w:sz w:val="25"/>
          <w:szCs w:val="25"/>
        </w:rPr>
        <w:t>ого</w:t>
      </w:r>
      <w:r w:rsidRPr="002E4198">
        <w:rPr>
          <w:b/>
          <w:bCs/>
          <w:sz w:val="25"/>
          <w:szCs w:val="25"/>
        </w:rPr>
        <w:t xml:space="preserve"> район</w:t>
      </w:r>
      <w:r w:rsidR="009F7704">
        <w:rPr>
          <w:b/>
          <w:bCs/>
          <w:sz w:val="25"/>
          <w:szCs w:val="25"/>
        </w:rPr>
        <w:t>а</w:t>
      </w:r>
      <w:r w:rsidRPr="002E4198">
        <w:rPr>
          <w:b/>
          <w:bCs/>
          <w:sz w:val="25"/>
          <w:szCs w:val="25"/>
        </w:rPr>
        <w:t xml:space="preserve"> </w:t>
      </w:r>
      <w:r w:rsidR="008C2712">
        <w:rPr>
          <w:b/>
          <w:bCs/>
          <w:sz w:val="25"/>
          <w:szCs w:val="25"/>
        </w:rPr>
        <w:t xml:space="preserve">Ленинградской области </w:t>
      </w:r>
      <w:r w:rsidRPr="002E4198">
        <w:rPr>
          <w:b/>
          <w:bCs/>
          <w:sz w:val="25"/>
          <w:szCs w:val="25"/>
        </w:rPr>
        <w:t>за  20</w:t>
      </w:r>
      <w:r w:rsidR="009F7704">
        <w:rPr>
          <w:b/>
          <w:bCs/>
          <w:sz w:val="25"/>
          <w:szCs w:val="25"/>
        </w:rPr>
        <w:t>22</w:t>
      </w:r>
      <w:r w:rsidRPr="002E4198">
        <w:rPr>
          <w:b/>
          <w:bCs/>
          <w:sz w:val="25"/>
          <w:szCs w:val="25"/>
        </w:rPr>
        <w:t xml:space="preserve"> год»</w:t>
      </w:r>
    </w:p>
    <w:p w:rsidR="00B5707B" w:rsidRPr="00083194" w:rsidRDefault="00B5707B" w:rsidP="001D6DAE">
      <w:pPr>
        <w:autoSpaceDE w:val="0"/>
        <w:autoSpaceDN w:val="0"/>
        <w:adjustRightInd w:val="0"/>
        <w:spacing w:line="240" w:lineRule="atLeast"/>
        <w:jc w:val="center"/>
        <w:outlineLvl w:val="0"/>
      </w:pPr>
    </w:p>
    <w:p w:rsidR="008574DF" w:rsidRDefault="00B5707B" w:rsidP="008D49D2">
      <w:pPr>
        <w:autoSpaceDE w:val="0"/>
        <w:autoSpaceDN w:val="0"/>
        <w:adjustRightInd w:val="0"/>
      </w:pPr>
      <w:r>
        <w:t xml:space="preserve">г. Приозерск                                                                             </w:t>
      </w:r>
      <w:r w:rsidR="00A70549">
        <w:t xml:space="preserve">             </w:t>
      </w:r>
      <w:r w:rsidR="009A5F27">
        <w:t xml:space="preserve">  </w:t>
      </w:r>
      <w:r w:rsidR="001D3672">
        <w:t xml:space="preserve"> </w:t>
      </w:r>
      <w:r w:rsidR="00A70549">
        <w:t xml:space="preserve">  </w:t>
      </w:r>
      <w:r w:rsidR="00F83DBE">
        <w:t xml:space="preserve">  </w:t>
      </w:r>
      <w:r w:rsidR="004868DA">
        <w:t xml:space="preserve">   </w:t>
      </w:r>
      <w:r w:rsidR="00A70549">
        <w:t xml:space="preserve">  </w:t>
      </w:r>
      <w:r w:rsidR="009F7704">
        <w:t>1</w:t>
      </w:r>
      <w:r w:rsidR="00464F39">
        <w:t>3</w:t>
      </w:r>
      <w:r w:rsidR="00A6597A">
        <w:t xml:space="preserve"> </w:t>
      </w:r>
      <w:r w:rsidR="00852E29">
        <w:t xml:space="preserve"> </w:t>
      </w:r>
      <w:r w:rsidR="009F7704">
        <w:t>апреля</w:t>
      </w:r>
      <w:r w:rsidR="00A70549">
        <w:t xml:space="preserve"> </w:t>
      </w:r>
      <w:r w:rsidR="00852E29">
        <w:t xml:space="preserve"> </w:t>
      </w:r>
      <w:r w:rsidR="00A70549">
        <w:t>20</w:t>
      </w:r>
      <w:r w:rsidR="0001113A">
        <w:t>2</w:t>
      </w:r>
      <w:r w:rsidR="009F7704">
        <w:t>3</w:t>
      </w:r>
      <w:r w:rsidR="00C4011F">
        <w:t xml:space="preserve"> </w:t>
      </w:r>
      <w:r w:rsidR="00A70549">
        <w:t>г.</w:t>
      </w:r>
      <w:r>
        <w:t xml:space="preserve"> </w:t>
      </w:r>
    </w:p>
    <w:p w:rsidR="008574DF" w:rsidRDefault="008574DF" w:rsidP="00415993">
      <w:pPr>
        <w:ind w:firstLine="426"/>
        <w:jc w:val="both"/>
      </w:pPr>
    </w:p>
    <w:p w:rsidR="008526D1" w:rsidRDefault="00B207B4" w:rsidP="008526D1">
      <w:pPr>
        <w:jc w:val="both"/>
        <w:rPr>
          <w:color w:val="000000"/>
        </w:rPr>
      </w:pPr>
      <w:r>
        <w:t xml:space="preserve">      </w:t>
      </w:r>
      <w:r w:rsidR="008526D1">
        <w:t xml:space="preserve">Контрольно-счетным органом  Приозерского муниципального района Ленинградской области проведен мониторинг </w:t>
      </w:r>
      <w:r w:rsidR="008526D1" w:rsidRPr="009D1816">
        <w:t xml:space="preserve">эффективности использования бюджетных средств, направляемых на закупку товаров, работ и услуг </w:t>
      </w:r>
      <w:r w:rsidR="008526D1" w:rsidRPr="008526D1">
        <w:rPr>
          <w:bCs/>
          <w:sz w:val="25"/>
          <w:szCs w:val="25"/>
        </w:rPr>
        <w:t>для  обеспечения муниципальных нужд администрациями городских и сельских поселений Приозерского муниципального района</w:t>
      </w:r>
      <w:r w:rsidR="008526D1">
        <w:rPr>
          <w:bCs/>
          <w:sz w:val="25"/>
          <w:szCs w:val="25"/>
        </w:rPr>
        <w:t xml:space="preserve"> </w:t>
      </w:r>
      <w:r w:rsidR="008526D1" w:rsidRPr="009D1816">
        <w:rPr>
          <w:bCs/>
          <w:sz w:val="25"/>
          <w:szCs w:val="25"/>
        </w:rPr>
        <w:t xml:space="preserve">за  </w:t>
      </w:r>
      <w:r w:rsidR="008526D1" w:rsidRPr="009D1816">
        <w:rPr>
          <w:b/>
          <w:bCs/>
          <w:sz w:val="25"/>
          <w:szCs w:val="25"/>
        </w:rPr>
        <w:t>20</w:t>
      </w:r>
      <w:r w:rsidR="008526D1">
        <w:rPr>
          <w:b/>
          <w:bCs/>
          <w:sz w:val="25"/>
          <w:szCs w:val="25"/>
        </w:rPr>
        <w:t>22</w:t>
      </w:r>
      <w:r w:rsidR="008526D1" w:rsidRPr="009D1816">
        <w:rPr>
          <w:b/>
          <w:bCs/>
          <w:sz w:val="25"/>
          <w:szCs w:val="25"/>
        </w:rPr>
        <w:t xml:space="preserve"> год</w:t>
      </w:r>
      <w:r w:rsidR="008526D1" w:rsidRPr="009D1816">
        <w:rPr>
          <w:b/>
        </w:rPr>
        <w:t>.</w:t>
      </w:r>
      <w:r w:rsidR="008526D1">
        <w:rPr>
          <w:color w:val="000000"/>
        </w:rPr>
        <w:t xml:space="preserve">  </w:t>
      </w:r>
    </w:p>
    <w:p w:rsidR="003A7B2B" w:rsidRPr="00511181" w:rsidRDefault="008526D1" w:rsidP="008526D1">
      <w:pPr>
        <w:pStyle w:val="Default"/>
        <w:ind w:firstLine="426"/>
        <w:jc w:val="both"/>
        <w:rPr>
          <w:rFonts w:ascii="Times New Roman" w:hAnsi="Times New Roman" w:cs="Times New Roman"/>
          <w:b/>
        </w:rPr>
      </w:pPr>
      <w:r w:rsidRPr="00511181">
        <w:rPr>
          <w:rFonts w:ascii="Times New Roman" w:hAnsi="Times New Roman" w:cs="Times New Roman"/>
          <w:b/>
        </w:rPr>
        <w:t xml:space="preserve">Основание для проведения экспертно-аналитического мероприятия: </w:t>
      </w:r>
    </w:p>
    <w:p w:rsidR="008526D1" w:rsidRPr="00746D4E" w:rsidRDefault="008526D1" w:rsidP="008526D1">
      <w:pPr>
        <w:pStyle w:val="Default"/>
        <w:ind w:firstLine="426"/>
        <w:jc w:val="both"/>
        <w:rPr>
          <w:rFonts w:ascii="Times New Roman" w:hAnsi="Times New Roman" w:cs="Times New Roman"/>
        </w:rPr>
      </w:pPr>
      <w:r w:rsidRPr="00746D4E">
        <w:rPr>
          <w:rFonts w:ascii="Times New Roman" w:hAnsi="Times New Roman" w:cs="Times New Roman"/>
        </w:rPr>
        <w:t>Бюджетный кодекс Р</w:t>
      </w:r>
      <w:r w:rsidR="003A7B2B">
        <w:rPr>
          <w:rFonts w:ascii="Times New Roman" w:hAnsi="Times New Roman" w:cs="Times New Roman"/>
        </w:rPr>
        <w:t>оссийской Фед</w:t>
      </w:r>
      <w:r w:rsidR="003D15B8">
        <w:rPr>
          <w:rFonts w:ascii="Times New Roman" w:hAnsi="Times New Roman" w:cs="Times New Roman"/>
        </w:rPr>
        <w:t>е</w:t>
      </w:r>
      <w:r w:rsidR="003A7B2B">
        <w:rPr>
          <w:rFonts w:ascii="Times New Roman" w:hAnsi="Times New Roman" w:cs="Times New Roman"/>
        </w:rPr>
        <w:t>рации</w:t>
      </w:r>
      <w:r w:rsidRPr="00746D4E">
        <w:rPr>
          <w:rFonts w:ascii="Times New Roman" w:hAnsi="Times New Roman" w:cs="Times New Roman"/>
        </w:rPr>
        <w:t xml:space="preserve">, Федеральный закон №6-ФЗ «Об </w:t>
      </w:r>
      <w:proofErr w:type="gramStart"/>
      <w:r w:rsidRPr="00746D4E">
        <w:rPr>
          <w:rFonts w:ascii="Times New Roman" w:hAnsi="Times New Roman" w:cs="Times New Roman"/>
        </w:rPr>
        <w:t>общих</w:t>
      </w:r>
      <w:proofErr w:type="gramEnd"/>
      <w:r w:rsidRPr="00746D4E">
        <w:rPr>
          <w:rFonts w:ascii="Times New Roman" w:hAnsi="Times New Roman" w:cs="Times New Roman"/>
        </w:rPr>
        <w:t xml:space="preserve"> принципах организации и деятельности контрольно-счетных органов субъектов РФ и муниципальных образований», Стандарт внешнего </w:t>
      </w:r>
      <w:r>
        <w:rPr>
          <w:rFonts w:ascii="Times New Roman" w:hAnsi="Times New Roman" w:cs="Times New Roman"/>
        </w:rPr>
        <w:t>муниципального ф</w:t>
      </w:r>
      <w:r w:rsidRPr="00746D4E">
        <w:rPr>
          <w:rFonts w:ascii="Times New Roman" w:hAnsi="Times New Roman" w:cs="Times New Roman"/>
        </w:rPr>
        <w:t xml:space="preserve">инансового </w:t>
      </w:r>
      <w:r w:rsidRPr="00B103F5">
        <w:rPr>
          <w:rFonts w:ascii="Times New Roman" w:hAnsi="Times New Roman" w:cs="Times New Roman"/>
        </w:rPr>
        <w:t>контроля  СВФК № 2 «Общие правила проведения экспертно-аналитическ</w:t>
      </w:r>
      <w:r>
        <w:rPr>
          <w:rFonts w:ascii="Times New Roman" w:hAnsi="Times New Roman" w:cs="Times New Roman"/>
        </w:rPr>
        <w:t>их</w:t>
      </w:r>
      <w:r w:rsidRPr="00B103F5">
        <w:rPr>
          <w:rFonts w:ascii="Times New Roman" w:hAnsi="Times New Roman" w:cs="Times New Roman"/>
        </w:rPr>
        <w:t xml:space="preserve"> мероприяти</w:t>
      </w:r>
      <w:r>
        <w:rPr>
          <w:rFonts w:ascii="Times New Roman" w:hAnsi="Times New Roman" w:cs="Times New Roman"/>
        </w:rPr>
        <w:t>й и оформления их результатов</w:t>
      </w:r>
      <w:r w:rsidRPr="00B103F5">
        <w:rPr>
          <w:rFonts w:ascii="Times New Roman" w:hAnsi="Times New Roman" w:cs="Times New Roman"/>
        </w:rPr>
        <w:t>»</w:t>
      </w:r>
      <w:proofErr w:type="gramStart"/>
      <w:r>
        <w:rPr>
          <w:rFonts w:ascii="Times New Roman" w:hAnsi="Times New Roman" w:cs="Times New Roman"/>
        </w:rPr>
        <w:t xml:space="preserve"> </w:t>
      </w:r>
      <w:r w:rsidRPr="00B103F5">
        <w:rPr>
          <w:rFonts w:ascii="Times New Roman" w:hAnsi="Times New Roman" w:cs="Times New Roman"/>
        </w:rPr>
        <w:t>,</w:t>
      </w:r>
      <w:proofErr w:type="gramEnd"/>
      <w:r w:rsidRPr="00B103F5">
        <w:rPr>
          <w:rFonts w:ascii="Times New Roman" w:hAnsi="Times New Roman" w:cs="Times New Roman"/>
        </w:rPr>
        <w:t xml:space="preserve"> утвержденный </w:t>
      </w:r>
      <w:r>
        <w:rPr>
          <w:rFonts w:ascii="Times New Roman" w:hAnsi="Times New Roman" w:cs="Times New Roman"/>
        </w:rPr>
        <w:t>распоряжением К</w:t>
      </w:r>
      <w:r w:rsidRPr="00B103F5">
        <w:rPr>
          <w:rFonts w:ascii="Times New Roman" w:hAnsi="Times New Roman" w:cs="Times New Roman"/>
        </w:rPr>
        <w:t xml:space="preserve">онтрольно-счетного органа </w:t>
      </w:r>
      <w:r>
        <w:rPr>
          <w:rFonts w:ascii="Times New Roman" w:hAnsi="Times New Roman" w:cs="Times New Roman"/>
        </w:rPr>
        <w:t xml:space="preserve"> </w:t>
      </w:r>
      <w:r w:rsidRPr="00B103F5">
        <w:rPr>
          <w:rFonts w:ascii="Times New Roman" w:hAnsi="Times New Roman" w:cs="Times New Roman"/>
        </w:rPr>
        <w:t>Призерск</w:t>
      </w:r>
      <w:r>
        <w:rPr>
          <w:rFonts w:ascii="Times New Roman" w:hAnsi="Times New Roman" w:cs="Times New Roman"/>
        </w:rPr>
        <w:t xml:space="preserve">ого </w:t>
      </w:r>
      <w:r w:rsidRPr="00B103F5">
        <w:rPr>
          <w:rFonts w:ascii="Times New Roman" w:hAnsi="Times New Roman" w:cs="Times New Roman"/>
        </w:rPr>
        <w:t xml:space="preserve"> муниципальн</w:t>
      </w:r>
      <w:r>
        <w:rPr>
          <w:rFonts w:ascii="Times New Roman" w:hAnsi="Times New Roman" w:cs="Times New Roman"/>
        </w:rPr>
        <w:t>ого</w:t>
      </w:r>
      <w:r w:rsidRPr="00B103F5">
        <w:rPr>
          <w:rFonts w:ascii="Times New Roman" w:hAnsi="Times New Roman" w:cs="Times New Roman"/>
        </w:rPr>
        <w:t xml:space="preserve"> район</w:t>
      </w:r>
      <w:r>
        <w:rPr>
          <w:rFonts w:ascii="Times New Roman" w:hAnsi="Times New Roman" w:cs="Times New Roman"/>
        </w:rPr>
        <w:t>а</w:t>
      </w:r>
      <w:r w:rsidRPr="00B103F5">
        <w:rPr>
          <w:rFonts w:ascii="Times New Roman" w:hAnsi="Times New Roman" w:cs="Times New Roman"/>
        </w:rPr>
        <w:t xml:space="preserve"> Ленинградской области </w:t>
      </w:r>
      <w:r>
        <w:rPr>
          <w:rFonts w:ascii="Times New Roman" w:hAnsi="Times New Roman" w:cs="Times New Roman"/>
        </w:rPr>
        <w:t>от 15.05.2013 г. №2</w:t>
      </w:r>
      <w:r w:rsidRPr="00B103F5">
        <w:rPr>
          <w:rFonts w:ascii="Times New Roman" w:hAnsi="Times New Roman" w:cs="Times New Roman"/>
        </w:rPr>
        <w:t xml:space="preserve">, План работы  </w:t>
      </w:r>
      <w:r>
        <w:rPr>
          <w:rFonts w:ascii="Times New Roman" w:hAnsi="Times New Roman" w:cs="Times New Roman"/>
        </w:rPr>
        <w:t>К</w:t>
      </w:r>
      <w:r w:rsidRPr="00B103F5">
        <w:rPr>
          <w:rFonts w:ascii="Times New Roman" w:hAnsi="Times New Roman" w:cs="Times New Roman"/>
        </w:rPr>
        <w:t>онтрольно-счетного органа</w:t>
      </w:r>
      <w:r w:rsidR="003D15B8">
        <w:rPr>
          <w:rFonts w:ascii="Times New Roman" w:hAnsi="Times New Roman" w:cs="Times New Roman"/>
        </w:rPr>
        <w:t xml:space="preserve"> </w:t>
      </w:r>
      <w:r>
        <w:rPr>
          <w:rFonts w:ascii="Times New Roman" w:hAnsi="Times New Roman" w:cs="Times New Roman"/>
        </w:rPr>
        <w:t>П</w:t>
      </w:r>
      <w:r w:rsidRPr="00B103F5">
        <w:rPr>
          <w:rFonts w:ascii="Times New Roman" w:hAnsi="Times New Roman" w:cs="Times New Roman"/>
        </w:rPr>
        <w:t>ризерск</w:t>
      </w:r>
      <w:r>
        <w:rPr>
          <w:rFonts w:ascii="Times New Roman" w:hAnsi="Times New Roman" w:cs="Times New Roman"/>
        </w:rPr>
        <w:t xml:space="preserve">ого </w:t>
      </w:r>
      <w:r w:rsidRPr="00B103F5">
        <w:rPr>
          <w:rFonts w:ascii="Times New Roman" w:hAnsi="Times New Roman" w:cs="Times New Roman"/>
        </w:rPr>
        <w:t xml:space="preserve"> муниципальн</w:t>
      </w:r>
      <w:r>
        <w:rPr>
          <w:rFonts w:ascii="Times New Roman" w:hAnsi="Times New Roman" w:cs="Times New Roman"/>
        </w:rPr>
        <w:t xml:space="preserve">ого </w:t>
      </w:r>
      <w:r w:rsidRPr="00B103F5">
        <w:rPr>
          <w:rFonts w:ascii="Times New Roman" w:hAnsi="Times New Roman" w:cs="Times New Roman"/>
        </w:rPr>
        <w:t xml:space="preserve"> район</w:t>
      </w:r>
      <w:r>
        <w:rPr>
          <w:rFonts w:ascii="Times New Roman" w:hAnsi="Times New Roman" w:cs="Times New Roman"/>
        </w:rPr>
        <w:t>а</w:t>
      </w:r>
      <w:r w:rsidRPr="00B103F5">
        <w:rPr>
          <w:rFonts w:ascii="Times New Roman" w:hAnsi="Times New Roman" w:cs="Times New Roman"/>
        </w:rPr>
        <w:t xml:space="preserve"> Ленинградской области  на 20</w:t>
      </w:r>
      <w:r>
        <w:rPr>
          <w:rFonts w:ascii="Times New Roman" w:hAnsi="Times New Roman" w:cs="Times New Roman"/>
        </w:rPr>
        <w:t>23</w:t>
      </w:r>
      <w:r w:rsidRPr="00B103F5">
        <w:rPr>
          <w:rFonts w:ascii="Times New Roman" w:hAnsi="Times New Roman" w:cs="Times New Roman"/>
        </w:rPr>
        <w:t xml:space="preserve"> год .</w:t>
      </w:r>
      <w:r w:rsidRPr="00746D4E">
        <w:rPr>
          <w:rFonts w:ascii="Times New Roman" w:hAnsi="Times New Roman" w:cs="Times New Roman"/>
        </w:rPr>
        <w:t xml:space="preserve">                              </w:t>
      </w:r>
    </w:p>
    <w:p w:rsidR="008526D1" w:rsidRDefault="008526D1" w:rsidP="008526D1">
      <w:pPr>
        <w:autoSpaceDE w:val="0"/>
        <w:autoSpaceDN w:val="0"/>
        <w:adjustRightInd w:val="0"/>
        <w:jc w:val="both"/>
        <w:rPr>
          <w:rFonts w:eastAsia="Calibri"/>
          <w:color w:val="000000"/>
        </w:rPr>
      </w:pPr>
      <w:r>
        <w:rPr>
          <w:color w:val="000000"/>
        </w:rPr>
        <w:t xml:space="preserve">      </w:t>
      </w:r>
      <w:r w:rsidRPr="00860FCB">
        <w:rPr>
          <w:rFonts w:eastAsia="Calibri"/>
          <w:color w:val="000000"/>
        </w:rPr>
        <w:t>Настоящий отчет содержит результаты оценки</w:t>
      </w:r>
      <w:r>
        <w:rPr>
          <w:rFonts w:eastAsia="Calibri"/>
          <w:color w:val="000000"/>
        </w:rPr>
        <w:t xml:space="preserve"> </w:t>
      </w:r>
      <w:r w:rsidRPr="00860FCB">
        <w:rPr>
          <w:rFonts w:eastAsia="Calibri"/>
          <w:color w:val="000000"/>
        </w:rPr>
        <w:t>информации об осуществлении в соответствии с Федеральным законом</w:t>
      </w:r>
      <w:r>
        <w:rPr>
          <w:rFonts w:eastAsia="Calibri"/>
          <w:color w:val="000000"/>
        </w:rPr>
        <w:t xml:space="preserve"> </w:t>
      </w:r>
      <w:r w:rsidRPr="00860FCB">
        <w:rPr>
          <w:rFonts w:eastAsia="Calibri"/>
          <w:color w:val="000000"/>
        </w:rPr>
        <w:t>от 5 апреля 2013 г. № 44-ФЗ "О контрактной системе в сфере закупок</w:t>
      </w:r>
      <w:r>
        <w:rPr>
          <w:rFonts w:eastAsia="Calibri"/>
          <w:color w:val="000000"/>
        </w:rPr>
        <w:t xml:space="preserve"> </w:t>
      </w:r>
      <w:r w:rsidRPr="00860FCB">
        <w:rPr>
          <w:rFonts w:eastAsia="Calibri"/>
          <w:color w:val="000000"/>
        </w:rPr>
        <w:t>товаров, работ, услуг для обеспечения государственных и муниципальных</w:t>
      </w:r>
      <w:r>
        <w:rPr>
          <w:rFonts w:eastAsia="Calibri"/>
          <w:color w:val="000000"/>
        </w:rPr>
        <w:t xml:space="preserve"> </w:t>
      </w:r>
      <w:r w:rsidRPr="00860FCB">
        <w:rPr>
          <w:rFonts w:eastAsia="Calibri"/>
          <w:color w:val="000000"/>
        </w:rPr>
        <w:t xml:space="preserve">нужд" (далее - </w:t>
      </w:r>
      <w:r w:rsidRPr="004A2683">
        <w:rPr>
          <w:rFonts w:eastAsia="Calibri"/>
          <w:b/>
          <w:color w:val="000000"/>
        </w:rPr>
        <w:t>Закон № 44-ФЗ</w:t>
      </w:r>
      <w:r w:rsidRPr="00860FCB">
        <w:rPr>
          <w:rFonts w:eastAsia="Calibri"/>
          <w:color w:val="000000"/>
        </w:rPr>
        <w:t>) закупок</w:t>
      </w:r>
      <w:proofErr w:type="gramStart"/>
      <w:r>
        <w:rPr>
          <w:rFonts w:eastAsia="Calibri"/>
          <w:color w:val="000000"/>
        </w:rPr>
        <w:t xml:space="preserve"> </w:t>
      </w:r>
      <w:r w:rsidRPr="00860FCB">
        <w:rPr>
          <w:rFonts w:eastAsia="Calibri"/>
          <w:color w:val="000000"/>
        </w:rPr>
        <w:t>,</w:t>
      </w:r>
      <w:proofErr w:type="gramEnd"/>
      <w:r w:rsidRPr="00860FCB">
        <w:rPr>
          <w:rFonts w:eastAsia="Calibri"/>
          <w:color w:val="000000"/>
        </w:rPr>
        <w:t xml:space="preserve"> содержащейся в единой информационной</w:t>
      </w:r>
      <w:r>
        <w:rPr>
          <w:rFonts w:eastAsia="Calibri"/>
          <w:color w:val="000000"/>
        </w:rPr>
        <w:t xml:space="preserve"> </w:t>
      </w:r>
      <w:r w:rsidRPr="00860FCB">
        <w:rPr>
          <w:rFonts w:eastAsia="Calibri"/>
          <w:color w:val="000000"/>
        </w:rPr>
        <w:t>системе в сфере закупок</w:t>
      </w:r>
      <w:r>
        <w:rPr>
          <w:rFonts w:eastAsia="Calibri"/>
          <w:color w:val="000000"/>
        </w:rPr>
        <w:t>.</w:t>
      </w:r>
    </w:p>
    <w:p w:rsidR="00AB2105" w:rsidRDefault="00610103" w:rsidP="00610103">
      <w:pPr>
        <w:autoSpaceDE w:val="0"/>
        <w:autoSpaceDN w:val="0"/>
        <w:adjustRightInd w:val="0"/>
        <w:jc w:val="both"/>
      </w:pPr>
      <w:r>
        <w:rPr>
          <w:rFonts w:eastAsia="Calibri"/>
          <w:lang w:eastAsia="en-US"/>
        </w:rPr>
        <w:t xml:space="preserve">      </w:t>
      </w:r>
      <w:r w:rsidR="008526D1">
        <w:rPr>
          <w:color w:val="000000"/>
        </w:rPr>
        <w:t xml:space="preserve">Мониторинг </w:t>
      </w:r>
      <w:r w:rsidR="008526D1">
        <w:rPr>
          <w:color w:val="000000"/>
          <w:spacing w:val="-1"/>
        </w:rPr>
        <w:t xml:space="preserve">проведен главным  инспектором Контрольно-счетного органа Мыльниковой И.А. на основании плана работы Контрольно-счетного органа  </w:t>
      </w:r>
      <w:r w:rsidR="008526D1">
        <w:rPr>
          <w:rFonts w:cs="Arial"/>
        </w:rPr>
        <w:t>на 202</w:t>
      </w:r>
      <w:r w:rsidR="00AB2105">
        <w:rPr>
          <w:rFonts w:cs="Arial"/>
        </w:rPr>
        <w:t>3</w:t>
      </w:r>
      <w:r w:rsidR="008526D1">
        <w:rPr>
          <w:rFonts w:cs="Arial"/>
        </w:rPr>
        <w:t xml:space="preserve"> год, </w:t>
      </w:r>
      <w:r w:rsidR="00AB2105" w:rsidRPr="00650862">
        <w:rPr>
          <w:rFonts w:eastAsia="MS Mincho" w:cs="Courier New"/>
        </w:rPr>
        <w:t xml:space="preserve"> утверждённого Распоряжением  Контрольно-счётного органа от </w:t>
      </w:r>
      <w:r w:rsidR="00AB2105">
        <w:rPr>
          <w:rFonts w:eastAsia="MS Mincho" w:cs="Courier New"/>
        </w:rPr>
        <w:t>26</w:t>
      </w:r>
      <w:r w:rsidR="00AB2105" w:rsidRPr="00650862">
        <w:rPr>
          <w:rFonts w:eastAsia="MS Mincho" w:cs="Courier New"/>
        </w:rPr>
        <w:t>.12.20</w:t>
      </w:r>
      <w:r w:rsidR="00AB2105">
        <w:rPr>
          <w:rFonts w:eastAsia="MS Mincho" w:cs="Courier New"/>
        </w:rPr>
        <w:t>22</w:t>
      </w:r>
      <w:r w:rsidR="00AB2105" w:rsidRPr="00650862">
        <w:rPr>
          <w:rFonts w:eastAsia="MS Mincho" w:cs="Courier New"/>
        </w:rPr>
        <w:t xml:space="preserve"> года № </w:t>
      </w:r>
      <w:r w:rsidR="00AB2105">
        <w:rPr>
          <w:rFonts w:eastAsia="MS Mincho" w:cs="Courier New"/>
        </w:rPr>
        <w:t>65</w:t>
      </w:r>
      <w:r w:rsidR="00AB2105" w:rsidRPr="00650862">
        <w:rPr>
          <w:rFonts w:eastAsia="MS Mincho" w:cs="Courier New"/>
        </w:rPr>
        <w:t>-р</w:t>
      </w:r>
      <w:proofErr w:type="gramStart"/>
      <w:r w:rsidR="00AB2105">
        <w:t xml:space="preserve"> .</w:t>
      </w:r>
      <w:proofErr w:type="gramEnd"/>
    </w:p>
    <w:p w:rsidR="00AB2105" w:rsidRDefault="00AB2105" w:rsidP="00AB2105">
      <w:pPr>
        <w:autoSpaceDE w:val="0"/>
        <w:autoSpaceDN w:val="0"/>
        <w:adjustRightInd w:val="0"/>
        <w:jc w:val="both"/>
        <w:rPr>
          <w:rFonts w:eastAsia="Calibri"/>
          <w:color w:val="000000"/>
        </w:rPr>
      </w:pPr>
      <w:r>
        <w:t xml:space="preserve">      </w:t>
      </w:r>
      <w:r w:rsidRPr="00C04D85">
        <w:rPr>
          <w:rFonts w:eastAsia="Calibri"/>
          <w:color w:val="000000"/>
        </w:rPr>
        <w:t>Мониторинг осуществля</w:t>
      </w:r>
      <w:r>
        <w:rPr>
          <w:rFonts w:eastAsia="Calibri"/>
          <w:color w:val="000000"/>
        </w:rPr>
        <w:t>лся</w:t>
      </w:r>
      <w:r w:rsidRPr="00C04D85">
        <w:rPr>
          <w:rFonts w:eastAsia="Calibri"/>
          <w:color w:val="000000"/>
        </w:rPr>
        <w:t xml:space="preserve"> посредством сбора, обобщения, систематизации и оценки информации об осуществлении закупок, в том числе реализации планов-графиков закупок</w:t>
      </w:r>
      <w:r>
        <w:rPr>
          <w:rFonts w:eastAsia="Calibri"/>
          <w:color w:val="000000"/>
        </w:rPr>
        <w:t>.</w:t>
      </w:r>
    </w:p>
    <w:p w:rsidR="0047793B" w:rsidRDefault="00AB2105" w:rsidP="0047793B">
      <w:pPr>
        <w:autoSpaceDE w:val="0"/>
        <w:autoSpaceDN w:val="0"/>
        <w:adjustRightInd w:val="0"/>
        <w:jc w:val="both"/>
      </w:pPr>
      <w:r>
        <w:rPr>
          <w:rFonts w:eastAsia="Calibri"/>
          <w:color w:val="000000"/>
        </w:rPr>
        <w:t xml:space="preserve">     </w:t>
      </w:r>
      <w:r w:rsidR="008526D1">
        <w:t>Для проведения мониторинга</w:t>
      </w:r>
      <w:r w:rsidR="008526D1" w:rsidRPr="005E0A2A">
        <w:t xml:space="preserve"> была использована </w:t>
      </w:r>
      <w:r w:rsidR="008526D1" w:rsidRPr="00DA168B">
        <w:t>информация, размещенн</w:t>
      </w:r>
      <w:r w:rsidR="008526D1">
        <w:t>ая</w:t>
      </w:r>
      <w:r w:rsidR="008526D1" w:rsidRPr="00DA168B">
        <w:t xml:space="preserve"> на официальном сайте</w:t>
      </w:r>
      <w:r w:rsidR="008526D1">
        <w:t xml:space="preserve"> </w:t>
      </w:r>
      <w:r w:rsidR="000B22ED">
        <w:t>Е</w:t>
      </w:r>
      <w:r w:rsidR="008526D1" w:rsidRPr="00DA168B">
        <w:t>диной информационной системы</w:t>
      </w:r>
      <w:r w:rsidR="008526D1">
        <w:t xml:space="preserve"> в сфере закупок </w:t>
      </w:r>
      <w:r w:rsidR="008526D1" w:rsidRPr="00860FCB">
        <w:rPr>
          <w:rStyle w:val="af"/>
          <w:rFonts w:cs="Times New Roman CYR"/>
          <w:bCs/>
          <w:color w:val="auto"/>
          <w:lang w:eastAsia="zh-CN"/>
        </w:rPr>
        <w:t>(</w:t>
      </w:r>
      <w:hyperlink r:id="rId9" w:history="1">
        <w:r w:rsidR="008526D1" w:rsidRPr="00860FCB">
          <w:rPr>
            <w:rStyle w:val="af"/>
            <w:rFonts w:cs="Times New Roman CYR"/>
            <w:bCs/>
            <w:color w:val="auto"/>
            <w:lang w:eastAsia="zh-CN"/>
          </w:rPr>
          <w:t>www.zakupki.gov.ru</w:t>
        </w:r>
      </w:hyperlink>
      <w:r w:rsidR="008526D1" w:rsidRPr="0047793B">
        <w:rPr>
          <w:rStyle w:val="a5"/>
          <w:color w:val="auto"/>
          <w:u w:val="none"/>
        </w:rPr>
        <w:t>)</w:t>
      </w:r>
      <w:r w:rsidR="008526D1" w:rsidRPr="0047793B">
        <w:rPr>
          <w:rStyle w:val="a5"/>
          <w:u w:val="none"/>
        </w:rPr>
        <w:t xml:space="preserve"> </w:t>
      </w:r>
      <w:r w:rsidR="008526D1">
        <w:rPr>
          <w:rStyle w:val="a5"/>
          <w:u w:val="none"/>
        </w:rPr>
        <w:t xml:space="preserve"> </w:t>
      </w:r>
      <w:r w:rsidR="008526D1" w:rsidRPr="00817F6D">
        <w:t>и д</w:t>
      </w:r>
      <w:r w:rsidR="008526D1" w:rsidRPr="00D32538">
        <w:t xml:space="preserve">окументы, предоставленные </w:t>
      </w:r>
      <w:r w:rsidR="008526D1">
        <w:t>администраци</w:t>
      </w:r>
      <w:r w:rsidR="004868DA">
        <w:t>ями городских и сельских поселений</w:t>
      </w:r>
      <w:r w:rsidR="008526D1">
        <w:t xml:space="preserve"> </w:t>
      </w:r>
      <w:r w:rsidR="008526D1" w:rsidRPr="003C208D">
        <w:t>Приозерск</w:t>
      </w:r>
      <w:r w:rsidR="008526D1">
        <w:t>ого</w:t>
      </w:r>
      <w:r w:rsidR="008526D1" w:rsidRPr="003C208D">
        <w:t xml:space="preserve"> муниципальн</w:t>
      </w:r>
      <w:r w:rsidR="008526D1">
        <w:t xml:space="preserve">ого </w:t>
      </w:r>
      <w:r w:rsidR="008526D1" w:rsidRPr="003C208D">
        <w:t>район</w:t>
      </w:r>
      <w:r w:rsidR="0047793B">
        <w:t>а Ленинградской области.</w:t>
      </w:r>
    </w:p>
    <w:p w:rsidR="008526D1" w:rsidRPr="00511181" w:rsidRDefault="0047793B" w:rsidP="0047793B">
      <w:pPr>
        <w:autoSpaceDE w:val="0"/>
        <w:autoSpaceDN w:val="0"/>
        <w:adjustRightInd w:val="0"/>
        <w:jc w:val="both"/>
        <w:rPr>
          <w:b/>
        </w:rPr>
      </w:pPr>
      <w:r>
        <w:t xml:space="preserve">     </w:t>
      </w:r>
      <w:r w:rsidRPr="00511181">
        <w:rPr>
          <w:b/>
        </w:rPr>
        <w:t xml:space="preserve"> </w:t>
      </w:r>
      <w:r w:rsidR="008526D1" w:rsidRPr="00511181">
        <w:rPr>
          <w:b/>
        </w:rPr>
        <w:t xml:space="preserve">Целью мониторинга является: </w:t>
      </w:r>
    </w:p>
    <w:p w:rsidR="00AB2105" w:rsidRPr="008079C5" w:rsidRDefault="008526D1" w:rsidP="00456F59">
      <w:pPr>
        <w:numPr>
          <w:ilvl w:val="0"/>
          <w:numId w:val="11"/>
        </w:numPr>
        <w:autoSpaceDE w:val="0"/>
        <w:autoSpaceDN w:val="0"/>
        <w:adjustRightInd w:val="0"/>
        <w:ind w:left="0" w:firstLine="426"/>
        <w:jc w:val="both"/>
        <w:rPr>
          <w:rFonts w:eastAsia="Calibri"/>
        </w:rPr>
      </w:pPr>
      <w:r w:rsidRPr="00DC6BFF">
        <w:rPr>
          <w:rFonts w:eastAsia="Calibri"/>
        </w:rPr>
        <w:lastRenderedPageBreak/>
        <w:t xml:space="preserve">оценка эффективности осуществления закупок товаров, работ, услуг для обеспечения </w:t>
      </w:r>
      <w:r w:rsidR="0047793B">
        <w:rPr>
          <w:rFonts w:eastAsia="Calibri"/>
        </w:rPr>
        <w:t xml:space="preserve"> </w:t>
      </w:r>
      <w:r w:rsidRPr="00DC6BFF">
        <w:rPr>
          <w:rFonts w:eastAsia="Calibri"/>
        </w:rPr>
        <w:t xml:space="preserve">муниципальных нужд  </w:t>
      </w:r>
      <w:r w:rsidR="00AB2105">
        <w:rPr>
          <w:rFonts w:eastAsia="Calibri"/>
        </w:rPr>
        <w:t>администрациями городских и сельских поселений Приозерского муниципального района Ленинградской области;</w:t>
      </w:r>
    </w:p>
    <w:p w:rsidR="008526D1" w:rsidRDefault="008526D1" w:rsidP="00456F59">
      <w:pPr>
        <w:numPr>
          <w:ilvl w:val="0"/>
          <w:numId w:val="11"/>
        </w:numPr>
        <w:autoSpaceDE w:val="0"/>
        <w:autoSpaceDN w:val="0"/>
        <w:adjustRightInd w:val="0"/>
        <w:ind w:left="0" w:firstLine="426"/>
        <w:jc w:val="both"/>
        <w:rPr>
          <w:lang w:eastAsia="en-US"/>
        </w:rPr>
      </w:pPr>
      <w:r w:rsidRPr="00312F4F">
        <w:t>выявление и предупреждение</w:t>
      </w:r>
      <w:r w:rsidRPr="000A6FAB">
        <w:t xml:space="preserve"> неэффективного использования бюджетных сред</w:t>
      </w:r>
      <w:r w:rsidR="004868DA">
        <w:t>ств,</w:t>
      </w:r>
      <w:r w:rsidRPr="000A6FAB">
        <w:t xml:space="preserve"> направленных на закупку товаров, работ, услуг</w:t>
      </w:r>
      <w:r w:rsidR="0047793B">
        <w:t>,</w:t>
      </w:r>
      <w:r w:rsidRPr="000A6FAB">
        <w:t xml:space="preserve"> </w:t>
      </w:r>
      <w:r w:rsidRPr="000A6FAB">
        <w:rPr>
          <w:lang w:eastAsia="en-US"/>
        </w:rPr>
        <w:t>обеспечения гласности и прозрачности осуществления таких закупок, предотвращения коррупционных рисков и других злоупотреблений в сфере закупок</w:t>
      </w:r>
      <w:r>
        <w:rPr>
          <w:lang w:eastAsia="en-US"/>
        </w:rPr>
        <w:t>.</w:t>
      </w:r>
    </w:p>
    <w:p w:rsidR="00610103" w:rsidRPr="00511181" w:rsidRDefault="00610103" w:rsidP="00610103">
      <w:pPr>
        <w:autoSpaceDE w:val="0"/>
        <w:autoSpaceDN w:val="0"/>
        <w:adjustRightInd w:val="0"/>
        <w:ind w:firstLine="426"/>
        <w:jc w:val="both"/>
        <w:rPr>
          <w:b/>
          <w:lang w:eastAsia="en-US"/>
        </w:rPr>
      </w:pPr>
      <w:r w:rsidRPr="00511181">
        <w:rPr>
          <w:b/>
          <w:lang w:eastAsia="en-US"/>
        </w:rPr>
        <w:t>Объектом мониторинга являются:</w:t>
      </w:r>
    </w:p>
    <w:p w:rsidR="00610103" w:rsidRPr="00610103" w:rsidRDefault="00610103" w:rsidP="00456F59">
      <w:pPr>
        <w:pStyle w:val="ab"/>
        <w:numPr>
          <w:ilvl w:val="0"/>
          <w:numId w:val="27"/>
        </w:numPr>
        <w:ind w:left="0" w:firstLine="426"/>
        <w:rPr>
          <w:rFonts w:ascii="Times New Roman" w:eastAsia="Calibri" w:hAnsi="Times New Roman" w:cs="Times New Roman"/>
          <w:color w:val="000000"/>
        </w:rPr>
      </w:pPr>
      <w:r>
        <w:rPr>
          <w:rFonts w:ascii="Times New Roman" w:eastAsia="Calibri" w:hAnsi="Times New Roman" w:cs="Times New Roman"/>
          <w:lang w:eastAsia="en-US"/>
        </w:rPr>
        <w:t>а</w:t>
      </w:r>
      <w:r w:rsidRPr="00610103">
        <w:rPr>
          <w:rFonts w:ascii="Times New Roman" w:eastAsia="Calibri" w:hAnsi="Times New Roman" w:cs="Times New Roman"/>
          <w:lang w:eastAsia="en-US"/>
        </w:rPr>
        <w:t>дминистрации городских и сельских поселений Приозерского муниципального района</w:t>
      </w:r>
      <w:r>
        <w:rPr>
          <w:rFonts w:ascii="Times New Roman" w:eastAsia="Calibri" w:hAnsi="Times New Roman" w:cs="Times New Roman"/>
          <w:lang w:eastAsia="en-US"/>
        </w:rPr>
        <w:t xml:space="preserve"> Ленинградской области.</w:t>
      </w:r>
    </w:p>
    <w:p w:rsidR="00610103" w:rsidRPr="00610103" w:rsidRDefault="00610103" w:rsidP="00610103">
      <w:pPr>
        <w:pStyle w:val="ab"/>
        <w:ind w:left="0" w:firstLine="426"/>
        <w:rPr>
          <w:rFonts w:ascii="Times New Roman" w:eastAsia="Calibri" w:hAnsi="Times New Roman" w:cs="Times New Roman"/>
          <w:color w:val="000000"/>
        </w:rPr>
      </w:pPr>
      <w:r>
        <w:rPr>
          <w:rFonts w:ascii="Times New Roman" w:eastAsia="Calibri" w:hAnsi="Times New Roman" w:cs="Times New Roman"/>
          <w:lang w:eastAsia="en-US"/>
        </w:rPr>
        <w:t xml:space="preserve">Администрации городских и сельских поселений Приозерского муниципального района  </w:t>
      </w:r>
      <w:r w:rsidRPr="00610103">
        <w:rPr>
          <w:rFonts w:ascii="Times New Roman" w:eastAsia="Calibri" w:hAnsi="Times New Roman" w:cs="Times New Roman"/>
          <w:lang w:eastAsia="en-US"/>
        </w:rPr>
        <w:t xml:space="preserve">(далее по тексту – </w:t>
      </w:r>
      <w:r w:rsidRPr="00610103">
        <w:rPr>
          <w:rFonts w:ascii="Times New Roman" w:eastAsia="Calibri" w:hAnsi="Times New Roman" w:cs="Times New Roman"/>
          <w:b/>
          <w:lang w:eastAsia="en-US"/>
        </w:rPr>
        <w:t>Заказчики</w:t>
      </w:r>
      <w:r w:rsidRPr="00610103">
        <w:rPr>
          <w:rFonts w:ascii="Times New Roman" w:eastAsia="Calibri" w:hAnsi="Times New Roman" w:cs="Times New Roman"/>
          <w:lang w:eastAsia="en-US"/>
        </w:rPr>
        <w:t>), являясь казенными учреждени</w:t>
      </w:r>
      <w:r>
        <w:rPr>
          <w:rFonts w:ascii="Times New Roman" w:eastAsia="Calibri" w:hAnsi="Times New Roman" w:cs="Times New Roman"/>
          <w:lang w:eastAsia="en-US"/>
        </w:rPr>
        <w:t>ями</w:t>
      </w:r>
      <w:r w:rsidRPr="00610103">
        <w:rPr>
          <w:rFonts w:ascii="Times New Roman" w:eastAsia="Calibri" w:hAnsi="Times New Roman" w:cs="Times New Roman"/>
          <w:lang w:eastAsia="en-US"/>
        </w:rPr>
        <w:t>, осуществля</w:t>
      </w:r>
      <w:r>
        <w:rPr>
          <w:rFonts w:ascii="Times New Roman" w:eastAsia="Calibri" w:hAnsi="Times New Roman" w:cs="Times New Roman"/>
          <w:lang w:eastAsia="en-US"/>
        </w:rPr>
        <w:t>ют</w:t>
      </w:r>
      <w:r w:rsidRPr="00610103">
        <w:rPr>
          <w:rFonts w:ascii="Times New Roman" w:eastAsia="Calibri" w:hAnsi="Times New Roman" w:cs="Times New Roman"/>
          <w:lang w:eastAsia="en-US"/>
        </w:rPr>
        <w:t xml:space="preserve">   закупочн</w:t>
      </w:r>
      <w:r>
        <w:rPr>
          <w:rFonts w:ascii="Times New Roman" w:eastAsia="Calibri" w:hAnsi="Times New Roman" w:cs="Times New Roman"/>
          <w:lang w:eastAsia="en-US"/>
        </w:rPr>
        <w:t>ую</w:t>
      </w:r>
      <w:r w:rsidRPr="00610103">
        <w:rPr>
          <w:rFonts w:ascii="Times New Roman" w:eastAsia="Calibri" w:hAnsi="Times New Roman" w:cs="Times New Roman"/>
          <w:lang w:eastAsia="en-US"/>
        </w:rPr>
        <w:t xml:space="preserve"> деятельност</w:t>
      </w:r>
      <w:r>
        <w:rPr>
          <w:rFonts w:ascii="Times New Roman" w:eastAsia="Calibri" w:hAnsi="Times New Roman" w:cs="Times New Roman"/>
          <w:lang w:eastAsia="en-US"/>
        </w:rPr>
        <w:t>ь</w:t>
      </w:r>
      <w:r w:rsidRPr="00610103">
        <w:rPr>
          <w:rFonts w:ascii="Times New Roman" w:eastAsia="Calibri" w:hAnsi="Times New Roman" w:cs="Times New Roman"/>
          <w:lang w:eastAsia="en-US"/>
        </w:rPr>
        <w:t xml:space="preserve">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№44-ФЗ</w:t>
      </w:r>
      <w:r w:rsidR="0047793B">
        <w:rPr>
          <w:rFonts w:ascii="Times New Roman" w:eastAsia="Calibri" w:hAnsi="Times New Roman" w:cs="Times New Roman"/>
          <w:lang w:eastAsia="en-US"/>
        </w:rPr>
        <w:t>.</w:t>
      </w:r>
    </w:p>
    <w:p w:rsidR="008526D1" w:rsidRDefault="00610103" w:rsidP="008526D1">
      <w:pPr>
        <w:autoSpaceDE w:val="0"/>
        <w:autoSpaceDN w:val="0"/>
        <w:adjustRightInd w:val="0"/>
        <w:jc w:val="both"/>
      </w:pPr>
      <w:r>
        <w:t xml:space="preserve">     </w:t>
      </w:r>
      <w:r w:rsidR="008526D1" w:rsidRPr="00D00DF6">
        <w:t xml:space="preserve"> </w:t>
      </w:r>
      <w:r w:rsidR="008526D1" w:rsidRPr="00511181">
        <w:rPr>
          <w:rFonts w:eastAsia="Calibri"/>
          <w:b/>
        </w:rPr>
        <w:t>Отчетным периодом является 20</w:t>
      </w:r>
      <w:r w:rsidRPr="00511181">
        <w:rPr>
          <w:rFonts w:eastAsia="Calibri"/>
          <w:b/>
        </w:rPr>
        <w:t>22</w:t>
      </w:r>
      <w:r w:rsidR="008526D1" w:rsidRPr="00511181">
        <w:rPr>
          <w:rFonts w:eastAsia="Calibri"/>
          <w:b/>
        </w:rPr>
        <w:t xml:space="preserve"> г</w:t>
      </w:r>
      <w:r w:rsidR="0047793B" w:rsidRPr="00511181">
        <w:rPr>
          <w:rFonts w:eastAsia="Calibri"/>
          <w:b/>
        </w:rPr>
        <w:t>од.</w:t>
      </w:r>
      <w:r w:rsidR="0047793B">
        <w:rPr>
          <w:rFonts w:eastAsia="Calibri"/>
        </w:rPr>
        <w:t xml:space="preserve"> </w:t>
      </w:r>
      <w:r w:rsidR="008526D1">
        <w:rPr>
          <w:rFonts w:eastAsia="Calibri"/>
        </w:rPr>
        <w:t xml:space="preserve"> </w:t>
      </w:r>
      <w:r w:rsidR="008526D1" w:rsidRPr="00D00DF6">
        <w:rPr>
          <w:rFonts w:eastAsia="Calibri"/>
        </w:rPr>
        <w:t>Базисным периодом, с которым производится сравнение информации</w:t>
      </w:r>
      <w:r w:rsidR="008526D1">
        <w:rPr>
          <w:rFonts w:eastAsia="Calibri"/>
        </w:rPr>
        <w:t xml:space="preserve"> </w:t>
      </w:r>
      <w:r w:rsidR="008526D1" w:rsidRPr="00D00DF6">
        <w:rPr>
          <w:rFonts w:eastAsia="Calibri"/>
        </w:rPr>
        <w:t>об осуществлении закупок, является 20</w:t>
      </w:r>
      <w:r>
        <w:rPr>
          <w:rFonts w:eastAsia="Calibri"/>
        </w:rPr>
        <w:t>21</w:t>
      </w:r>
      <w:r w:rsidR="008526D1" w:rsidRPr="00D00DF6">
        <w:rPr>
          <w:rFonts w:eastAsia="Calibri"/>
        </w:rPr>
        <w:t xml:space="preserve"> </w:t>
      </w:r>
      <w:r w:rsidR="0047793B">
        <w:rPr>
          <w:rFonts w:eastAsia="Calibri"/>
        </w:rPr>
        <w:t>год</w:t>
      </w:r>
      <w:r w:rsidR="008526D1" w:rsidRPr="00D00DF6">
        <w:rPr>
          <w:rFonts w:eastAsia="Calibri"/>
        </w:rPr>
        <w:t>.</w:t>
      </w:r>
      <w:r w:rsidR="008526D1" w:rsidRPr="00D00DF6">
        <w:t xml:space="preserve">                 </w:t>
      </w:r>
    </w:p>
    <w:p w:rsidR="008526D1" w:rsidRDefault="008526D1" w:rsidP="008526D1">
      <w:pPr>
        <w:jc w:val="both"/>
      </w:pPr>
    </w:p>
    <w:p w:rsidR="008574DF" w:rsidRPr="00293C17" w:rsidRDefault="008574DF" w:rsidP="008574DF">
      <w:pPr>
        <w:autoSpaceDE w:val="0"/>
        <w:autoSpaceDN w:val="0"/>
        <w:adjustRightInd w:val="0"/>
        <w:rPr>
          <w:b/>
        </w:rPr>
      </w:pPr>
      <w:r w:rsidRPr="00293C17">
        <w:rPr>
          <w:b/>
        </w:rPr>
        <w:t>1. О</w:t>
      </w:r>
      <w:r w:rsidR="00610103">
        <w:rPr>
          <w:b/>
        </w:rPr>
        <w:t>бщая часть</w:t>
      </w:r>
      <w:r w:rsidRPr="00293C17">
        <w:rPr>
          <w:b/>
        </w:rPr>
        <w:t xml:space="preserve"> </w:t>
      </w:r>
    </w:p>
    <w:p w:rsidR="008574DF" w:rsidRDefault="008574DF" w:rsidP="008574DF">
      <w:pPr>
        <w:autoSpaceDE w:val="0"/>
        <w:autoSpaceDN w:val="0"/>
        <w:adjustRightInd w:val="0"/>
        <w:spacing w:line="120" w:lineRule="auto"/>
        <w:jc w:val="center"/>
      </w:pPr>
    </w:p>
    <w:p w:rsidR="00610103" w:rsidRDefault="00610103" w:rsidP="00610103">
      <w:pPr>
        <w:autoSpaceDE w:val="0"/>
        <w:autoSpaceDN w:val="0"/>
        <w:adjustRightInd w:val="0"/>
        <w:spacing w:line="264" w:lineRule="auto"/>
        <w:jc w:val="both"/>
      </w:pPr>
      <w:r w:rsidRPr="00C3014C">
        <w:rPr>
          <w:b/>
        </w:rPr>
        <w:t>1.1</w:t>
      </w:r>
      <w:r>
        <w:rPr>
          <w:b/>
        </w:rPr>
        <w:t xml:space="preserve">. </w:t>
      </w:r>
      <w:r w:rsidRPr="00DC7257">
        <w:rPr>
          <w:rFonts w:eastAsia="Calibri"/>
          <w:b/>
          <w:bCs/>
          <w:color w:val="000000"/>
        </w:rPr>
        <w:t>Краткая характеристика исследуемой сферы деятельности</w:t>
      </w:r>
      <w:r>
        <w:t xml:space="preserve"> </w:t>
      </w:r>
    </w:p>
    <w:p w:rsidR="00147EEB" w:rsidRDefault="00147EEB" w:rsidP="00441EC9">
      <w:pPr>
        <w:autoSpaceDE w:val="0"/>
        <w:autoSpaceDN w:val="0"/>
        <w:adjustRightInd w:val="0"/>
        <w:ind w:firstLine="425"/>
        <w:jc w:val="both"/>
      </w:pPr>
      <w:r w:rsidRPr="00147EEB">
        <w:rPr>
          <w:b/>
        </w:rPr>
        <w:t>Государственные закупки</w:t>
      </w:r>
      <w:r>
        <w:t xml:space="preserve"> – процесс, который обеспечивает открытое взаимодействие государства, субъектов предпринимательства и общества. Государство в лице органов власти различных уровней (федеральных, региональных, муниципальных) заинтересовано в максимально эффективной реализации и использовании соответствующих бюджетных средств, обеспечения высокого уровня и качества жизни населения страны. Общество и граждане, выступающие потребителями товаров и в особенности услуг от государственных и муниципальных органов, стремятся получить качественное обслуживание от компетентных должностных лиц в короткие сроки. Субъекты бизнеса и предприниматели, в свою очередь, нацелены на получения выгодного контракта с субъектом власти с дальнейшей поставкой качественных товаров и услуг по выгодной и компромиссной цене. Это является идеальной моделью в контрактной системе в сфере закупок</w:t>
      </w:r>
      <w:r w:rsidR="00441EC9">
        <w:t>.</w:t>
      </w:r>
    </w:p>
    <w:p w:rsidR="00147EEB" w:rsidRDefault="00147EEB" w:rsidP="00610103">
      <w:pPr>
        <w:autoSpaceDE w:val="0"/>
        <w:autoSpaceDN w:val="0"/>
        <w:adjustRightInd w:val="0"/>
        <w:spacing w:line="264" w:lineRule="auto"/>
        <w:ind w:firstLine="426"/>
        <w:jc w:val="both"/>
      </w:pPr>
      <w:r>
        <w:t xml:space="preserve">Сферу контрактной системы закупок товаров, работ, услуг для обеспечения государственных и муниципальных нужд в Российской Федерации регулирует </w:t>
      </w:r>
      <w:r w:rsidRPr="004A2683">
        <w:rPr>
          <w:b/>
        </w:rPr>
        <w:t>Федеральный закон</w:t>
      </w:r>
      <w:r>
        <w:t xml:space="preserve"> </w:t>
      </w:r>
      <w:r w:rsidRPr="004A2683">
        <w:rPr>
          <w:b/>
        </w:rPr>
        <w:t>№ 44-ФЗ от 5 апреля 2013 года</w:t>
      </w:r>
      <w:r>
        <w:t>. С принятием этого закона представители органов государственной власти, органов местного самоуправления, предприниматели, работающие в сфере закупок, а также научное сообщество постоянно ведут обсуждение преимуществ и недостатков российской системы закупок.</w:t>
      </w:r>
    </w:p>
    <w:p w:rsidR="00A63DEB" w:rsidRDefault="004A2683" w:rsidP="004A2683">
      <w:pPr>
        <w:autoSpaceDE w:val="0"/>
        <w:autoSpaceDN w:val="0"/>
        <w:adjustRightInd w:val="0"/>
        <w:jc w:val="both"/>
      </w:pPr>
      <w:r>
        <w:t xml:space="preserve">       </w:t>
      </w:r>
      <w:r w:rsidR="00A63DEB" w:rsidRPr="00A63DEB">
        <w:rPr>
          <w:b/>
        </w:rPr>
        <w:t>Контрактная система</w:t>
      </w:r>
      <w:r w:rsidR="00A63DEB">
        <w:t xml:space="preserve"> – это важная часть государственного управления, которая направлена на эффективное расходование бюджетных средств. В эту систему вовлечены не только органы власти, но и субъекты хозяйственного сектора – представители малого, среднего и крупного бизнеса. Контрактная система строго регламентируется законом, элементы этой системы могут нести административную и уголовную ответственность</w:t>
      </w:r>
      <w:r>
        <w:t xml:space="preserve"> </w:t>
      </w:r>
    </w:p>
    <w:p w:rsidR="004A2683" w:rsidRPr="004A2683" w:rsidRDefault="00A63DEB" w:rsidP="004A2683">
      <w:pPr>
        <w:autoSpaceDE w:val="0"/>
        <w:autoSpaceDN w:val="0"/>
        <w:adjustRightInd w:val="0"/>
        <w:jc w:val="both"/>
        <w:rPr>
          <w:rFonts w:eastAsia="Calibri"/>
          <w:b/>
          <w:bCs/>
        </w:rPr>
      </w:pPr>
      <w:r>
        <w:t xml:space="preserve">      </w:t>
      </w:r>
      <w:r w:rsidR="00147EEB">
        <w:t>Согласно действующему Федеральному закону</w:t>
      </w:r>
      <w:proofErr w:type="gramStart"/>
      <w:r w:rsidR="004A2683">
        <w:t xml:space="preserve"> </w:t>
      </w:r>
      <w:r w:rsidR="00147EEB">
        <w:t>,</w:t>
      </w:r>
      <w:proofErr w:type="gramEnd"/>
      <w:r w:rsidR="00147EEB">
        <w:t xml:space="preserve"> </w:t>
      </w:r>
      <w:r w:rsidR="00147EEB" w:rsidRPr="004A2683">
        <w:rPr>
          <w:b/>
        </w:rPr>
        <w:t>контрактная система в сфере закупок</w:t>
      </w:r>
      <w:r w:rsidR="00147EEB">
        <w:t xml:space="preserve"> товаров, работ, услуг для обеспечения государственных и муниципальных нужд </w:t>
      </w:r>
      <w:r w:rsidR="004A2683">
        <w:rPr>
          <w:rFonts w:eastAsia="Calibri"/>
          <w:b/>
          <w:bCs/>
        </w:rPr>
        <w:t xml:space="preserve">) </w:t>
      </w:r>
      <w:r>
        <w:rPr>
          <w:rFonts w:eastAsia="Calibri"/>
          <w:bCs/>
        </w:rPr>
        <w:t>–</w:t>
      </w:r>
      <w:r w:rsidR="004A2683" w:rsidRPr="004A2683">
        <w:rPr>
          <w:rFonts w:eastAsia="Calibri"/>
          <w:bCs/>
        </w:rPr>
        <w:t xml:space="preserve"> </w:t>
      </w:r>
      <w:r>
        <w:rPr>
          <w:rFonts w:eastAsia="Calibri"/>
          <w:bCs/>
        </w:rPr>
        <w:t xml:space="preserve">это </w:t>
      </w:r>
      <w:r w:rsidR="004A2683" w:rsidRPr="004A2683">
        <w:rPr>
          <w:rFonts w:eastAsia="Calibri"/>
          <w:b/>
          <w:bCs/>
        </w:rPr>
        <w:t>совокупность участников контрактной системы в сфере закупок</w:t>
      </w:r>
      <w:r w:rsidR="004A2683" w:rsidRPr="004A2683">
        <w:rPr>
          <w:rFonts w:eastAsia="Calibri"/>
          <w:bCs/>
        </w:rPr>
        <w:t xml:space="preserve">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w:t>
      </w:r>
      <w:r w:rsidR="004A2683" w:rsidRPr="004A2683">
        <w:rPr>
          <w:rFonts w:eastAsia="Calibri"/>
          <w:bCs/>
        </w:rPr>
        <w:lastRenderedPageBreak/>
        <w:t>самоуправления, уполномоченные на осуществление нормативно-правового регулирова</w:t>
      </w:r>
      <w:r w:rsidR="004A2683">
        <w:rPr>
          <w:rFonts w:eastAsia="Calibri"/>
          <w:bCs/>
        </w:rPr>
        <w:t>ния и контроля в сфере закупок,…..</w:t>
      </w:r>
      <w:r w:rsidR="004A2683">
        <w:rPr>
          <w:rFonts w:eastAsia="Calibri"/>
          <w:b/>
          <w:bCs/>
        </w:rPr>
        <w:t xml:space="preserve"> </w:t>
      </w:r>
      <w:r w:rsidR="004A2683" w:rsidRPr="004A2683">
        <w:rPr>
          <w:rFonts w:eastAsia="Calibri"/>
          <w:bCs/>
        </w:rPr>
        <w:t>заказчики, участники закупок, в том числе признанные поставщиками (подрядчиками, исполнителями</w:t>
      </w:r>
      <w:r w:rsidR="004A2683">
        <w:rPr>
          <w:rFonts w:eastAsia="Calibri"/>
          <w:b/>
          <w:bCs/>
        </w:rPr>
        <w:t>)</w:t>
      </w:r>
      <w:proofErr w:type="gramStart"/>
      <w:r w:rsidR="004A2683">
        <w:rPr>
          <w:rFonts w:eastAsia="Calibri"/>
          <w:b/>
          <w:bCs/>
        </w:rPr>
        <w:t xml:space="preserve"> ,</w:t>
      </w:r>
      <w:proofErr w:type="gramEnd"/>
      <w:r w:rsidR="004A2683">
        <w:rPr>
          <w:rFonts w:eastAsia="Calibri"/>
          <w:b/>
          <w:bCs/>
        </w:rPr>
        <w:t xml:space="preserve"> </w:t>
      </w:r>
      <w:r w:rsidR="004A2683" w:rsidRPr="004A2683">
        <w:rPr>
          <w:rFonts w:eastAsia="Calibri"/>
          <w:bCs/>
        </w:rPr>
        <w:t xml:space="preserve">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w:t>
      </w:r>
      <w:r w:rsidR="004A2683" w:rsidRPr="004A2683">
        <w:rPr>
          <w:rFonts w:eastAsia="Calibri"/>
          <w:b/>
          <w:bCs/>
        </w:rPr>
        <w:t>и осуществляемых ими, в том числе с использованием единой информационной системы в сфере закупок,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r w:rsidR="0047793B">
        <w:rPr>
          <w:rFonts w:eastAsia="Calibri"/>
          <w:b/>
          <w:bCs/>
        </w:rPr>
        <w:t>.</w:t>
      </w:r>
    </w:p>
    <w:p w:rsidR="004A2683" w:rsidRDefault="00147EEB" w:rsidP="00610103">
      <w:pPr>
        <w:autoSpaceDE w:val="0"/>
        <w:autoSpaceDN w:val="0"/>
        <w:adjustRightInd w:val="0"/>
        <w:spacing w:line="264" w:lineRule="auto"/>
        <w:ind w:firstLine="426"/>
        <w:jc w:val="both"/>
      </w:pPr>
      <w:r w:rsidRPr="004A2683">
        <w:rPr>
          <w:b/>
        </w:rPr>
        <w:t>Целью контрактной системы в сфере закупок</w:t>
      </w:r>
      <w:r>
        <w:t xml:space="preserve"> можно обозначить реализацию единого цикла формирования, размещения государственного заказа и исполнения государственных контрактов. </w:t>
      </w:r>
    </w:p>
    <w:p w:rsidR="004A2683" w:rsidRDefault="00147EEB" w:rsidP="00610103">
      <w:pPr>
        <w:autoSpaceDE w:val="0"/>
        <w:autoSpaceDN w:val="0"/>
        <w:adjustRightInd w:val="0"/>
        <w:spacing w:line="264" w:lineRule="auto"/>
        <w:ind w:firstLine="426"/>
        <w:jc w:val="both"/>
      </w:pPr>
      <w:r>
        <w:t xml:space="preserve">Таким образом, контрактная система направлена на увеличение эффективности и результативности обеспечения государственных и муниципальных нужд путем осуществления единого подхода ко всему процессу закупок: от планирования до предоставления заказа и оценки. Создание качественного института обеспечения государственных и муниципальных нужд является важной задачей, поскольку контрактная система в сфере закупок может выполнить модернизацию и инновационное обновление российской экономики. </w:t>
      </w:r>
    </w:p>
    <w:p w:rsidR="004A2683" w:rsidRDefault="00147EEB" w:rsidP="00610103">
      <w:pPr>
        <w:autoSpaceDE w:val="0"/>
        <w:autoSpaceDN w:val="0"/>
        <w:adjustRightInd w:val="0"/>
        <w:spacing w:line="264" w:lineRule="auto"/>
        <w:ind w:firstLine="426"/>
        <w:jc w:val="both"/>
      </w:pPr>
      <w:r>
        <w:t xml:space="preserve">Кроме всего вышеперечисленного контрактная система в сфере закупок подразумевает под собой определенные задачи. </w:t>
      </w:r>
    </w:p>
    <w:p w:rsidR="00147EEB" w:rsidRDefault="00147EEB" w:rsidP="00610103">
      <w:pPr>
        <w:autoSpaceDE w:val="0"/>
        <w:autoSpaceDN w:val="0"/>
        <w:adjustRightInd w:val="0"/>
        <w:spacing w:line="264" w:lineRule="auto"/>
        <w:ind w:firstLine="426"/>
        <w:jc w:val="both"/>
      </w:pPr>
      <w:r w:rsidRPr="004A2683">
        <w:rPr>
          <w:b/>
        </w:rPr>
        <w:t>Основной задачей</w:t>
      </w:r>
      <w:r>
        <w:t xml:space="preserve"> можно выделить обеспечение приобретения товаров, услуг, работ для удовлетворения государственных и муниципальных нужд в условиях наиболее эффективного  расходования государственных (муниципальных) средств. В данном случае под эффективным расходованием государственных (муниципальных) средств понимается, что основное внимание при проведении закупок уделяется экономическим критериям, среди которых важнейшим является цена. Другими критериями выступают качество закупаемой продукции, эксплуатационные затраты, стоимость доставки и так далее. </w:t>
      </w:r>
    </w:p>
    <w:p w:rsidR="00610103" w:rsidRPr="0009416F" w:rsidRDefault="00610103" w:rsidP="00610103">
      <w:pPr>
        <w:autoSpaceDE w:val="0"/>
        <w:autoSpaceDN w:val="0"/>
        <w:adjustRightInd w:val="0"/>
        <w:spacing w:line="264" w:lineRule="auto"/>
        <w:ind w:firstLine="426"/>
        <w:jc w:val="both"/>
      </w:pPr>
      <w:r w:rsidRPr="005B73D7">
        <w:t xml:space="preserve">Расходы на государственные и </w:t>
      </w:r>
      <w:r>
        <w:t>муниципальные закупки должны проводиться</w:t>
      </w:r>
      <w:r w:rsidRPr="005B73D7">
        <w:t xml:space="preserve"> с учетом одного из главных принципов бюджетной системы РФ - </w:t>
      </w:r>
      <w:r w:rsidRPr="0009416F">
        <w:rPr>
          <w:b/>
        </w:rPr>
        <w:t>эффективности и экономности</w:t>
      </w:r>
      <w:r w:rsidRPr="0009416F">
        <w:t xml:space="preserve"> использования бюджетных средств.</w:t>
      </w:r>
    </w:p>
    <w:p w:rsidR="00610103" w:rsidRPr="0009416F" w:rsidRDefault="00610103" w:rsidP="00610103">
      <w:pPr>
        <w:autoSpaceDE w:val="0"/>
        <w:autoSpaceDN w:val="0"/>
        <w:adjustRightInd w:val="0"/>
        <w:ind w:firstLine="426"/>
        <w:jc w:val="both"/>
        <w:rPr>
          <w:rFonts w:eastAsia="Calibri"/>
          <w:color w:val="000000"/>
        </w:rPr>
      </w:pPr>
      <w:r w:rsidRPr="0009416F">
        <w:rPr>
          <w:rFonts w:cs="TT Jenevers"/>
          <w:color w:val="000000"/>
        </w:rPr>
        <w:t xml:space="preserve">В соответствии с действующим законодательством, одними из важнейших принципов контрактной системы являются обеспечение </w:t>
      </w:r>
      <w:r w:rsidRPr="0009416F">
        <w:rPr>
          <w:rFonts w:cs="TT Jenevers"/>
          <w:b/>
          <w:color w:val="000000"/>
        </w:rPr>
        <w:t>конкуренции и эффективность</w:t>
      </w:r>
      <w:r w:rsidRPr="0009416F">
        <w:rPr>
          <w:rFonts w:cs="TT Jenevers"/>
          <w:color w:val="000000"/>
        </w:rPr>
        <w:t xml:space="preserve"> осуществления закупок.</w:t>
      </w:r>
    </w:p>
    <w:p w:rsidR="00610103" w:rsidRDefault="00610103" w:rsidP="00610103">
      <w:pPr>
        <w:pStyle w:val="Default"/>
        <w:ind w:firstLine="426"/>
        <w:jc w:val="both"/>
        <w:rPr>
          <w:rFonts w:ascii="Times New Roman" w:eastAsia="Times New Roman" w:hAnsi="Times New Roman" w:cs="Times New Roman"/>
          <w:color w:val="auto"/>
        </w:rPr>
      </w:pPr>
      <w:r w:rsidRPr="00415993">
        <w:rPr>
          <w:rFonts w:ascii="Times New Roman" w:eastAsia="Times New Roman" w:hAnsi="Times New Roman" w:cs="Times New Roman"/>
          <w:color w:val="auto"/>
        </w:rPr>
        <w:t xml:space="preserve">Анализ положений </w:t>
      </w:r>
      <w:r w:rsidR="004A2683">
        <w:rPr>
          <w:rFonts w:ascii="Times New Roman" w:eastAsia="Times New Roman" w:hAnsi="Times New Roman" w:cs="Times New Roman"/>
          <w:color w:val="auto"/>
        </w:rPr>
        <w:t xml:space="preserve"> </w:t>
      </w:r>
      <w:r w:rsidRPr="00712A51">
        <w:rPr>
          <w:rFonts w:ascii="Times New Roman" w:eastAsia="Times New Roman" w:hAnsi="Times New Roman" w:cs="Times New Roman"/>
          <w:b/>
          <w:color w:val="auto"/>
        </w:rPr>
        <w:t>Закон</w:t>
      </w:r>
      <w:r w:rsidR="004A2683">
        <w:rPr>
          <w:rFonts w:ascii="Times New Roman" w:eastAsia="Times New Roman" w:hAnsi="Times New Roman" w:cs="Times New Roman"/>
          <w:b/>
          <w:color w:val="auto"/>
        </w:rPr>
        <w:t xml:space="preserve">а </w:t>
      </w:r>
      <w:r w:rsidRPr="00712A51">
        <w:rPr>
          <w:rFonts w:ascii="Times New Roman" w:eastAsia="Times New Roman" w:hAnsi="Times New Roman" w:cs="Times New Roman"/>
          <w:b/>
          <w:color w:val="auto"/>
        </w:rPr>
        <w:t xml:space="preserve"> №44-ФЗ</w:t>
      </w:r>
      <w:r>
        <w:rPr>
          <w:rFonts w:ascii="Times New Roman" w:eastAsia="Times New Roman" w:hAnsi="Times New Roman" w:cs="Times New Roman"/>
          <w:color w:val="auto"/>
        </w:rPr>
        <w:t xml:space="preserve"> </w:t>
      </w:r>
      <w:r w:rsidRPr="00415993">
        <w:rPr>
          <w:rFonts w:ascii="Times New Roman" w:eastAsia="Times New Roman" w:hAnsi="Times New Roman" w:cs="Times New Roman"/>
          <w:color w:val="auto"/>
        </w:rPr>
        <w:t xml:space="preserve">(пункт 5,6,7 статьи 3) и Бюджетного кодекса </w:t>
      </w:r>
      <w:r w:rsidRPr="0047793B">
        <w:rPr>
          <w:rFonts w:ascii="Times New Roman" w:eastAsia="Times New Roman" w:hAnsi="Times New Roman" w:cs="Times New Roman"/>
          <w:color w:val="auto"/>
        </w:rPr>
        <w:t>Р</w:t>
      </w:r>
      <w:r w:rsidR="00355698">
        <w:rPr>
          <w:rFonts w:ascii="Times New Roman" w:eastAsia="Times New Roman" w:hAnsi="Times New Roman" w:cs="Times New Roman"/>
          <w:color w:val="auto"/>
        </w:rPr>
        <w:t xml:space="preserve">оссийской Федерации </w:t>
      </w:r>
      <w:r w:rsidRPr="0047793B">
        <w:rPr>
          <w:rFonts w:ascii="Times New Roman" w:eastAsia="Times New Roman" w:hAnsi="Times New Roman" w:cs="Times New Roman"/>
          <w:color w:val="auto"/>
        </w:rPr>
        <w:t>(статья 6, часть 1 статьи 152, части 2 и 3 статьи 219, часть 8 статьи 241) показывает</w:t>
      </w:r>
      <w:r w:rsidRPr="00415993">
        <w:rPr>
          <w:rFonts w:ascii="Times New Roman" w:eastAsia="Times New Roman" w:hAnsi="Times New Roman" w:cs="Times New Roman"/>
          <w:color w:val="auto"/>
        </w:rPr>
        <w:t>, что государственные</w:t>
      </w:r>
      <w:r>
        <w:rPr>
          <w:rFonts w:ascii="Times New Roman" w:eastAsia="Times New Roman" w:hAnsi="Times New Roman" w:cs="Times New Roman"/>
          <w:color w:val="auto"/>
        </w:rPr>
        <w:t xml:space="preserve"> (муниципальные)</w:t>
      </w:r>
      <w:r w:rsidRPr="00415993">
        <w:rPr>
          <w:rFonts w:ascii="Times New Roman" w:eastAsia="Times New Roman" w:hAnsi="Times New Roman" w:cs="Times New Roman"/>
          <w:color w:val="auto"/>
        </w:rPr>
        <w:t xml:space="preserve"> заказчики имеют статус участников бюджетного процесса и принимают бюджетные обязательства путем заключения государственных контрактов. </w:t>
      </w:r>
    </w:p>
    <w:p w:rsidR="00610103" w:rsidRDefault="00610103" w:rsidP="00610103">
      <w:pPr>
        <w:pStyle w:val="Default"/>
        <w:ind w:firstLine="426"/>
        <w:jc w:val="both"/>
        <w:rPr>
          <w:rFonts w:ascii="Times New Roman" w:eastAsia="Times New Roman" w:hAnsi="Times New Roman" w:cs="Times New Roman"/>
          <w:color w:val="auto"/>
        </w:rPr>
      </w:pPr>
      <w:r w:rsidRPr="00415993">
        <w:rPr>
          <w:rFonts w:ascii="Times New Roman" w:eastAsia="Times New Roman" w:hAnsi="Times New Roman" w:cs="Times New Roman"/>
          <w:color w:val="auto"/>
        </w:rPr>
        <w:t xml:space="preserve">Следовательно, понятие </w:t>
      </w:r>
      <w:r w:rsidRPr="00EF4B57">
        <w:rPr>
          <w:rFonts w:ascii="Times New Roman" w:eastAsia="Times New Roman" w:hAnsi="Times New Roman" w:cs="Times New Roman"/>
          <w:i/>
          <w:color w:val="auto"/>
        </w:rPr>
        <w:t>эффективности</w:t>
      </w:r>
      <w:r w:rsidRPr="00415993">
        <w:rPr>
          <w:rFonts w:ascii="Times New Roman" w:eastAsia="Times New Roman" w:hAnsi="Times New Roman" w:cs="Times New Roman"/>
          <w:color w:val="auto"/>
        </w:rPr>
        <w:t xml:space="preserve"> осуществления государственных</w:t>
      </w:r>
      <w:r>
        <w:rPr>
          <w:rFonts w:ascii="Times New Roman" w:eastAsia="Times New Roman" w:hAnsi="Times New Roman" w:cs="Times New Roman"/>
          <w:color w:val="auto"/>
        </w:rPr>
        <w:t xml:space="preserve"> (муниципальных)</w:t>
      </w:r>
      <w:r w:rsidRPr="00415993">
        <w:rPr>
          <w:rFonts w:ascii="Times New Roman" w:eastAsia="Times New Roman" w:hAnsi="Times New Roman" w:cs="Times New Roman"/>
          <w:color w:val="auto"/>
        </w:rPr>
        <w:t xml:space="preserve"> закупок сопоставимо с понятием </w:t>
      </w:r>
      <w:r w:rsidRPr="00EF4B57">
        <w:rPr>
          <w:rFonts w:ascii="Times New Roman" w:eastAsia="Times New Roman" w:hAnsi="Times New Roman" w:cs="Times New Roman"/>
          <w:i/>
          <w:color w:val="auto"/>
        </w:rPr>
        <w:t>эффективности</w:t>
      </w:r>
      <w:r w:rsidRPr="00415993">
        <w:rPr>
          <w:rFonts w:ascii="Times New Roman" w:eastAsia="Times New Roman" w:hAnsi="Times New Roman" w:cs="Times New Roman"/>
          <w:color w:val="auto"/>
        </w:rPr>
        <w:t xml:space="preserve"> расходования бюджетных средств. </w:t>
      </w:r>
    </w:p>
    <w:p w:rsidR="00610103" w:rsidRPr="00415993" w:rsidRDefault="00610103" w:rsidP="00610103">
      <w:pPr>
        <w:pStyle w:val="Default"/>
        <w:ind w:firstLine="426"/>
        <w:jc w:val="both"/>
        <w:rPr>
          <w:rFonts w:ascii="Times New Roman" w:eastAsia="Times New Roman" w:hAnsi="Times New Roman" w:cs="Times New Roman"/>
          <w:color w:val="auto"/>
        </w:rPr>
      </w:pPr>
      <w:r w:rsidRPr="00415993">
        <w:rPr>
          <w:rFonts w:ascii="Times New Roman" w:eastAsia="Times New Roman" w:hAnsi="Times New Roman" w:cs="Times New Roman"/>
          <w:color w:val="auto"/>
        </w:rPr>
        <w:t>Бюджетный кодекс Р</w:t>
      </w:r>
      <w:r w:rsidR="00355698">
        <w:rPr>
          <w:rFonts w:ascii="Times New Roman" w:eastAsia="Times New Roman" w:hAnsi="Times New Roman" w:cs="Times New Roman"/>
          <w:color w:val="auto"/>
        </w:rPr>
        <w:t xml:space="preserve">оссийской Федерации </w:t>
      </w:r>
      <w:r w:rsidRPr="00415993">
        <w:rPr>
          <w:rFonts w:ascii="Times New Roman" w:eastAsia="Times New Roman" w:hAnsi="Times New Roman" w:cs="Times New Roman"/>
          <w:color w:val="auto"/>
        </w:rPr>
        <w:t xml:space="preserve">(статья 34) определяет </w:t>
      </w:r>
      <w:r w:rsidRPr="00EF4B57">
        <w:rPr>
          <w:rFonts w:ascii="Times New Roman" w:eastAsia="Times New Roman" w:hAnsi="Times New Roman" w:cs="Times New Roman"/>
          <w:i/>
          <w:color w:val="auto"/>
        </w:rPr>
        <w:t>принцип эффективности использования бюджетных средств</w:t>
      </w:r>
      <w:r w:rsidRPr="00EF4B57">
        <w:rPr>
          <w:rFonts w:ascii="Times New Roman" w:eastAsia="Times New Roman" w:hAnsi="Times New Roman" w:cs="Times New Roman"/>
          <w:color w:val="auto"/>
        </w:rPr>
        <w:t xml:space="preserve"> </w:t>
      </w:r>
      <w:r w:rsidRPr="00415993">
        <w:rPr>
          <w:rFonts w:ascii="Times New Roman" w:eastAsia="Times New Roman" w:hAnsi="Times New Roman" w:cs="Times New Roman"/>
          <w:color w:val="auto"/>
        </w:rPr>
        <w:t xml:space="preserve">как обязанность участников бюджетного процесса при составлении и исполнении бюджетов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w:t>
      </w:r>
    </w:p>
    <w:p w:rsidR="00610103" w:rsidRDefault="00610103" w:rsidP="00610103">
      <w:pPr>
        <w:autoSpaceDE w:val="0"/>
        <w:autoSpaceDN w:val="0"/>
        <w:adjustRightInd w:val="0"/>
        <w:spacing w:line="264" w:lineRule="auto"/>
        <w:ind w:firstLine="426"/>
        <w:jc w:val="both"/>
        <w:rPr>
          <w:lang w:eastAsia="en-US"/>
        </w:rPr>
      </w:pPr>
      <w:r>
        <w:lastRenderedPageBreak/>
        <w:t xml:space="preserve">Данный принцип нашел отражение и в статье 1 Закона №44-ФЗ, который </w:t>
      </w:r>
      <w:r>
        <w:rPr>
          <w:lang w:eastAsia="en-US"/>
        </w:rPr>
        <w:t xml:space="preserve">регулирует отношения, направленные на обеспечение государственных и муниципальных нужд в целях повышения </w:t>
      </w:r>
      <w:r w:rsidRPr="00123CDD">
        <w:rPr>
          <w:i/>
          <w:lang w:eastAsia="en-US"/>
        </w:rPr>
        <w:t>эффективности, результативности</w:t>
      </w:r>
      <w:r>
        <w:rPr>
          <w:lang w:eastAsia="en-US"/>
        </w:rPr>
        <w:t xml:space="preserve">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p>
    <w:p w:rsidR="00610103" w:rsidRDefault="00610103" w:rsidP="00610103">
      <w:pPr>
        <w:autoSpaceDE w:val="0"/>
        <w:autoSpaceDN w:val="0"/>
        <w:adjustRightInd w:val="0"/>
        <w:spacing w:line="120" w:lineRule="auto"/>
        <w:jc w:val="both"/>
        <w:rPr>
          <w:rFonts w:eastAsia="Calibri"/>
          <w:color w:val="000000"/>
        </w:rPr>
      </w:pPr>
    </w:p>
    <w:p w:rsidR="00610103" w:rsidRPr="006A15BF" w:rsidRDefault="00610103" w:rsidP="00610103">
      <w:pPr>
        <w:autoSpaceDE w:val="0"/>
        <w:autoSpaceDN w:val="0"/>
        <w:adjustRightInd w:val="0"/>
        <w:ind w:firstLine="426"/>
        <w:jc w:val="both"/>
        <w:rPr>
          <w:rFonts w:eastAsia="Calibri"/>
          <w:color w:val="000000"/>
        </w:rPr>
      </w:pPr>
      <w:r w:rsidRPr="006A15BF">
        <w:rPr>
          <w:rFonts w:eastAsia="Calibri"/>
          <w:color w:val="000000"/>
        </w:rPr>
        <w:t xml:space="preserve">В настоящее время в Российской Федерации продолжает реализовываться масштабная реформа системы управления общественными финансами, ключевыми направлениями которой являются: </w:t>
      </w:r>
    </w:p>
    <w:p w:rsidR="00610103" w:rsidRDefault="00610103" w:rsidP="00456F59">
      <w:pPr>
        <w:numPr>
          <w:ilvl w:val="0"/>
          <w:numId w:val="23"/>
        </w:numPr>
        <w:autoSpaceDE w:val="0"/>
        <w:autoSpaceDN w:val="0"/>
        <w:adjustRightInd w:val="0"/>
        <w:ind w:left="0" w:firstLine="426"/>
        <w:jc w:val="both"/>
        <w:rPr>
          <w:rFonts w:eastAsia="Calibri"/>
          <w:color w:val="000000"/>
        </w:rPr>
      </w:pPr>
      <w:r w:rsidRPr="006A15BF">
        <w:rPr>
          <w:rFonts w:eastAsia="Calibri"/>
          <w:color w:val="000000"/>
        </w:rPr>
        <w:t xml:space="preserve">формирование бюджетной политики на основании и во взаимосвязи с показателями государственных программ Российской Федерации; </w:t>
      </w:r>
    </w:p>
    <w:p w:rsidR="00610103" w:rsidRDefault="00610103" w:rsidP="00456F59">
      <w:pPr>
        <w:numPr>
          <w:ilvl w:val="0"/>
          <w:numId w:val="23"/>
        </w:numPr>
        <w:autoSpaceDE w:val="0"/>
        <w:autoSpaceDN w:val="0"/>
        <w:adjustRightInd w:val="0"/>
        <w:ind w:left="0" w:firstLine="426"/>
        <w:jc w:val="both"/>
        <w:rPr>
          <w:rFonts w:eastAsia="Calibri"/>
          <w:color w:val="000000"/>
        </w:rPr>
      </w:pPr>
      <w:r w:rsidRPr="006A15BF">
        <w:rPr>
          <w:rFonts w:eastAsia="Calibri"/>
          <w:color w:val="000000"/>
        </w:rPr>
        <w:t xml:space="preserve">обеспечение конкурентной и прозрачной системы закупок для обеспечения государственных (муниципальных) нужд; </w:t>
      </w:r>
    </w:p>
    <w:p w:rsidR="00610103" w:rsidRPr="006A15BF" w:rsidRDefault="00610103" w:rsidP="00456F59">
      <w:pPr>
        <w:numPr>
          <w:ilvl w:val="0"/>
          <w:numId w:val="23"/>
        </w:numPr>
        <w:autoSpaceDE w:val="0"/>
        <w:autoSpaceDN w:val="0"/>
        <w:adjustRightInd w:val="0"/>
        <w:ind w:left="0" w:firstLine="426"/>
        <w:jc w:val="both"/>
        <w:rPr>
          <w:rFonts w:eastAsia="Calibri"/>
          <w:color w:val="000000"/>
        </w:rPr>
      </w:pPr>
      <w:r w:rsidRPr="006A15BF">
        <w:rPr>
          <w:rFonts w:eastAsia="Calibri"/>
          <w:color w:val="000000"/>
        </w:rPr>
        <w:t xml:space="preserve">повышение открытости, прозрачности и ритмичности бюджетного процесса. </w:t>
      </w:r>
    </w:p>
    <w:p w:rsidR="00610103" w:rsidRDefault="00610103" w:rsidP="00610103">
      <w:pPr>
        <w:autoSpaceDE w:val="0"/>
        <w:autoSpaceDN w:val="0"/>
        <w:adjustRightInd w:val="0"/>
        <w:ind w:firstLine="426"/>
        <w:jc w:val="both"/>
        <w:rPr>
          <w:rFonts w:eastAsia="Calibri"/>
          <w:color w:val="000000"/>
        </w:rPr>
      </w:pPr>
      <w:r w:rsidRPr="006A15BF">
        <w:rPr>
          <w:rFonts w:eastAsia="Calibri"/>
          <w:color w:val="000000"/>
        </w:rPr>
        <w:t>Принимаются и разрабатываются новые меры</w:t>
      </w:r>
      <w:proofErr w:type="gramStart"/>
      <w:r>
        <w:rPr>
          <w:rFonts w:eastAsia="Calibri"/>
          <w:color w:val="000000"/>
        </w:rPr>
        <w:t xml:space="preserve"> </w:t>
      </w:r>
      <w:r w:rsidRPr="006A15BF">
        <w:rPr>
          <w:rFonts w:eastAsia="Calibri"/>
          <w:color w:val="000000"/>
        </w:rPr>
        <w:t>,</w:t>
      </w:r>
      <w:proofErr w:type="gramEnd"/>
      <w:r w:rsidRPr="006A15BF">
        <w:rPr>
          <w:rFonts w:eastAsia="Calibri"/>
          <w:color w:val="000000"/>
        </w:rPr>
        <w:t xml:space="preserve"> направленные на реализацию ключевых приоритетов социально-экономического развития страны, в том числе в рамках действующей Концепции повышения эффективности бюджетных расходов в 2019-2024 годах, утвержденной </w:t>
      </w:r>
      <w:r>
        <w:rPr>
          <w:rFonts w:eastAsia="Calibri"/>
          <w:color w:val="000000"/>
        </w:rPr>
        <w:t xml:space="preserve"> </w:t>
      </w:r>
      <w:r w:rsidRPr="006A15BF">
        <w:rPr>
          <w:rFonts w:eastAsia="Calibri"/>
          <w:b/>
          <w:color w:val="000000"/>
        </w:rPr>
        <w:t>распоряжением Правительства РФ от 31.01.2019 № 117-р</w:t>
      </w:r>
      <w:r w:rsidRPr="006A15BF">
        <w:rPr>
          <w:rFonts w:eastAsia="Calibri"/>
          <w:color w:val="000000"/>
        </w:rPr>
        <w:t>, в части осуществления планомерного совершенствования системы закупок товаров, работ, услуг для государственных и муниципальных нужд.</w:t>
      </w:r>
    </w:p>
    <w:p w:rsidR="001E719F" w:rsidRDefault="001E719F" w:rsidP="00610103">
      <w:pPr>
        <w:autoSpaceDE w:val="0"/>
        <w:autoSpaceDN w:val="0"/>
        <w:adjustRightInd w:val="0"/>
        <w:ind w:firstLine="425"/>
        <w:jc w:val="both"/>
      </w:pPr>
      <w:r>
        <w:t xml:space="preserve">После принятия </w:t>
      </w:r>
      <w:r w:rsidR="00355698">
        <w:t xml:space="preserve"> </w:t>
      </w:r>
      <w:r>
        <w:t>Концепции повышения эффективности бюджетных расходов в 2019 -2024 гг. начался новый этап реформирования контрактной системы закупок для обеспечения государственных и муниципальных нужд</w:t>
      </w:r>
      <w:r w:rsidR="00A63DEB">
        <w:t>.</w:t>
      </w:r>
    </w:p>
    <w:p w:rsidR="00610103" w:rsidRPr="007645BC" w:rsidRDefault="00610103" w:rsidP="00610103">
      <w:pPr>
        <w:autoSpaceDE w:val="0"/>
        <w:autoSpaceDN w:val="0"/>
        <w:adjustRightInd w:val="0"/>
        <w:ind w:firstLine="425"/>
        <w:jc w:val="both"/>
      </w:pPr>
      <w:r w:rsidRPr="007645BC">
        <w:t xml:space="preserve">В рамках реализации Концепции осуществляется планомерное совершенствование системы закупок товаров, работ, услуг для государственных и федеральных нужд, в рамках </w:t>
      </w:r>
      <w:proofErr w:type="gramStart"/>
      <w:r w:rsidRPr="007645BC">
        <w:t>реализации</w:t>
      </w:r>
      <w:proofErr w:type="gramEnd"/>
      <w:r w:rsidR="00355698">
        <w:t xml:space="preserve"> </w:t>
      </w:r>
      <w:r w:rsidRPr="007645BC">
        <w:t xml:space="preserve"> которой</w:t>
      </w:r>
      <w:r>
        <w:t>,</w:t>
      </w:r>
      <w:r w:rsidRPr="007645BC">
        <w:t xml:space="preserve"> в Закон № 44-ФЗ уже был внесен целый ряд комплексных поправок, направленных на оптимизацию и сокращение сроков осуществления закупок</w:t>
      </w:r>
      <w:r>
        <w:t>.</w:t>
      </w:r>
    </w:p>
    <w:p w:rsidR="00610103" w:rsidRDefault="00610103" w:rsidP="00610103">
      <w:pPr>
        <w:autoSpaceDE w:val="0"/>
        <w:autoSpaceDN w:val="0"/>
        <w:adjustRightInd w:val="0"/>
        <w:spacing w:after="120" w:line="300" w:lineRule="exact"/>
        <w:ind w:firstLine="425"/>
        <w:jc w:val="both"/>
        <w:rPr>
          <w:rFonts w:eastAsia="Calibri"/>
          <w:color w:val="000000"/>
        </w:rPr>
      </w:pPr>
      <w:r w:rsidRPr="00712A51">
        <w:rPr>
          <w:rFonts w:eastAsia="Calibri"/>
          <w:color w:val="000000"/>
        </w:rPr>
        <w:t xml:space="preserve">Принятие комплексных поправок в </w:t>
      </w:r>
      <w:r w:rsidRPr="00712A51">
        <w:rPr>
          <w:rFonts w:eastAsia="Calibri"/>
          <w:b/>
          <w:color w:val="000000"/>
        </w:rPr>
        <w:t>Закон № 44-ФЗ</w:t>
      </w:r>
      <w:r w:rsidRPr="00712A51">
        <w:rPr>
          <w:rFonts w:eastAsia="Calibri"/>
          <w:color w:val="000000"/>
        </w:rPr>
        <w:t xml:space="preserve"> и соответствующих актов Правительства Российской Федерации создало основу для перехода</w:t>
      </w:r>
      <w:r>
        <w:rPr>
          <w:rFonts w:eastAsia="Calibri"/>
          <w:color w:val="000000"/>
        </w:rPr>
        <w:t>,</w:t>
      </w:r>
      <w:r w:rsidRPr="00712A51">
        <w:rPr>
          <w:rFonts w:eastAsia="Calibri"/>
          <w:color w:val="000000"/>
        </w:rPr>
        <w:t xml:space="preserve"> </w:t>
      </w:r>
      <w:r>
        <w:rPr>
          <w:rFonts w:eastAsia="Calibri"/>
          <w:color w:val="000000"/>
        </w:rPr>
        <w:t xml:space="preserve">начиная </w:t>
      </w:r>
      <w:r w:rsidRPr="00712A51">
        <w:rPr>
          <w:rFonts w:eastAsia="Calibri"/>
          <w:color w:val="000000"/>
        </w:rPr>
        <w:t xml:space="preserve">с 2019 года </w:t>
      </w:r>
      <w:r w:rsidRPr="003B27A5">
        <w:rPr>
          <w:rFonts w:eastAsia="Calibri"/>
          <w:b/>
          <w:color w:val="000000"/>
        </w:rPr>
        <w:t xml:space="preserve">к </w:t>
      </w:r>
      <w:r w:rsidRPr="009F21F5">
        <w:rPr>
          <w:rFonts w:eastAsia="Calibri"/>
          <w:b/>
          <w:color w:val="000000"/>
        </w:rPr>
        <w:t>новому этапу развития контрактной системы.</w:t>
      </w:r>
      <w:r w:rsidRPr="009F21F5">
        <w:rPr>
          <w:rFonts w:eastAsia="Calibri"/>
          <w:color w:val="000000"/>
        </w:rPr>
        <w:t xml:space="preserve"> </w:t>
      </w:r>
    </w:p>
    <w:p w:rsidR="00610103" w:rsidRDefault="00610103" w:rsidP="00610103">
      <w:pPr>
        <w:autoSpaceDE w:val="0"/>
        <w:autoSpaceDN w:val="0"/>
        <w:adjustRightInd w:val="0"/>
        <w:ind w:firstLine="425"/>
        <w:jc w:val="both"/>
        <w:rPr>
          <w:rFonts w:eastAsia="Calibri"/>
          <w:color w:val="000000"/>
        </w:rPr>
      </w:pPr>
      <w:r w:rsidRPr="00C96BC1">
        <w:rPr>
          <w:rFonts w:eastAsia="Calibri"/>
          <w:color w:val="000000"/>
        </w:rPr>
        <w:t>В 2022 году работа по совершенствованию законодательства</w:t>
      </w:r>
      <w:r>
        <w:rPr>
          <w:rFonts w:eastAsia="Calibri"/>
          <w:color w:val="000000"/>
        </w:rPr>
        <w:t xml:space="preserve"> </w:t>
      </w:r>
      <w:r w:rsidRPr="00C96BC1">
        <w:rPr>
          <w:rFonts w:eastAsia="Calibri"/>
          <w:color w:val="000000"/>
        </w:rPr>
        <w:t>Российской Федерации и иных нормативных правовых актов о контрактной</w:t>
      </w:r>
      <w:r>
        <w:rPr>
          <w:rFonts w:eastAsia="Calibri"/>
          <w:color w:val="000000"/>
        </w:rPr>
        <w:t xml:space="preserve"> </w:t>
      </w:r>
      <w:r w:rsidRPr="00C96BC1">
        <w:rPr>
          <w:rFonts w:eastAsia="Calibri"/>
          <w:color w:val="000000"/>
        </w:rPr>
        <w:t xml:space="preserve">системе в сфере закупок </w:t>
      </w:r>
      <w:r w:rsidR="00296FA8">
        <w:rPr>
          <w:rFonts w:eastAsia="Calibri"/>
          <w:color w:val="000000"/>
        </w:rPr>
        <w:t>была</w:t>
      </w:r>
      <w:r w:rsidRPr="00C96BC1">
        <w:rPr>
          <w:rFonts w:eastAsia="Calibri"/>
          <w:color w:val="000000"/>
        </w:rPr>
        <w:t xml:space="preserve"> продолжена для реализации положений Концепции</w:t>
      </w:r>
      <w:r>
        <w:rPr>
          <w:rFonts w:eastAsia="Calibri"/>
          <w:color w:val="000000"/>
        </w:rPr>
        <w:t xml:space="preserve"> </w:t>
      </w:r>
      <w:r w:rsidRPr="00C96BC1">
        <w:rPr>
          <w:rFonts w:eastAsia="Calibri"/>
          <w:color w:val="000000"/>
        </w:rPr>
        <w:t>повышения эффективности бюджетны</w:t>
      </w:r>
      <w:r>
        <w:rPr>
          <w:rFonts w:eastAsia="Calibri"/>
          <w:color w:val="000000"/>
        </w:rPr>
        <w:t xml:space="preserve">х расходов </w:t>
      </w:r>
      <w:r w:rsidR="00355698">
        <w:rPr>
          <w:rFonts w:eastAsia="Calibri"/>
          <w:color w:val="000000"/>
        </w:rPr>
        <w:t xml:space="preserve"> в </w:t>
      </w:r>
      <w:r w:rsidRPr="00C96BC1">
        <w:rPr>
          <w:rFonts w:eastAsia="Calibri"/>
          <w:color w:val="000000"/>
        </w:rPr>
        <w:t>частности по вопросам совершенствования нормирования закупок</w:t>
      </w:r>
      <w:proofErr w:type="gramStart"/>
      <w:r>
        <w:rPr>
          <w:rFonts w:eastAsia="Calibri"/>
          <w:color w:val="000000"/>
        </w:rPr>
        <w:t xml:space="preserve"> </w:t>
      </w:r>
      <w:r w:rsidRPr="00C96BC1">
        <w:rPr>
          <w:rFonts w:eastAsia="Calibri"/>
          <w:color w:val="000000"/>
        </w:rPr>
        <w:t>,</w:t>
      </w:r>
      <w:proofErr w:type="gramEnd"/>
      <w:r>
        <w:rPr>
          <w:rFonts w:eastAsia="Calibri"/>
          <w:color w:val="000000"/>
        </w:rPr>
        <w:t xml:space="preserve"> </w:t>
      </w:r>
      <w:r w:rsidRPr="00C96BC1">
        <w:rPr>
          <w:rFonts w:eastAsia="Calibri"/>
          <w:color w:val="000000"/>
        </w:rPr>
        <w:t>осуществления закупок, по результатам которых заключаются государственные</w:t>
      </w:r>
      <w:r>
        <w:rPr>
          <w:rFonts w:eastAsia="Calibri"/>
          <w:color w:val="000000"/>
        </w:rPr>
        <w:t xml:space="preserve"> </w:t>
      </w:r>
      <w:r w:rsidRPr="00C96BC1">
        <w:rPr>
          <w:rFonts w:eastAsia="Calibri"/>
          <w:color w:val="000000"/>
        </w:rPr>
        <w:t>контракты со встречными инвестиционными обязательствами ("офсетные"</w:t>
      </w:r>
      <w:r>
        <w:rPr>
          <w:rFonts w:eastAsia="Calibri"/>
          <w:color w:val="000000"/>
        </w:rPr>
        <w:t xml:space="preserve"> </w:t>
      </w:r>
      <w:r w:rsidRPr="00C96BC1">
        <w:rPr>
          <w:rFonts w:eastAsia="Calibri"/>
          <w:color w:val="000000"/>
        </w:rPr>
        <w:t>контракты), принятия дополнительных мер, обеспечивающих расширение</w:t>
      </w:r>
      <w:r>
        <w:rPr>
          <w:rFonts w:eastAsia="Calibri"/>
          <w:color w:val="000000"/>
        </w:rPr>
        <w:t xml:space="preserve"> </w:t>
      </w:r>
      <w:r w:rsidRPr="00C96BC1">
        <w:rPr>
          <w:rFonts w:eastAsia="Calibri"/>
          <w:color w:val="000000"/>
        </w:rPr>
        <w:t>применения каталога товаров, работ, услуг для обеспечения государственных</w:t>
      </w:r>
      <w:r>
        <w:rPr>
          <w:rFonts w:eastAsia="Calibri"/>
          <w:color w:val="000000"/>
        </w:rPr>
        <w:t xml:space="preserve"> </w:t>
      </w:r>
      <w:r w:rsidRPr="00C96BC1">
        <w:rPr>
          <w:rFonts w:eastAsia="Calibri"/>
          <w:color w:val="000000"/>
        </w:rPr>
        <w:t>и муниципальных нужд.</w:t>
      </w:r>
    </w:p>
    <w:p w:rsidR="00755016" w:rsidRDefault="00755016" w:rsidP="00755016">
      <w:pPr>
        <w:ind w:right="140" w:firstLine="426"/>
        <w:jc w:val="both"/>
      </w:pPr>
      <w:r>
        <w:t xml:space="preserve">Необходимо отметить, что </w:t>
      </w:r>
      <w:r w:rsidR="002D5E6C">
        <w:t>з</w:t>
      </w:r>
      <w:r>
        <w:t xml:space="preserve">акупочная деятельность заказчиков  в отчетном периоде </w:t>
      </w:r>
      <w:r w:rsidRPr="00BA6EF2">
        <w:rPr>
          <w:b/>
        </w:rPr>
        <w:t>2022 года</w:t>
      </w:r>
      <w:r>
        <w:t xml:space="preserve"> осуществлялась </w:t>
      </w:r>
      <w:r w:rsidRPr="0091123B">
        <w:rPr>
          <w:b/>
        </w:rPr>
        <w:t xml:space="preserve">в условиях </w:t>
      </w:r>
      <w:proofErr w:type="spellStart"/>
      <w:r w:rsidRPr="0091123B">
        <w:rPr>
          <w:b/>
        </w:rPr>
        <w:t>санкционного</w:t>
      </w:r>
      <w:proofErr w:type="spellEnd"/>
      <w:r w:rsidRPr="0091123B">
        <w:rPr>
          <w:b/>
        </w:rPr>
        <w:t xml:space="preserve"> давления</w:t>
      </w:r>
      <w:r>
        <w:t xml:space="preserve"> на Российскую Федерацию. </w:t>
      </w:r>
    </w:p>
    <w:p w:rsidR="00755016" w:rsidRDefault="00755016" w:rsidP="00755016">
      <w:pPr>
        <w:ind w:right="140" w:firstLine="426"/>
        <w:jc w:val="both"/>
      </w:pPr>
      <w:r>
        <w:t>Введение с 24.02.2022 года мер ограничительного характера иностранными государствами, совершающими недружественные действия в отношении РФ, вызвало дефицит на рынке товаров и материалов, используемых при выполнении работ и оказании услуг, связанных с импортными поставками либо имеющих высокую долю комплектующих (сырья) импортного производства, а также повышения цен на товары и материалы. По указанным причинам значительно увеличилась доля закупок, признанных несостоявшимися, которые не привели к заключению контракта, у значительного количества поставщиков возникли трудности при исполнении контрактов.</w:t>
      </w:r>
    </w:p>
    <w:p w:rsidR="00226F8E" w:rsidRDefault="00226F8E" w:rsidP="00A44F2C">
      <w:pPr>
        <w:autoSpaceDE w:val="0"/>
        <w:autoSpaceDN w:val="0"/>
        <w:adjustRightInd w:val="0"/>
        <w:jc w:val="both"/>
      </w:pPr>
      <w:r>
        <w:lastRenderedPageBreak/>
        <w:t xml:space="preserve">       Регулирование сферы закупок в 2022 году в связи с изменениями внешних условий функционирования российской экономики, как и  регулирование других отраслей и  сфер, характеризуется в  первую очередь мерами, направленными на противодействие иностранному  </w:t>
      </w:r>
      <w:proofErr w:type="spellStart"/>
      <w:r>
        <w:t>санкционному</w:t>
      </w:r>
      <w:proofErr w:type="spellEnd"/>
      <w:r>
        <w:t xml:space="preserve"> давлению и антикризисную поддержку отраслей экономики. </w:t>
      </w:r>
    </w:p>
    <w:p w:rsidR="00677916" w:rsidRDefault="00226F8E" w:rsidP="00A44F2C">
      <w:pPr>
        <w:autoSpaceDE w:val="0"/>
        <w:autoSpaceDN w:val="0"/>
        <w:adjustRightInd w:val="0"/>
        <w:jc w:val="both"/>
      </w:pPr>
      <w:r>
        <w:t xml:space="preserve">        Российская экономика, в  целом преодолевшая пандемию, вызванную </w:t>
      </w:r>
      <w:proofErr w:type="spellStart"/>
      <w:r>
        <w:t>коронавирусом</w:t>
      </w:r>
      <w:proofErr w:type="spellEnd"/>
      <w:r>
        <w:t xml:space="preserve"> COVID-19, столкнулась с  беспрецедентным давлением иностранных санкций. Такие условия, образуя новые риски и вызовы, существенно усложнили деятельность заказчиков и поставщиков. </w:t>
      </w:r>
    </w:p>
    <w:p w:rsidR="00755016" w:rsidRDefault="00677916" w:rsidP="00A44F2C">
      <w:pPr>
        <w:autoSpaceDE w:val="0"/>
        <w:autoSpaceDN w:val="0"/>
        <w:adjustRightInd w:val="0"/>
        <w:jc w:val="both"/>
        <w:rPr>
          <w:b/>
        </w:rPr>
      </w:pPr>
      <w:r>
        <w:t xml:space="preserve">      </w:t>
      </w:r>
      <w:r w:rsidR="00226F8E">
        <w:t>Таким образом, законодательное регулирование и оперативные социально-экономические меры поддержки явились ключевым условием сохранения работоспособности российских компаний, стабилизации и развития экономики в целом.</w:t>
      </w:r>
    </w:p>
    <w:p w:rsidR="00755016" w:rsidRDefault="00755016" w:rsidP="00A44F2C">
      <w:pPr>
        <w:autoSpaceDE w:val="0"/>
        <w:autoSpaceDN w:val="0"/>
        <w:adjustRightInd w:val="0"/>
        <w:jc w:val="both"/>
        <w:rPr>
          <w:b/>
        </w:rPr>
      </w:pPr>
    </w:p>
    <w:p w:rsidR="00A44F2C" w:rsidRPr="003E475B" w:rsidRDefault="00A44F2C" w:rsidP="00A44F2C">
      <w:pPr>
        <w:autoSpaceDE w:val="0"/>
        <w:autoSpaceDN w:val="0"/>
        <w:adjustRightInd w:val="0"/>
        <w:jc w:val="both"/>
        <w:rPr>
          <w:b/>
        </w:rPr>
      </w:pPr>
      <w:r w:rsidRPr="003E475B">
        <w:rPr>
          <w:b/>
        </w:rPr>
        <w:t>1.</w:t>
      </w:r>
      <w:r>
        <w:rPr>
          <w:b/>
        </w:rPr>
        <w:t>2</w:t>
      </w:r>
      <w:r w:rsidRPr="003E475B">
        <w:rPr>
          <w:b/>
        </w:rPr>
        <w:t>.</w:t>
      </w:r>
      <w:r w:rsidRPr="003E475B">
        <w:t xml:space="preserve"> </w:t>
      </w:r>
      <w:r w:rsidRPr="003E475B">
        <w:rPr>
          <w:b/>
        </w:rPr>
        <w:t>Основные события в системе контрактных отношений в сфере закупок в 20</w:t>
      </w:r>
      <w:r w:rsidR="000B22ED">
        <w:rPr>
          <w:b/>
        </w:rPr>
        <w:t>22</w:t>
      </w:r>
      <w:r w:rsidRPr="003E475B">
        <w:rPr>
          <w:b/>
        </w:rPr>
        <w:t xml:space="preserve"> году.</w:t>
      </w:r>
    </w:p>
    <w:p w:rsidR="00BE232B" w:rsidRDefault="00700787" w:rsidP="00700787">
      <w:pPr>
        <w:autoSpaceDE w:val="0"/>
        <w:autoSpaceDN w:val="0"/>
        <w:adjustRightInd w:val="0"/>
        <w:ind w:firstLine="426"/>
        <w:jc w:val="both"/>
        <w:rPr>
          <w:rFonts w:eastAsia="Calibri"/>
          <w:color w:val="000000"/>
        </w:rPr>
      </w:pPr>
      <w:r w:rsidRPr="00700787">
        <w:rPr>
          <w:rFonts w:eastAsia="Calibri"/>
          <w:b/>
          <w:color w:val="000000"/>
        </w:rPr>
        <w:t>1</w:t>
      </w:r>
      <w:r w:rsidRPr="00700787">
        <w:rPr>
          <w:rFonts w:eastAsia="Calibri"/>
          <w:color w:val="000000"/>
        </w:rPr>
        <w:t xml:space="preserve">. </w:t>
      </w:r>
      <w:r w:rsidR="00BE232B">
        <w:rPr>
          <w:b/>
        </w:rPr>
        <w:t xml:space="preserve">Изменения законодательства </w:t>
      </w:r>
      <w:r w:rsidR="00BE232B" w:rsidRPr="00BE232B">
        <w:rPr>
          <w:rFonts w:eastAsia="Calibri"/>
          <w:b/>
        </w:rPr>
        <w:t>о контрактной системе в сфере закупок товаров, работ, услуг для обеспечения государственных и муниципальных нужд, принятые в отчетном периоде</w:t>
      </w:r>
      <w:r w:rsidR="00BE232B" w:rsidRPr="00BE232B">
        <w:rPr>
          <w:b/>
        </w:rPr>
        <w:t xml:space="preserve"> в целях совершенствования</w:t>
      </w:r>
      <w:r w:rsidR="00BE232B">
        <w:rPr>
          <w:b/>
        </w:rPr>
        <w:t xml:space="preserve"> контрактной системы</w:t>
      </w:r>
      <w:r w:rsidR="00BE232B">
        <w:rPr>
          <w:rFonts w:eastAsia="Calibri"/>
          <w:color w:val="000000"/>
        </w:rPr>
        <w:t>.</w:t>
      </w:r>
    </w:p>
    <w:p w:rsidR="00625D65" w:rsidRPr="0069137B" w:rsidRDefault="00625D65" w:rsidP="00700787">
      <w:pPr>
        <w:autoSpaceDE w:val="0"/>
        <w:autoSpaceDN w:val="0"/>
        <w:adjustRightInd w:val="0"/>
        <w:ind w:firstLine="426"/>
        <w:jc w:val="both"/>
        <w:rPr>
          <w:b/>
        </w:rPr>
      </w:pPr>
      <w:r>
        <w:t>В  части регулирования закупок товаров</w:t>
      </w:r>
      <w:proofErr w:type="gramStart"/>
      <w:r w:rsidR="0069137B">
        <w:t xml:space="preserve"> </w:t>
      </w:r>
      <w:r>
        <w:t>,</w:t>
      </w:r>
      <w:proofErr w:type="gramEnd"/>
      <w:r>
        <w:t xml:space="preserve"> работ, услуг для обеспечения государственных и  муниципальных нужд основным событием на  начало 2022 года явилось вступление в силу </w:t>
      </w:r>
      <w:r w:rsidRPr="00625D65">
        <w:rPr>
          <w:b/>
        </w:rPr>
        <w:t>с 1 января 2022 года</w:t>
      </w:r>
      <w:r>
        <w:t xml:space="preserve"> основных положений Федерального закона </w:t>
      </w:r>
      <w:r w:rsidRPr="00625D65">
        <w:rPr>
          <w:b/>
        </w:rPr>
        <w:t>от 02.07.2021 г. № 360-ФЗ</w:t>
      </w:r>
      <w:r>
        <w:t xml:space="preserve"> «О внесении изменений в отдельные законодательные акты Российской Федерации» и всех соответствующих подзаконных актов</w:t>
      </w:r>
      <w:r w:rsidR="0069137B">
        <w:t xml:space="preserve"> (далее –    </w:t>
      </w:r>
      <w:r w:rsidR="0069137B" w:rsidRPr="0069137B">
        <w:rPr>
          <w:b/>
        </w:rPr>
        <w:t>Закон №360 - ФЗ)</w:t>
      </w:r>
      <w:r w:rsidRPr="0069137B">
        <w:t xml:space="preserve">. </w:t>
      </w:r>
    </w:p>
    <w:p w:rsidR="00625D65" w:rsidRDefault="00625D65" w:rsidP="00700787">
      <w:pPr>
        <w:autoSpaceDE w:val="0"/>
        <w:autoSpaceDN w:val="0"/>
        <w:adjustRightInd w:val="0"/>
        <w:ind w:firstLine="426"/>
        <w:jc w:val="both"/>
      </w:pPr>
      <w:r>
        <w:t xml:space="preserve">Этот федеральный закон на этапе его разработки получил название </w:t>
      </w:r>
      <w:r w:rsidRPr="00625D65">
        <w:rPr>
          <w:b/>
        </w:rPr>
        <w:t>«оптимизационного»</w:t>
      </w:r>
      <w:r>
        <w:t xml:space="preserve"> и на практике позволил, впервые после 2013 года, провести комплексную оптимизацию государственных и  муниципальных закупок  – сократить количество способов отбора поставщиков, упростить и  ускорить процедуры, унифицировать документацию, ограничить недобросовестную конкуренцию, завершить внедрение электронного документооборота. </w:t>
      </w:r>
    </w:p>
    <w:p w:rsidR="00625D65" w:rsidRDefault="00625D65" w:rsidP="00700787">
      <w:pPr>
        <w:autoSpaceDE w:val="0"/>
        <w:autoSpaceDN w:val="0"/>
        <w:adjustRightInd w:val="0"/>
        <w:ind w:firstLine="426"/>
        <w:jc w:val="both"/>
      </w:pPr>
      <w:r>
        <w:t xml:space="preserve">Вместе с  принятыми в  2019–2020  годах изменениями указанным </w:t>
      </w:r>
      <w:r w:rsidR="00395DF9">
        <w:t xml:space="preserve">                    </w:t>
      </w:r>
      <w:r w:rsidR="00395DF9" w:rsidRPr="00395DF9">
        <w:rPr>
          <w:b/>
        </w:rPr>
        <w:t>З</w:t>
      </w:r>
      <w:r w:rsidRPr="00395DF9">
        <w:rPr>
          <w:b/>
        </w:rPr>
        <w:t xml:space="preserve">аконом </w:t>
      </w:r>
      <w:r w:rsidR="001C695B" w:rsidRPr="00395DF9">
        <w:rPr>
          <w:b/>
        </w:rPr>
        <w:t xml:space="preserve"> </w:t>
      </w:r>
      <w:r w:rsidRPr="00395DF9">
        <w:rPr>
          <w:b/>
        </w:rPr>
        <w:t>№ 360-ФЗ</w:t>
      </w:r>
      <w:r>
        <w:t xml:space="preserve">, по сути, сформирована новая редакция </w:t>
      </w:r>
      <w:r w:rsidR="00395DF9">
        <w:t xml:space="preserve">Закона </w:t>
      </w:r>
      <w:r>
        <w:t xml:space="preserve">№  44-ФЗ, устранившая большинство недостатков и ограничений прежнего регулирования государственных и муниципальных закупок. </w:t>
      </w:r>
    </w:p>
    <w:p w:rsidR="00700787" w:rsidRPr="00700787" w:rsidRDefault="00BE232B" w:rsidP="00700787">
      <w:pPr>
        <w:autoSpaceDE w:val="0"/>
        <w:autoSpaceDN w:val="0"/>
        <w:adjustRightInd w:val="0"/>
        <w:ind w:firstLine="426"/>
        <w:jc w:val="both"/>
        <w:rPr>
          <w:rFonts w:eastAsia="Calibri"/>
          <w:color w:val="000000"/>
        </w:rPr>
      </w:pPr>
      <w:r w:rsidRPr="00BE232B">
        <w:rPr>
          <w:rFonts w:eastAsia="Calibri"/>
          <w:b/>
          <w:color w:val="000000"/>
        </w:rPr>
        <w:t>1)</w:t>
      </w:r>
      <w:r>
        <w:rPr>
          <w:rFonts w:eastAsia="Calibri"/>
          <w:color w:val="000000"/>
        </w:rPr>
        <w:t xml:space="preserve"> </w:t>
      </w:r>
      <w:r w:rsidR="00700787" w:rsidRPr="00700787">
        <w:rPr>
          <w:rFonts w:eastAsia="Calibri"/>
          <w:color w:val="000000"/>
        </w:rPr>
        <w:t xml:space="preserve">В соответствии с положениями </w:t>
      </w:r>
      <w:r w:rsidR="00E82C31">
        <w:rPr>
          <w:rFonts w:eastAsia="Calibri"/>
          <w:color w:val="000000"/>
        </w:rPr>
        <w:t xml:space="preserve">  </w:t>
      </w:r>
      <w:r w:rsidR="00E82C31" w:rsidRPr="00E82C31">
        <w:rPr>
          <w:rFonts w:eastAsia="Calibri"/>
          <w:b/>
          <w:color w:val="000000"/>
        </w:rPr>
        <w:t xml:space="preserve">Закона </w:t>
      </w:r>
      <w:r w:rsidR="00700787" w:rsidRPr="00E82C31">
        <w:rPr>
          <w:rFonts w:eastAsia="Calibri"/>
          <w:b/>
          <w:color w:val="000000"/>
        </w:rPr>
        <w:t xml:space="preserve"> №360</w:t>
      </w:r>
      <w:r w:rsidR="00700787" w:rsidRPr="00700787">
        <w:rPr>
          <w:rFonts w:eastAsia="Calibri"/>
          <w:color w:val="000000"/>
        </w:rPr>
        <w:t xml:space="preserve"> </w:t>
      </w:r>
      <w:r w:rsidR="00E82C31">
        <w:rPr>
          <w:rFonts w:eastAsia="Calibri"/>
          <w:color w:val="000000"/>
        </w:rPr>
        <w:t xml:space="preserve"> </w:t>
      </w:r>
      <w:r w:rsidR="00700787" w:rsidRPr="00700787">
        <w:rPr>
          <w:rFonts w:eastAsia="Calibri"/>
          <w:color w:val="000000"/>
        </w:rPr>
        <w:t xml:space="preserve">с </w:t>
      </w:r>
      <w:r w:rsidR="00700787" w:rsidRPr="00700787">
        <w:rPr>
          <w:rFonts w:eastAsia="Calibri"/>
          <w:b/>
          <w:color w:val="000000"/>
        </w:rPr>
        <w:t xml:space="preserve">01.01.2022 </w:t>
      </w:r>
      <w:r w:rsidR="00700787" w:rsidRPr="00700787">
        <w:rPr>
          <w:rFonts w:eastAsia="Calibri"/>
          <w:color w:val="000000"/>
        </w:rPr>
        <w:t xml:space="preserve">года вступили в силу следующие изменения: </w:t>
      </w:r>
    </w:p>
    <w:p w:rsidR="00700787" w:rsidRPr="00700787" w:rsidRDefault="00B8540F" w:rsidP="00700787">
      <w:pPr>
        <w:autoSpaceDE w:val="0"/>
        <w:autoSpaceDN w:val="0"/>
        <w:adjustRightInd w:val="0"/>
        <w:ind w:firstLine="426"/>
        <w:jc w:val="both"/>
        <w:rPr>
          <w:rFonts w:eastAsia="Calibri"/>
          <w:color w:val="000000"/>
        </w:rPr>
      </w:pPr>
      <w:r w:rsidRPr="00B8540F">
        <w:rPr>
          <w:rFonts w:eastAsia="Calibri"/>
          <w:b/>
          <w:color w:val="000000"/>
        </w:rPr>
        <w:t xml:space="preserve"> а)</w:t>
      </w:r>
      <w:r>
        <w:rPr>
          <w:rFonts w:eastAsia="Calibri"/>
          <w:color w:val="000000"/>
        </w:rPr>
        <w:t xml:space="preserve"> </w:t>
      </w:r>
      <w:r w:rsidR="00700787" w:rsidRPr="00700787">
        <w:rPr>
          <w:rFonts w:eastAsia="Calibri"/>
          <w:color w:val="000000"/>
        </w:rPr>
        <w:t xml:space="preserve">сокращен перечень конкурентных способов проведения закупок (запрос предложений больше не проводится); </w:t>
      </w:r>
    </w:p>
    <w:p w:rsidR="00700787" w:rsidRPr="00700787" w:rsidRDefault="00700787" w:rsidP="00700787">
      <w:pPr>
        <w:autoSpaceDE w:val="0"/>
        <w:autoSpaceDN w:val="0"/>
        <w:adjustRightInd w:val="0"/>
        <w:ind w:firstLine="426"/>
        <w:jc w:val="both"/>
        <w:rPr>
          <w:rFonts w:eastAsia="Calibri"/>
          <w:color w:val="000000"/>
        </w:rPr>
      </w:pPr>
      <w:r w:rsidRPr="00700787">
        <w:rPr>
          <w:rFonts w:eastAsia="Calibri"/>
          <w:color w:val="000000"/>
        </w:rPr>
        <w:t xml:space="preserve"> </w:t>
      </w:r>
      <w:r w:rsidR="00B8540F" w:rsidRPr="00B8540F">
        <w:rPr>
          <w:rFonts w:eastAsia="Calibri"/>
          <w:b/>
          <w:color w:val="000000"/>
        </w:rPr>
        <w:t>б)</w:t>
      </w:r>
      <w:r>
        <w:rPr>
          <w:rFonts w:eastAsia="Calibri"/>
          <w:color w:val="000000"/>
        </w:rPr>
        <w:t xml:space="preserve"> </w:t>
      </w:r>
      <w:r w:rsidRPr="00700787">
        <w:rPr>
          <w:rFonts w:eastAsia="Calibri"/>
          <w:color w:val="000000"/>
        </w:rPr>
        <w:t xml:space="preserve">увеличен лимит годового объема закупок путем проведения запроса котировок в электронной форме (такой лимит не должен превышать одно из двух значений 20% СГОЗ заказчика или 100 </w:t>
      </w:r>
      <w:proofErr w:type="gramStart"/>
      <w:r w:rsidRPr="00700787">
        <w:rPr>
          <w:rFonts w:eastAsia="Calibri"/>
          <w:color w:val="000000"/>
        </w:rPr>
        <w:t>млн</w:t>
      </w:r>
      <w:proofErr w:type="gramEnd"/>
      <w:r w:rsidRPr="00700787">
        <w:rPr>
          <w:rFonts w:eastAsia="Calibri"/>
          <w:color w:val="000000"/>
        </w:rPr>
        <w:t xml:space="preserve"> руб., если СГОЗ заказчика в прошедшем календарном году составил менее 500 млн руб.); </w:t>
      </w:r>
    </w:p>
    <w:p w:rsidR="00700787" w:rsidRPr="00700787" w:rsidRDefault="00B8540F" w:rsidP="00700787">
      <w:pPr>
        <w:autoSpaceDE w:val="0"/>
        <w:autoSpaceDN w:val="0"/>
        <w:adjustRightInd w:val="0"/>
        <w:ind w:firstLine="426"/>
        <w:jc w:val="both"/>
        <w:rPr>
          <w:rFonts w:eastAsia="Calibri"/>
          <w:color w:val="000000"/>
        </w:rPr>
      </w:pPr>
      <w:r>
        <w:rPr>
          <w:rFonts w:eastAsia="Calibri"/>
          <w:color w:val="000000"/>
        </w:rPr>
        <w:t xml:space="preserve"> </w:t>
      </w:r>
      <w:r w:rsidRPr="00B8540F">
        <w:rPr>
          <w:rFonts w:eastAsia="Calibri"/>
          <w:b/>
          <w:color w:val="000000"/>
        </w:rPr>
        <w:t>в)</w:t>
      </w:r>
      <w:r w:rsidR="00700787" w:rsidRPr="00700787">
        <w:rPr>
          <w:rFonts w:eastAsia="Calibri"/>
          <w:color w:val="000000"/>
        </w:rPr>
        <w:t xml:space="preserve"> </w:t>
      </w:r>
      <w:r w:rsidR="00700787">
        <w:rPr>
          <w:rFonts w:eastAsia="Calibri"/>
          <w:color w:val="000000"/>
        </w:rPr>
        <w:t xml:space="preserve"> </w:t>
      </w:r>
      <w:r w:rsidR="00700787" w:rsidRPr="00700787">
        <w:rPr>
          <w:rFonts w:eastAsia="Calibri"/>
          <w:color w:val="000000"/>
        </w:rPr>
        <w:t xml:space="preserve">документация о закупке формируется только при закрытых закупках; </w:t>
      </w:r>
    </w:p>
    <w:p w:rsidR="00700787" w:rsidRPr="00700787" w:rsidRDefault="00B8540F" w:rsidP="00700787">
      <w:pPr>
        <w:autoSpaceDE w:val="0"/>
        <w:autoSpaceDN w:val="0"/>
        <w:adjustRightInd w:val="0"/>
        <w:ind w:firstLine="426"/>
        <w:jc w:val="both"/>
        <w:rPr>
          <w:rFonts w:eastAsia="Calibri"/>
          <w:color w:val="000000"/>
        </w:rPr>
      </w:pPr>
      <w:r>
        <w:rPr>
          <w:rFonts w:eastAsia="Calibri"/>
          <w:color w:val="000000"/>
        </w:rPr>
        <w:t xml:space="preserve"> </w:t>
      </w:r>
      <w:r w:rsidRPr="00B8540F">
        <w:rPr>
          <w:rFonts w:eastAsia="Calibri"/>
          <w:b/>
          <w:color w:val="000000"/>
        </w:rPr>
        <w:t>г)</w:t>
      </w:r>
      <w:r>
        <w:rPr>
          <w:rFonts w:eastAsia="Calibri"/>
          <w:color w:val="000000"/>
        </w:rPr>
        <w:t xml:space="preserve"> </w:t>
      </w:r>
      <w:r w:rsidR="00700787">
        <w:rPr>
          <w:rFonts w:eastAsia="Calibri"/>
          <w:color w:val="000000"/>
        </w:rPr>
        <w:t xml:space="preserve"> </w:t>
      </w:r>
      <w:r w:rsidR="00700787" w:rsidRPr="00700787">
        <w:rPr>
          <w:rFonts w:eastAsia="Calibri"/>
          <w:color w:val="000000"/>
        </w:rPr>
        <w:t xml:space="preserve">дополнительные требования к участникам закупок необходимо устанавливать при любых конкурентных процедурах, если объект закупки включен в приложение к постановлению Правительства Российской Федерации </w:t>
      </w:r>
      <w:r w:rsidR="00700787" w:rsidRPr="00700787">
        <w:rPr>
          <w:rFonts w:eastAsia="Calibri"/>
          <w:b/>
          <w:color w:val="000000"/>
        </w:rPr>
        <w:t>№ 2571</w:t>
      </w:r>
      <w:r w:rsidR="00700787" w:rsidRPr="00700787">
        <w:rPr>
          <w:rFonts w:eastAsia="Calibri"/>
          <w:color w:val="000000"/>
        </w:rPr>
        <w:t xml:space="preserve">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w:t>
      </w:r>
      <w:proofErr w:type="gramStart"/>
      <w:r w:rsidR="00700787">
        <w:rPr>
          <w:rFonts w:eastAsia="Calibri"/>
          <w:color w:val="000000"/>
        </w:rPr>
        <w:t xml:space="preserve"> </w:t>
      </w:r>
      <w:r w:rsidR="00700787" w:rsidRPr="00700787">
        <w:rPr>
          <w:rFonts w:eastAsia="Calibri"/>
          <w:color w:val="000000"/>
        </w:rPr>
        <w:t>,</w:t>
      </w:r>
      <w:proofErr w:type="gramEnd"/>
      <w:r w:rsidR="00700787" w:rsidRPr="00700787">
        <w:rPr>
          <w:rFonts w:eastAsia="Calibri"/>
          <w:color w:val="000000"/>
        </w:rPr>
        <w:t xml:space="preserve"> и признании утратившими силу некоторых актов и </w:t>
      </w:r>
      <w:r w:rsidR="00700787" w:rsidRPr="00700787">
        <w:rPr>
          <w:rFonts w:eastAsia="Calibri"/>
          <w:color w:val="000000"/>
        </w:rPr>
        <w:lastRenderedPageBreak/>
        <w:t xml:space="preserve">отдельных положений актов Правительства Российской Федерации» и в ряде случаев превышает </w:t>
      </w:r>
      <w:proofErr w:type="gramStart"/>
      <w:r w:rsidR="00700787" w:rsidRPr="00700787">
        <w:rPr>
          <w:rFonts w:eastAsia="Calibri"/>
          <w:color w:val="000000"/>
        </w:rPr>
        <w:t>определенную</w:t>
      </w:r>
      <w:proofErr w:type="gramEnd"/>
      <w:r w:rsidR="00700787" w:rsidRPr="00700787">
        <w:rPr>
          <w:rFonts w:eastAsia="Calibri"/>
          <w:color w:val="000000"/>
        </w:rPr>
        <w:t xml:space="preserve"> НМЦК; </w:t>
      </w:r>
    </w:p>
    <w:p w:rsidR="00700787" w:rsidRPr="00700787" w:rsidRDefault="00B8540F" w:rsidP="00700787">
      <w:pPr>
        <w:autoSpaceDE w:val="0"/>
        <w:autoSpaceDN w:val="0"/>
        <w:adjustRightInd w:val="0"/>
        <w:ind w:firstLine="426"/>
        <w:jc w:val="both"/>
        <w:rPr>
          <w:rFonts w:eastAsia="Calibri"/>
          <w:color w:val="000000"/>
        </w:rPr>
      </w:pPr>
      <w:r w:rsidRPr="00B8540F">
        <w:rPr>
          <w:rFonts w:eastAsia="Calibri"/>
          <w:b/>
          <w:color w:val="000000"/>
        </w:rPr>
        <w:t>д)</w:t>
      </w:r>
      <w:r w:rsidR="00700787" w:rsidRPr="00700787">
        <w:rPr>
          <w:rFonts w:eastAsia="Calibri"/>
          <w:color w:val="000000"/>
        </w:rPr>
        <w:t xml:space="preserve"> </w:t>
      </w:r>
      <w:proofErr w:type="gramStart"/>
      <w:r w:rsidR="00700787" w:rsidRPr="00700787">
        <w:rPr>
          <w:rFonts w:eastAsia="Calibri"/>
          <w:color w:val="000000"/>
        </w:rPr>
        <w:t>введена</w:t>
      </w:r>
      <w:proofErr w:type="gramEnd"/>
      <w:r w:rsidR="00700787" w:rsidRPr="00700787">
        <w:rPr>
          <w:rFonts w:eastAsia="Calibri"/>
          <w:color w:val="000000"/>
        </w:rPr>
        <w:t xml:space="preserve"> универсальная </w:t>
      </w:r>
      <w:proofErr w:type="spellStart"/>
      <w:r w:rsidR="00700787" w:rsidRPr="00700787">
        <w:rPr>
          <w:rFonts w:eastAsia="Calibri"/>
          <w:color w:val="000000"/>
        </w:rPr>
        <w:t>предквалификация</w:t>
      </w:r>
      <w:proofErr w:type="spellEnd"/>
      <w:r w:rsidR="00700787" w:rsidRPr="00700787">
        <w:rPr>
          <w:rFonts w:eastAsia="Calibri"/>
          <w:color w:val="000000"/>
        </w:rPr>
        <w:t xml:space="preserve"> для участников закупок, которая не применяется, когда в отношении участников установлены дополнительные требования по ч. 2 ст. 31 Закона № 44-ФЗ; </w:t>
      </w:r>
    </w:p>
    <w:p w:rsidR="00700787" w:rsidRPr="00700787" w:rsidRDefault="00B8540F" w:rsidP="00700787">
      <w:pPr>
        <w:autoSpaceDE w:val="0"/>
        <w:autoSpaceDN w:val="0"/>
        <w:adjustRightInd w:val="0"/>
        <w:ind w:firstLine="426"/>
        <w:jc w:val="both"/>
        <w:rPr>
          <w:rFonts w:eastAsia="Calibri"/>
          <w:color w:val="000000"/>
        </w:rPr>
      </w:pPr>
      <w:r w:rsidRPr="00B8540F">
        <w:rPr>
          <w:rFonts w:eastAsia="Calibri"/>
          <w:b/>
          <w:color w:val="000000"/>
        </w:rPr>
        <w:t>е)</w:t>
      </w:r>
      <w:r>
        <w:rPr>
          <w:rFonts w:eastAsia="Calibri"/>
          <w:color w:val="000000"/>
        </w:rPr>
        <w:t xml:space="preserve">  </w:t>
      </w:r>
      <w:r w:rsidR="00700787" w:rsidRPr="00700787">
        <w:rPr>
          <w:rFonts w:eastAsia="Calibri"/>
          <w:color w:val="000000"/>
        </w:rPr>
        <w:t>для обеспечения контрактов и заявок принимаются гарантии не только банков, но и государственной корпорации ВЭБ</w:t>
      </w:r>
      <w:proofErr w:type="gramStart"/>
      <w:r w:rsidR="00700787" w:rsidRPr="00700787">
        <w:rPr>
          <w:rFonts w:eastAsia="Calibri"/>
          <w:color w:val="000000"/>
        </w:rPr>
        <w:t>.Р</w:t>
      </w:r>
      <w:proofErr w:type="gramEnd"/>
      <w:r w:rsidR="00700787" w:rsidRPr="00700787">
        <w:rPr>
          <w:rFonts w:eastAsia="Calibri"/>
          <w:color w:val="000000"/>
        </w:rPr>
        <w:t xml:space="preserve">Ф, гарантийных фондов, фондов поручительств, участников национальной системы поддержки малого и среднего предпринимательства. Все гаранты должны выполнять обязательства по гарантиям, даже если исключены из соответствующих перечней; </w:t>
      </w:r>
    </w:p>
    <w:p w:rsidR="00700787" w:rsidRDefault="00B8540F" w:rsidP="00700787">
      <w:pPr>
        <w:autoSpaceDE w:val="0"/>
        <w:autoSpaceDN w:val="0"/>
        <w:adjustRightInd w:val="0"/>
        <w:ind w:firstLine="426"/>
        <w:jc w:val="both"/>
        <w:rPr>
          <w:rFonts w:eastAsia="Calibri"/>
          <w:color w:val="000000"/>
        </w:rPr>
      </w:pPr>
      <w:r w:rsidRPr="00B8540F">
        <w:rPr>
          <w:rFonts w:eastAsia="Calibri"/>
          <w:b/>
          <w:color w:val="000000"/>
        </w:rPr>
        <w:t>ж)</w:t>
      </w:r>
      <w:r>
        <w:rPr>
          <w:rFonts w:eastAsia="Calibri"/>
          <w:color w:val="000000"/>
        </w:rPr>
        <w:t xml:space="preserve"> </w:t>
      </w:r>
      <w:r w:rsidR="00700787" w:rsidRPr="00700787">
        <w:rPr>
          <w:rFonts w:eastAsia="Calibri"/>
          <w:color w:val="000000"/>
        </w:rPr>
        <w:t xml:space="preserve">сокращены сроки оплаты по контрактам. </w:t>
      </w:r>
    </w:p>
    <w:p w:rsidR="00700787" w:rsidRPr="00700787" w:rsidRDefault="00700787" w:rsidP="00700787">
      <w:pPr>
        <w:autoSpaceDE w:val="0"/>
        <w:autoSpaceDN w:val="0"/>
        <w:adjustRightInd w:val="0"/>
        <w:ind w:firstLine="426"/>
        <w:jc w:val="both"/>
        <w:rPr>
          <w:rFonts w:eastAsia="Calibri"/>
          <w:color w:val="000000"/>
        </w:rPr>
      </w:pPr>
      <w:r w:rsidRPr="00700787">
        <w:rPr>
          <w:rFonts w:eastAsia="Calibri"/>
          <w:color w:val="000000"/>
        </w:rPr>
        <w:t xml:space="preserve">Если закупка размещена с 01.01.2022 по 31.12.2022, срок оплаты составляет не более 10 рабочих дней – при закупке у СМП, СОНО и не более 15 рабочих дней – при других закупках; </w:t>
      </w:r>
    </w:p>
    <w:p w:rsidR="00700787" w:rsidRPr="00700787" w:rsidRDefault="00B8540F" w:rsidP="00700787">
      <w:pPr>
        <w:autoSpaceDE w:val="0"/>
        <w:autoSpaceDN w:val="0"/>
        <w:adjustRightInd w:val="0"/>
        <w:ind w:firstLine="426"/>
        <w:jc w:val="both"/>
        <w:rPr>
          <w:rFonts w:eastAsia="Calibri"/>
          <w:color w:val="000000"/>
        </w:rPr>
      </w:pPr>
      <w:r w:rsidRPr="00B8540F">
        <w:rPr>
          <w:rFonts w:eastAsia="Calibri"/>
          <w:b/>
          <w:color w:val="000000"/>
        </w:rPr>
        <w:t>з)</w:t>
      </w:r>
      <w:r>
        <w:rPr>
          <w:rFonts w:eastAsia="Calibri"/>
          <w:color w:val="000000"/>
        </w:rPr>
        <w:t xml:space="preserve"> </w:t>
      </w:r>
      <w:r w:rsidR="00700787" w:rsidRPr="00700787">
        <w:rPr>
          <w:rFonts w:eastAsia="Calibri"/>
          <w:color w:val="000000"/>
        </w:rPr>
        <w:t xml:space="preserve"> формирование и подписание документов о приёмке товара, выполненной работы, оказанной услуги, а также отдельного этапа исполнения контракта осуществляется в форме электронного документа в ЕИС; </w:t>
      </w:r>
    </w:p>
    <w:p w:rsidR="00700787" w:rsidRPr="00700787" w:rsidRDefault="00B8540F" w:rsidP="00700787">
      <w:pPr>
        <w:autoSpaceDE w:val="0"/>
        <w:autoSpaceDN w:val="0"/>
        <w:adjustRightInd w:val="0"/>
        <w:ind w:firstLine="426"/>
        <w:jc w:val="both"/>
        <w:rPr>
          <w:rFonts w:eastAsia="Calibri"/>
          <w:color w:val="000000"/>
        </w:rPr>
      </w:pPr>
      <w:r w:rsidRPr="00B8540F">
        <w:rPr>
          <w:rFonts w:eastAsia="Calibri"/>
          <w:b/>
          <w:color w:val="000000"/>
        </w:rPr>
        <w:t>и)</w:t>
      </w:r>
      <w:r>
        <w:rPr>
          <w:rFonts w:eastAsia="Calibri"/>
          <w:color w:val="000000"/>
        </w:rPr>
        <w:t xml:space="preserve"> </w:t>
      </w:r>
      <w:r w:rsidR="00700787" w:rsidRPr="00700787">
        <w:rPr>
          <w:rFonts w:eastAsia="Calibri"/>
          <w:color w:val="000000"/>
        </w:rPr>
        <w:t xml:space="preserve"> процедура одностороннего отказа от исполнения контракта по итогам открытых и закрытых электронных процедур переведена в электронный вид;  </w:t>
      </w:r>
    </w:p>
    <w:p w:rsidR="00700787" w:rsidRDefault="003C1AFB" w:rsidP="00700787">
      <w:pPr>
        <w:autoSpaceDE w:val="0"/>
        <w:autoSpaceDN w:val="0"/>
        <w:adjustRightInd w:val="0"/>
        <w:ind w:firstLine="426"/>
        <w:jc w:val="both"/>
        <w:rPr>
          <w:rFonts w:eastAsia="Calibri"/>
        </w:rPr>
      </w:pPr>
      <w:r w:rsidRPr="003C1AFB">
        <w:rPr>
          <w:rFonts w:eastAsia="Calibri"/>
          <w:b/>
        </w:rPr>
        <w:t>й)</w:t>
      </w:r>
      <w:r>
        <w:rPr>
          <w:rFonts w:eastAsia="Calibri"/>
        </w:rPr>
        <w:t xml:space="preserve"> </w:t>
      </w:r>
      <w:r w:rsidR="00700787" w:rsidRPr="00700787">
        <w:rPr>
          <w:rFonts w:eastAsia="Calibri"/>
        </w:rPr>
        <w:t xml:space="preserve"> установлено единое требование к сроку хранения документов по закупкам. </w:t>
      </w:r>
      <w:r w:rsidR="00700787">
        <w:rPr>
          <w:rFonts w:eastAsia="Calibri"/>
        </w:rPr>
        <w:t xml:space="preserve">  </w:t>
      </w:r>
    </w:p>
    <w:p w:rsidR="00700787" w:rsidRDefault="00700787" w:rsidP="00700787">
      <w:pPr>
        <w:autoSpaceDE w:val="0"/>
        <w:autoSpaceDN w:val="0"/>
        <w:adjustRightInd w:val="0"/>
        <w:ind w:firstLine="426"/>
        <w:jc w:val="both"/>
        <w:rPr>
          <w:rFonts w:eastAsia="Calibri"/>
        </w:rPr>
      </w:pPr>
      <w:r w:rsidRPr="00700787">
        <w:rPr>
          <w:rFonts w:eastAsia="Calibri"/>
        </w:rPr>
        <w:t>Информация и документы</w:t>
      </w:r>
      <w:proofErr w:type="gramStart"/>
      <w:r w:rsidR="00C1218E">
        <w:rPr>
          <w:rFonts w:eastAsia="Calibri"/>
        </w:rPr>
        <w:t xml:space="preserve"> </w:t>
      </w:r>
      <w:r w:rsidRPr="00700787">
        <w:rPr>
          <w:rFonts w:eastAsia="Calibri"/>
        </w:rPr>
        <w:t>,</w:t>
      </w:r>
      <w:proofErr w:type="gramEnd"/>
      <w:r w:rsidRPr="00700787">
        <w:rPr>
          <w:rFonts w:eastAsia="Calibri"/>
        </w:rPr>
        <w:t xml:space="preserve"> предусмотренные Законом № 44-ФЗ, хранятся не менее 6 лет с момента начала закупки, если заказчик подготовил их не в ЕИС и (или) не на электронной (специализированной) площадке и не размещал информацию и документы в них, а также, если заказчик получил их при определении (обосновании) НМЦК, цены контракта, заключаемого с единственным поставщиком (подрядчиком, исполнителем), начальных цен единиц товара, работы, услуги, начальной суммы цен таких единиц, максимального значения цены контракта. Это не относится к информации и документам, включаемым в контракт с единственным поставщиком (подрядчиком, исполнителем).</w:t>
      </w:r>
    </w:p>
    <w:p w:rsidR="00467965" w:rsidRPr="00700787" w:rsidRDefault="00467965" w:rsidP="00467965">
      <w:pPr>
        <w:autoSpaceDE w:val="0"/>
        <w:autoSpaceDN w:val="0"/>
        <w:adjustRightInd w:val="0"/>
        <w:spacing w:line="120" w:lineRule="auto"/>
        <w:ind w:firstLine="425"/>
        <w:jc w:val="both"/>
        <w:rPr>
          <w:b/>
        </w:rPr>
      </w:pPr>
    </w:p>
    <w:p w:rsidR="00C1218E" w:rsidRDefault="00C1218E" w:rsidP="00C1218E">
      <w:pPr>
        <w:autoSpaceDE w:val="0"/>
        <w:autoSpaceDN w:val="0"/>
        <w:adjustRightInd w:val="0"/>
        <w:jc w:val="both"/>
        <w:rPr>
          <w:rFonts w:eastAsia="Calibri"/>
          <w:b/>
        </w:rPr>
      </w:pPr>
      <w:r>
        <w:rPr>
          <w:b/>
        </w:rPr>
        <w:t xml:space="preserve">2. </w:t>
      </w:r>
      <w:r w:rsidR="003C1AFB">
        <w:rPr>
          <w:b/>
        </w:rPr>
        <w:t xml:space="preserve"> </w:t>
      </w:r>
      <w:r w:rsidRPr="00BE232B">
        <w:rPr>
          <w:rFonts w:eastAsia="Calibri"/>
          <w:b/>
        </w:rPr>
        <w:t xml:space="preserve">Изменения законодательства о контрактной системе в сфере закупок товаров, работ, услуг для обеспечения государственных и муниципальных нужд, принятые </w:t>
      </w:r>
      <w:r w:rsidR="00BE232B">
        <w:rPr>
          <w:rFonts w:eastAsia="Calibri"/>
          <w:b/>
        </w:rPr>
        <w:t>в отчетном периоде</w:t>
      </w:r>
      <w:r w:rsidRPr="00BE232B">
        <w:rPr>
          <w:rFonts w:eastAsia="Calibri"/>
          <w:b/>
        </w:rPr>
        <w:t xml:space="preserve"> в целях нивелирования последствий ограничительных мер со стороны недружественных иностранных государств и оказания мер поддержки в условиях текущей экономической ситуации заказчикам и участникам закупок.</w:t>
      </w:r>
    </w:p>
    <w:p w:rsidR="007B7278" w:rsidRDefault="00467965" w:rsidP="007B7278">
      <w:pPr>
        <w:autoSpaceDE w:val="0"/>
        <w:autoSpaceDN w:val="0"/>
        <w:adjustRightInd w:val="0"/>
        <w:ind w:firstLine="426"/>
        <w:jc w:val="both"/>
      </w:pPr>
      <w:r>
        <w:t>К</w:t>
      </w:r>
      <w:r w:rsidR="007B7278">
        <w:t>ак отмечалось выше, новые внешние условия и вызовы потребовали принятия антикризисных мер и в законодательстве о государственных и муниципальных закупках.</w:t>
      </w:r>
    </w:p>
    <w:p w:rsidR="007B7278" w:rsidRDefault="007B7278" w:rsidP="007B7278">
      <w:pPr>
        <w:autoSpaceDE w:val="0"/>
        <w:autoSpaceDN w:val="0"/>
        <w:adjustRightInd w:val="0"/>
        <w:ind w:firstLine="426"/>
        <w:jc w:val="both"/>
      </w:pPr>
      <w:r>
        <w:t xml:space="preserve">Антикризисные меры, принимаемые в сфере государственных закупок, уже применялись государством для </w:t>
      </w:r>
      <w:proofErr w:type="gramStart"/>
      <w:r>
        <w:t>поддержания</w:t>
      </w:r>
      <w:proofErr w:type="gramEnd"/>
      <w:r>
        <w:t xml:space="preserve"> как отдельных отраслей экономики, так и  российских производителей в  целом в  период кризисов 2008, 2014 годов, а также в период, когда экономика страны была частично парализована </w:t>
      </w:r>
      <w:proofErr w:type="spellStart"/>
      <w:r>
        <w:t>коронавирусной</w:t>
      </w:r>
      <w:proofErr w:type="spellEnd"/>
      <w:r>
        <w:t xml:space="preserve"> инфекцией.</w:t>
      </w:r>
    </w:p>
    <w:p w:rsidR="00467965" w:rsidRDefault="00467965" w:rsidP="007B7278">
      <w:pPr>
        <w:autoSpaceDE w:val="0"/>
        <w:autoSpaceDN w:val="0"/>
        <w:adjustRightInd w:val="0"/>
        <w:ind w:firstLine="426"/>
        <w:jc w:val="both"/>
        <w:rPr>
          <w:rFonts w:eastAsia="Calibri"/>
          <w:color w:val="000000"/>
        </w:rPr>
      </w:pPr>
      <w:r>
        <w:t>Антикризисные меры заключаются в основном в возможности списать непогашенные неустойки, выставленные исполнителю по  контракту, если условия контракта не  исполнялись по  независящим от  сторон основаниям, вносить изменения в контракты в условиях волатильности различных рынков и,  конечно, в  преимуществах, предоставляемых отдельным категориям производителей и  поставщиков.</w:t>
      </w:r>
    </w:p>
    <w:p w:rsidR="00467965" w:rsidRDefault="00C1218E" w:rsidP="00C1218E">
      <w:pPr>
        <w:autoSpaceDE w:val="0"/>
        <w:autoSpaceDN w:val="0"/>
        <w:adjustRightInd w:val="0"/>
        <w:jc w:val="both"/>
      </w:pPr>
      <w:r>
        <w:rPr>
          <w:rFonts w:eastAsia="Calibri"/>
        </w:rPr>
        <w:t xml:space="preserve">     </w:t>
      </w:r>
      <w:r w:rsidR="00467965">
        <w:rPr>
          <w:rFonts w:eastAsia="Calibri"/>
        </w:rPr>
        <w:t xml:space="preserve"> </w:t>
      </w:r>
      <w:r w:rsidR="00620421" w:rsidRPr="00620421">
        <w:rPr>
          <w:rFonts w:eastAsia="Calibri"/>
          <w:b/>
        </w:rPr>
        <w:t>1)</w:t>
      </w:r>
      <w:r w:rsidR="00620421">
        <w:rPr>
          <w:rFonts w:eastAsia="Calibri"/>
        </w:rPr>
        <w:t xml:space="preserve"> </w:t>
      </w:r>
      <w:r w:rsidR="00467965">
        <w:t xml:space="preserve">Одной из  важнейших в  текущих условиях антикризисной мерой остается возможность вносить существенные изменения в строительные контракты, заключенные до 1 января 2022 года на срок больше года, в связи со значительным удорожанием строительных материалов. Такая возможность установлена постановлением Правительства России </w:t>
      </w:r>
      <w:r w:rsidR="00467965" w:rsidRPr="00467965">
        <w:rPr>
          <w:b/>
        </w:rPr>
        <w:t>от  09.08.2021  г. №  1315</w:t>
      </w:r>
      <w:r w:rsidR="00467965">
        <w:t xml:space="preserve">. </w:t>
      </w:r>
    </w:p>
    <w:p w:rsidR="00234501" w:rsidRDefault="00467965" w:rsidP="00C1218E">
      <w:pPr>
        <w:autoSpaceDE w:val="0"/>
        <w:autoSpaceDN w:val="0"/>
        <w:adjustRightInd w:val="0"/>
        <w:jc w:val="both"/>
      </w:pPr>
      <w:r>
        <w:lastRenderedPageBreak/>
        <w:t xml:space="preserve">       Поддержкой контрактных отношений в  строительной области можно считать изменения, внесенные в  </w:t>
      </w:r>
      <w:r w:rsidR="00234501">
        <w:t xml:space="preserve">Закон </w:t>
      </w:r>
      <w:r>
        <w:t xml:space="preserve">№ 44-ФЗ Федеральным законом </w:t>
      </w:r>
      <w:r w:rsidRPr="00467965">
        <w:rPr>
          <w:b/>
        </w:rPr>
        <w:t>от 30.12.2021 г. № 476-ФЗ</w:t>
      </w:r>
      <w:r>
        <w:t xml:space="preserve"> «О внесении изменений в отдельные законодательные акты Российской Федерации», а также постановление Правительства Российской Федерации </w:t>
      </w:r>
      <w:r w:rsidRPr="00234501">
        <w:rPr>
          <w:b/>
        </w:rPr>
        <w:t>от 31.12.2021 г. № 2594</w:t>
      </w:r>
      <w:r>
        <w:t xml:space="preserve"> «О внесении изменений в некоторые акты Правительства Российской Федерации». </w:t>
      </w:r>
    </w:p>
    <w:p w:rsidR="00467965" w:rsidRDefault="00234501" w:rsidP="00C1218E">
      <w:pPr>
        <w:autoSpaceDE w:val="0"/>
        <w:autoSpaceDN w:val="0"/>
        <w:adjustRightInd w:val="0"/>
        <w:jc w:val="both"/>
        <w:rPr>
          <w:rFonts w:eastAsia="Calibri"/>
        </w:rPr>
      </w:pPr>
      <w:r>
        <w:t xml:space="preserve">      </w:t>
      </w:r>
      <w:r w:rsidR="00467965">
        <w:t>Благодаря этим двум документам у </w:t>
      </w:r>
      <w:proofErr w:type="spellStart"/>
      <w:r w:rsidR="00467965">
        <w:t>стройподрядчиков</w:t>
      </w:r>
      <w:proofErr w:type="spellEnd"/>
      <w:r w:rsidR="00467965">
        <w:t xml:space="preserve"> появилась возможность списания неустоек, возникших в связи с неисполнением условий  контракта по причине удорожания материалов, а также возможность изменения условий контрактов в сфере строительства, заключенных на срок менее года</w:t>
      </w:r>
    </w:p>
    <w:p w:rsidR="00467965" w:rsidRDefault="00467965" w:rsidP="00C1218E">
      <w:pPr>
        <w:autoSpaceDE w:val="0"/>
        <w:autoSpaceDN w:val="0"/>
        <w:adjustRightInd w:val="0"/>
        <w:jc w:val="both"/>
      </w:pPr>
      <w:r>
        <w:rPr>
          <w:rFonts w:eastAsia="Calibri"/>
        </w:rPr>
        <w:t xml:space="preserve">      </w:t>
      </w:r>
      <w:r w:rsidR="00620421" w:rsidRPr="00620421">
        <w:rPr>
          <w:rFonts w:eastAsia="Calibri"/>
          <w:b/>
        </w:rPr>
        <w:t>2)</w:t>
      </w:r>
      <w:r w:rsidR="00620421">
        <w:rPr>
          <w:rFonts w:eastAsia="Calibri"/>
          <w:b/>
        </w:rPr>
        <w:t xml:space="preserve"> </w:t>
      </w:r>
      <w:r>
        <w:t>В 2022 году антикризисные меры можно охарактеризовать временностью отдельных из них</w:t>
      </w:r>
      <w:proofErr w:type="gramStart"/>
      <w:r>
        <w:t xml:space="preserve"> ,</w:t>
      </w:r>
      <w:proofErr w:type="gramEnd"/>
      <w:r>
        <w:t xml:space="preserve"> исходя из прогнозируемого периода адаптации российской экономики к агрессивному внешнему давлению. </w:t>
      </w:r>
    </w:p>
    <w:p w:rsidR="00467965" w:rsidRDefault="00467965" w:rsidP="00C1218E">
      <w:pPr>
        <w:autoSpaceDE w:val="0"/>
        <w:autoSpaceDN w:val="0"/>
        <w:adjustRightInd w:val="0"/>
        <w:jc w:val="both"/>
      </w:pPr>
      <w:r>
        <w:t xml:space="preserve">      Такие нормы условно были разделены </w:t>
      </w:r>
      <w:r w:rsidRPr="00467965">
        <w:rPr>
          <w:b/>
        </w:rPr>
        <w:t>на два пакета</w:t>
      </w:r>
      <w:r>
        <w:t xml:space="preserve">.     </w:t>
      </w:r>
    </w:p>
    <w:p w:rsidR="00467965" w:rsidRDefault="00467965" w:rsidP="00C1218E">
      <w:pPr>
        <w:autoSpaceDE w:val="0"/>
        <w:autoSpaceDN w:val="0"/>
        <w:adjustRightInd w:val="0"/>
        <w:jc w:val="both"/>
        <w:rPr>
          <w:rFonts w:eastAsia="Calibri"/>
        </w:rPr>
      </w:pPr>
      <w:r>
        <w:t xml:space="preserve">      </w:t>
      </w:r>
      <w:r w:rsidRPr="00467965">
        <w:rPr>
          <w:b/>
        </w:rPr>
        <w:t>В первый из них</w:t>
      </w:r>
      <w:r>
        <w:t xml:space="preserve"> (Федеральный закон </w:t>
      </w:r>
      <w:r w:rsidRPr="00467965">
        <w:rPr>
          <w:b/>
        </w:rPr>
        <w:t>от 08.03.2022 г. № 46-ФЗ</w:t>
      </w:r>
      <w:r>
        <w:t xml:space="preserve"> «О внесении изменений в отдельные законодательные акты Российской Федерации») для решения оперативных вопросов вошли следующие ключевые новации:</w:t>
      </w:r>
    </w:p>
    <w:p w:rsidR="00C1218E" w:rsidRPr="00C1218E" w:rsidRDefault="00C1218E" w:rsidP="00C1218E">
      <w:pPr>
        <w:autoSpaceDE w:val="0"/>
        <w:autoSpaceDN w:val="0"/>
        <w:adjustRightInd w:val="0"/>
        <w:jc w:val="both"/>
        <w:rPr>
          <w:rFonts w:eastAsia="Calibri"/>
        </w:rPr>
      </w:pPr>
      <w:r>
        <w:rPr>
          <w:rFonts w:eastAsia="Calibri"/>
        </w:rPr>
        <w:t xml:space="preserve">      </w:t>
      </w:r>
      <w:r w:rsidR="00FD2683" w:rsidRPr="00FD2683">
        <w:rPr>
          <w:rFonts w:eastAsia="Calibri"/>
          <w:b/>
        </w:rPr>
        <w:t>а)</w:t>
      </w:r>
      <w:r>
        <w:rPr>
          <w:rFonts w:eastAsia="Calibri"/>
        </w:rPr>
        <w:t xml:space="preserve">  у</w:t>
      </w:r>
      <w:r w:rsidRPr="00C1218E">
        <w:rPr>
          <w:rFonts w:eastAsia="Calibri"/>
        </w:rPr>
        <w:t>становление случая</w:t>
      </w:r>
      <w:proofErr w:type="gramStart"/>
      <w:r>
        <w:rPr>
          <w:rFonts w:eastAsia="Calibri"/>
        </w:rPr>
        <w:t xml:space="preserve"> </w:t>
      </w:r>
      <w:r w:rsidRPr="00C1218E">
        <w:rPr>
          <w:rFonts w:eastAsia="Calibri"/>
        </w:rPr>
        <w:t>,</w:t>
      </w:r>
      <w:proofErr w:type="gramEnd"/>
      <w:r w:rsidRPr="00C1218E">
        <w:rPr>
          <w:rFonts w:eastAsia="Calibri"/>
        </w:rPr>
        <w:t xml:space="preserve"> при котором допускается до 1 января 2023 г. изменение</w:t>
      </w:r>
      <w:r>
        <w:rPr>
          <w:rFonts w:eastAsia="Calibri"/>
        </w:rPr>
        <w:t xml:space="preserve"> </w:t>
      </w:r>
      <w:r w:rsidRPr="00C1218E">
        <w:rPr>
          <w:rFonts w:eastAsia="Calibri"/>
        </w:rPr>
        <w:t>любых существенных условий заключенных контрактов по решению</w:t>
      </w:r>
      <w:r>
        <w:rPr>
          <w:rFonts w:eastAsia="Calibri"/>
        </w:rPr>
        <w:t xml:space="preserve"> </w:t>
      </w:r>
      <w:r w:rsidRPr="00C1218E">
        <w:rPr>
          <w:rFonts w:eastAsia="Calibri"/>
        </w:rPr>
        <w:t>соответствующего высшего органа исполнительной власти (Правительство</w:t>
      </w:r>
      <w:r>
        <w:rPr>
          <w:rFonts w:eastAsia="Calibri"/>
        </w:rPr>
        <w:t xml:space="preserve"> </w:t>
      </w:r>
      <w:r w:rsidRPr="00C1218E">
        <w:rPr>
          <w:rFonts w:eastAsia="Calibri"/>
        </w:rPr>
        <w:t>Российской Федерации, высший орган исполнительной власти субъекта</w:t>
      </w:r>
      <w:r>
        <w:rPr>
          <w:rFonts w:eastAsia="Calibri"/>
        </w:rPr>
        <w:t xml:space="preserve"> </w:t>
      </w:r>
      <w:r w:rsidRPr="00C1218E">
        <w:rPr>
          <w:rFonts w:eastAsia="Calibri"/>
        </w:rPr>
        <w:t>Российской Федерации, местная администрация), что позволяет сторонам внести</w:t>
      </w:r>
      <w:r>
        <w:rPr>
          <w:rFonts w:eastAsia="Calibri"/>
        </w:rPr>
        <w:t xml:space="preserve"> </w:t>
      </w:r>
      <w:r w:rsidRPr="00C1218E">
        <w:rPr>
          <w:rFonts w:eastAsia="Calibri"/>
        </w:rPr>
        <w:t>изменения в условия контракта для учета текущих обстоятельств, в том числе</w:t>
      </w:r>
      <w:r>
        <w:rPr>
          <w:rFonts w:eastAsia="Calibri"/>
        </w:rPr>
        <w:t xml:space="preserve"> </w:t>
      </w:r>
      <w:r w:rsidRPr="00C1218E">
        <w:rPr>
          <w:rFonts w:eastAsia="Calibri"/>
        </w:rPr>
        <w:t>при необходимости заменить товар, изменить цену (в пределах лимитов бюджетных</w:t>
      </w:r>
      <w:r>
        <w:rPr>
          <w:rFonts w:eastAsia="Calibri"/>
        </w:rPr>
        <w:t xml:space="preserve"> </w:t>
      </w:r>
      <w:r w:rsidRPr="00C1218E">
        <w:rPr>
          <w:rFonts w:eastAsia="Calibri"/>
        </w:rPr>
        <w:t>обязательств) и срок исполнения контракта;</w:t>
      </w:r>
    </w:p>
    <w:p w:rsidR="00C1218E" w:rsidRDefault="00C1218E" w:rsidP="00C1218E">
      <w:pPr>
        <w:autoSpaceDE w:val="0"/>
        <w:autoSpaceDN w:val="0"/>
        <w:adjustRightInd w:val="0"/>
        <w:jc w:val="both"/>
        <w:rPr>
          <w:rFonts w:eastAsia="Calibri"/>
        </w:rPr>
      </w:pPr>
      <w:r>
        <w:rPr>
          <w:rFonts w:eastAsia="Calibri"/>
        </w:rPr>
        <w:t xml:space="preserve">   </w:t>
      </w:r>
      <w:r w:rsidR="00156A54">
        <w:rPr>
          <w:rFonts w:eastAsia="Calibri"/>
        </w:rPr>
        <w:t xml:space="preserve"> </w:t>
      </w:r>
      <w:r>
        <w:rPr>
          <w:rFonts w:eastAsia="Calibri"/>
        </w:rPr>
        <w:t xml:space="preserve">  </w:t>
      </w:r>
      <w:r w:rsidR="00FD2683" w:rsidRPr="0057730D">
        <w:rPr>
          <w:rFonts w:eastAsia="Calibri"/>
          <w:b/>
        </w:rPr>
        <w:t>б)</w:t>
      </w:r>
      <w:r>
        <w:rPr>
          <w:rFonts w:eastAsia="Calibri"/>
        </w:rPr>
        <w:t xml:space="preserve"> </w:t>
      </w:r>
      <w:r w:rsidRPr="00C1218E">
        <w:rPr>
          <w:rFonts w:eastAsia="Calibri"/>
        </w:rPr>
        <w:t>введение временного</w:t>
      </w:r>
      <w:r>
        <w:rPr>
          <w:rFonts w:eastAsia="Calibri"/>
        </w:rPr>
        <w:t xml:space="preserve"> </w:t>
      </w:r>
      <w:r w:rsidRPr="00C1218E">
        <w:rPr>
          <w:rFonts w:eastAsia="Calibri"/>
        </w:rPr>
        <w:t>полномочия</w:t>
      </w:r>
      <w:r>
        <w:rPr>
          <w:rFonts w:eastAsia="Calibri"/>
        </w:rPr>
        <w:t xml:space="preserve"> </w:t>
      </w:r>
      <w:r w:rsidRPr="00C1218E">
        <w:rPr>
          <w:rFonts w:eastAsia="Calibri"/>
        </w:rPr>
        <w:t>Правительства Российской Федерации на определение единственного поставщика</w:t>
      </w:r>
      <w:r>
        <w:rPr>
          <w:rFonts w:eastAsia="Calibri"/>
        </w:rPr>
        <w:t xml:space="preserve"> </w:t>
      </w:r>
      <w:r w:rsidRPr="00C1218E">
        <w:rPr>
          <w:rFonts w:eastAsia="Calibri"/>
        </w:rPr>
        <w:t xml:space="preserve">для обеспечения любых нужд </w:t>
      </w:r>
      <w:proofErr w:type="gramStart"/>
      <w:r w:rsidRPr="00C1218E">
        <w:rPr>
          <w:rFonts w:eastAsia="Calibri"/>
        </w:rPr>
        <w:t>(</w:t>
      </w:r>
      <w:r w:rsidR="0057730D">
        <w:rPr>
          <w:rFonts w:eastAsia="Calibri"/>
        </w:rPr>
        <w:t xml:space="preserve"> </w:t>
      </w:r>
      <w:proofErr w:type="gramEnd"/>
      <w:r w:rsidRPr="00C1218E">
        <w:rPr>
          <w:rFonts w:eastAsia="Calibri"/>
        </w:rPr>
        <w:t>федеральных, региональных, муниципальных),</w:t>
      </w:r>
      <w:r>
        <w:rPr>
          <w:rFonts w:eastAsia="Calibri"/>
        </w:rPr>
        <w:t xml:space="preserve"> </w:t>
      </w:r>
      <w:r w:rsidRPr="00C1218E">
        <w:rPr>
          <w:rFonts w:eastAsia="Calibri"/>
        </w:rPr>
        <w:t>в реализацию которого, в частности, издано постановление Правительства</w:t>
      </w:r>
      <w:r>
        <w:rPr>
          <w:rFonts w:eastAsia="Calibri"/>
        </w:rPr>
        <w:t xml:space="preserve"> </w:t>
      </w:r>
      <w:r w:rsidRPr="00C1218E">
        <w:rPr>
          <w:rFonts w:eastAsia="Calibri"/>
        </w:rPr>
        <w:t xml:space="preserve">Российской Федерации </w:t>
      </w:r>
      <w:r w:rsidR="00156A54">
        <w:rPr>
          <w:rFonts w:eastAsia="Calibri"/>
        </w:rPr>
        <w:t xml:space="preserve"> </w:t>
      </w:r>
      <w:r w:rsidRPr="00C1218E">
        <w:rPr>
          <w:rFonts w:eastAsia="Calibri"/>
          <w:b/>
        </w:rPr>
        <w:t>от 10 марта 2022 г. № 339</w:t>
      </w:r>
      <w:r w:rsidRPr="00C1218E">
        <w:rPr>
          <w:rFonts w:eastAsia="Calibri"/>
        </w:rPr>
        <w:t>, а также полномочия высших</w:t>
      </w:r>
      <w:r>
        <w:rPr>
          <w:rFonts w:eastAsia="Calibri"/>
        </w:rPr>
        <w:t xml:space="preserve"> </w:t>
      </w:r>
      <w:r w:rsidRPr="00C1218E">
        <w:rPr>
          <w:rFonts w:eastAsia="Calibri"/>
        </w:rPr>
        <w:t>органов исполнительной власти субъекта Российской Федерации на определение</w:t>
      </w:r>
      <w:r>
        <w:rPr>
          <w:rFonts w:eastAsia="Calibri"/>
        </w:rPr>
        <w:t xml:space="preserve"> </w:t>
      </w:r>
      <w:r w:rsidRPr="00C1218E">
        <w:rPr>
          <w:rFonts w:eastAsia="Calibri"/>
        </w:rPr>
        <w:t>единственного п</w:t>
      </w:r>
      <w:r w:rsidR="0079665F">
        <w:rPr>
          <w:rFonts w:eastAsia="Calibri"/>
        </w:rPr>
        <w:t>оставщика для региональных нужд.</w:t>
      </w:r>
    </w:p>
    <w:p w:rsidR="00C1218E" w:rsidRPr="00C1218E" w:rsidRDefault="0079665F" w:rsidP="00156A54">
      <w:pPr>
        <w:autoSpaceDE w:val="0"/>
        <w:autoSpaceDN w:val="0"/>
        <w:adjustRightInd w:val="0"/>
        <w:jc w:val="both"/>
        <w:rPr>
          <w:rFonts w:eastAsia="Calibri"/>
        </w:rPr>
      </w:pPr>
      <w:r>
        <w:rPr>
          <w:rFonts w:eastAsia="Calibri"/>
        </w:rPr>
        <w:t xml:space="preserve">     </w:t>
      </w:r>
      <w:r w:rsidR="00C1218E">
        <w:rPr>
          <w:rFonts w:eastAsia="Calibri"/>
        </w:rPr>
        <w:t xml:space="preserve"> </w:t>
      </w:r>
      <w:r w:rsidR="0057730D" w:rsidRPr="0057730D">
        <w:rPr>
          <w:rFonts w:eastAsia="Calibri"/>
          <w:b/>
        </w:rPr>
        <w:t>в)</w:t>
      </w:r>
      <w:r w:rsidR="0057730D">
        <w:rPr>
          <w:rFonts w:eastAsia="Calibri"/>
        </w:rPr>
        <w:t xml:space="preserve"> </w:t>
      </w:r>
      <w:r w:rsidR="00C1218E" w:rsidRPr="00C1218E">
        <w:rPr>
          <w:rFonts w:eastAsia="Calibri"/>
        </w:rPr>
        <w:t>введение полномочий Правительства Российской Федерации</w:t>
      </w:r>
      <w:r w:rsidR="00156A54">
        <w:rPr>
          <w:rFonts w:eastAsia="Calibri"/>
        </w:rPr>
        <w:t xml:space="preserve"> </w:t>
      </w:r>
      <w:r w:rsidR="00C1218E" w:rsidRPr="00C1218E">
        <w:rPr>
          <w:rFonts w:eastAsia="Calibri"/>
        </w:rPr>
        <w:t>на утверждение порядка списания заказчиками поставщикам (подрядчикам,</w:t>
      </w:r>
      <w:r w:rsidR="00156A54">
        <w:rPr>
          <w:rFonts w:eastAsia="Calibri"/>
        </w:rPr>
        <w:t xml:space="preserve"> </w:t>
      </w:r>
      <w:r w:rsidR="00C1218E" w:rsidRPr="00C1218E">
        <w:rPr>
          <w:rFonts w:eastAsia="Calibri"/>
        </w:rPr>
        <w:t>исполнителям) неустоек, начисленных в связи с ненадлежащим исполнением условий</w:t>
      </w:r>
      <w:r w:rsidR="00156A54">
        <w:rPr>
          <w:rFonts w:eastAsia="Calibri"/>
        </w:rPr>
        <w:t xml:space="preserve"> </w:t>
      </w:r>
      <w:r w:rsidR="00C1218E" w:rsidRPr="00C1218E">
        <w:rPr>
          <w:rFonts w:eastAsia="Calibri"/>
        </w:rPr>
        <w:t>контракта, в реализацию которого издано постановление Правительства</w:t>
      </w:r>
      <w:r w:rsidR="00156A54">
        <w:rPr>
          <w:rFonts w:eastAsia="Calibri"/>
        </w:rPr>
        <w:t xml:space="preserve"> </w:t>
      </w:r>
      <w:r w:rsidR="00C1218E" w:rsidRPr="00C1218E">
        <w:rPr>
          <w:rFonts w:eastAsia="Calibri"/>
        </w:rPr>
        <w:t xml:space="preserve">Российской Федерации от </w:t>
      </w:r>
      <w:r w:rsidR="00156A54">
        <w:rPr>
          <w:rFonts w:eastAsia="Calibri"/>
        </w:rPr>
        <w:t xml:space="preserve">                          </w:t>
      </w:r>
      <w:r w:rsidR="00C1218E" w:rsidRPr="00156A54">
        <w:rPr>
          <w:rFonts w:eastAsia="Calibri"/>
          <w:b/>
        </w:rPr>
        <w:t>10 марта 2022 г. № 340</w:t>
      </w:r>
      <w:r w:rsidR="00C1218E" w:rsidRPr="00C1218E">
        <w:rPr>
          <w:rFonts w:eastAsia="Calibri"/>
        </w:rPr>
        <w:t>, предусматривающее обязательное</w:t>
      </w:r>
      <w:r w:rsidR="00156A54">
        <w:rPr>
          <w:rFonts w:eastAsia="Calibri"/>
        </w:rPr>
        <w:t xml:space="preserve"> </w:t>
      </w:r>
      <w:r w:rsidR="00C1218E" w:rsidRPr="00C1218E">
        <w:rPr>
          <w:rFonts w:eastAsia="Calibri"/>
        </w:rPr>
        <w:t>списание заказчиками неустоек</w:t>
      </w:r>
      <w:proofErr w:type="gramStart"/>
      <w:r w:rsidR="00156A54">
        <w:rPr>
          <w:rFonts w:eastAsia="Calibri"/>
        </w:rPr>
        <w:t xml:space="preserve"> </w:t>
      </w:r>
      <w:r w:rsidR="00C1218E" w:rsidRPr="00C1218E">
        <w:rPr>
          <w:rFonts w:eastAsia="Calibri"/>
        </w:rPr>
        <w:t>,</w:t>
      </w:r>
      <w:proofErr w:type="gramEnd"/>
      <w:r w:rsidR="00C1218E" w:rsidRPr="00C1218E">
        <w:rPr>
          <w:rFonts w:eastAsia="Calibri"/>
        </w:rPr>
        <w:t xml:space="preserve"> если ненадлежащее исполнение возникло вследствие</w:t>
      </w:r>
      <w:r w:rsidR="00156A54">
        <w:rPr>
          <w:rFonts w:eastAsia="Calibri"/>
        </w:rPr>
        <w:t xml:space="preserve"> </w:t>
      </w:r>
      <w:r w:rsidR="00C1218E" w:rsidRPr="00C1218E">
        <w:rPr>
          <w:rFonts w:eastAsia="Calibri"/>
        </w:rPr>
        <w:t>введения иностранных санкций и (или) мер ограничительного характера;</w:t>
      </w:r>
    </w:p>
    <w:p w:rsidR="00C1218E" w:rsidRPr="00C1218E" w:rsidRDefault="00156A54" w:rsidP="0057730D">
      <w:pPr>
        <w:autoSpaceDE w:val="0"/>
        <w:autoSpaceDN w:val="0"/>
        <w:adjustRightInd w:val="0"/>
        <w:jc w:val="both"/>
        <w:rPr>
          <w:rFonts w:eastAsia="Calibri"/>
        </w:rPr>
      </w:pPr>
      <w:r>
        <w:rPr>
          <w:rFonts w:eastAsia="Calibri"/>
        </w:rPr>
        <w:t xml:space="preserve">      </w:t>
      </w:r>
      <w:r w:rsidR="00C1218E" w:rsidRPr="00C1218E">
        <w:rPr>
          <w:rFonts w:eastAsia="Calibri"/>
        </w:rPr>
        <w:t>Кроме того, для поддержки поставщиков (подрядчиков, исполнителей)</w:t>
      </w:r>
      <w:r>
        <w:rPr>
          <w:rFonts w:eastAsia="Calibri"/>
        </w:rPr>
        <w:t xml:space="preserve"> </w:t>
      </w:r>
      <w:r w:rsidR="00C1218E" w:rsidRPr="00C1218E">
        <w:rPr>
          <w:rFonts w:eastAsia="Calibri"/>
        </w:rPr>
        <w:t>обеспечено издание постановление Правительства Российской Федерации</w:t>
      </w:r>
      <w:r>
        <w:rPr>
          <w:rFonts w:eastAsia="Calibri"/>
        </w:rPr>
        <w:t xml:space="preserve">  </w:t>
      </w:r>
      <w:r w:rsidR="00C1218E" w:rsidRPr="00156A54">
        <w:rPr>
          <w:rFonts w:eastAsia="Calibri"/>
          <w:b/>
        </w:rPr>
        <w:t>от 21 марта 2022 г. № 417</w:t>
      </w:r>
      <w:r w:rsidR="00C1218E" w:rsidRPr="00C1218E">
        <w:rPr>
          <w:rFonts w:eastAsia="Calibri"/>
        </w:rPr>
        <w:t>, которое не допускает включение в реестр</w:t>
      </w:r>
      <w:r>
        <w:rPr>
          <w:rFonts w:eastAsia="Calibri"/>
        </w:rPr>
        <w:t xml:space="preserve"> </w:t>
      </w:r>
      <w:r w:rsidR="00C1218E" w:rsidRPr="00C1218E">
        <w:rPr>
          <w:rFonts w:eastAsia="Calibri"/>
        </w:rPr>
        <w:t>недобросовестных поставщиков (подрядчиков, исполнителей), если исполнение</w:t>
      </w:r>
      <w:r>
        <w:rPr>
          <w:rFonts w:eastAsia="Calibri"/>
        </w:rPr>
        <w:t xml:space="preserve"> </w:t>
      </w:r>
      <w:r w:rsidR="00C1218E" w:rsidRPr="00C1218E">
        <w:rPr>
          <w:rFonts w:eastAsia="Calibri"/>
        </w:rPr>
        <w:t>контракта оказалось невозможным вследствие введения иностранных санкций.</w:t>
      </w:r>
    </w:p>
    <w:p w:rsidR="00700787" w:rsidRPr="00C1218E" w:rsidRDefault="00156A54" w:rsidP="00156A54">
      <w:pPr>
        <w:autoSpaceDE w:val="0"/>
        <w:autoSpaceDN w:val="0"/>
        <w:adjustRightInd w:val="0"/>
        <w:jc w:val="both"/>
        <w:rPr>
          <w:b/>
        </w:rPr>
      </w:pPr>
      <w:r>
        <w:rPr>
          <w:rFonts w:eastAsia="Calibri"/>
        </w:rPr>
        <w:t xml:space="preserve">     </w:t>
      </w:r>
      <w:r w:rsidR="002D1E73">
        <w:rPr>
          <w:rFonts w:eastAsia="Calibri"/>
        </w:rPr>
        <w:t xml:space="preserve"> </w:t>
      </w:r>
      <w:r>
        <w:rPr>
          <w:rFonts w:eastAsia="Calibri"/>
        </w:rPr>
        <w:t xml:space="preserve"> </w:t>
      </w:r>
      <w:r w:rsidR="00C1218E" w:rsidRPr="00C1218E">
        <w:rPr>
          <w:rFonts w:eastAsia="Calibri"/>
        </w:rPr>
        <w:t>По вопросам применения указанных изменений Минфином России</w:t>
      </w:r>
      <w:r>
        <w:rPr>
          <w:rFonts w:eastAsia="Calibri"/>
        </w:rPr>
        <w:t xml:space="preserve"> </w:t>
      </w:r>
      <w:r w:rsidR="00C1218E" w:rsidRPr="00C1218E">
        <w:rPr>
          <w:rFonts w:eastAsia="Calibri"/>
        </w:rPr>
        <w:t>на официальном сайте Минфина России в информационно-телекоммуникационной</w:t>
      </w:r>
      <w:r>
        <w:rPr>
          <w:rFonts w:eastAsia="Calibri"/>
        </w:rPr>
        <w:t xml:space="preserve"> </w:t>
      </w:r>
      <w:r w:rsidR="00C1218E" w:rsidRPr="00C1218E">
        <w:rPr>
          <w:rFonts w:eastAsia="Calibri"/>
        </w:rPr>
        <w:t xml:space="preserve">сети "Интернет" </w:t>
      </w:r>
      <w:r>
        <w:rPr>
          <w:rFonts w:eastAsia="Calibri"/>
        </w:rPr>
        <w:t>р</w:t>
      </w:r>
      <w:r w:rsidR="00C1218E" w:rsidRPr="00C1218E">
        <w:rPr>
          <w:rFonts w:eastAsia="Calibri"/>
        </w:rPr>
        <w:t xml:space="preserve">азмещено информационное письмо </w:t>
      </w:r>
      <w:r w:rsidR="00C1218E" w:rsidRPr="00156A54">
        <w:rPr>
          <w:rFonts w:eastAsia="Calibri"/>
          <w:b/>
        </w:rPr>
        <w:t>от 8 апреля 2022 г.</w:t>
      </w:r>
      <w:r w:rsidRPr="00156A54">
        <w:rPr>
          <w:rFonts w:eastAsia="Calibri"/>
          <w:b/>
        </w:rPr>
        <w:t xml:space="preserve"> </w:t>
      </w:r>
      <w:r w:rsidR="00C1218E" w:rsidRPr="00156A54">
        <w:rPr>
          <w:rFonts w:eastAsia="Calibri"/>
          <w:b/>
        </w:rPr>
        <w:t>№ 24-01-09/29768.</w:t>
      </w:r>
    </w:p>
    <w:p w:rsidR="00FD2683" w:rsidRPr="00FD2683" w:rsidRDefault="00FD2683" w:rsidP="00FD2683">
      <w:pPr>
        <w:autoSpaceDE w:val="0"/>
        <w:autoSpaceDN w:val="0"/>
        <w:adjustRightInd w:val="0"/>
        <w:jc w:val="both"/>
        <w:rPr>
          <w:rFonts w:eastAsia="Calibri"/>
        </w:rPr>
      </w:pPr>
      <w:r>
        <w:rPr>
          <w:b/>
        </w:rPr>
        <w:t xml:space="preserve">   </w:t>
      </w:r>
      <w:r w:rsidR="002D1E73">
        <w:rPr>
          <w:b/>
        </w:rPr>
        <w:t xml:space="preserve"> </w:t>
      </w:r>
      <w:r>
        <w:rPr>
          <w:b/>
        </w:rPr>
        <w:t xml:space="preserve">  </w:t>
      </w:r>
      <w:r w:rsidRPr="00FD2683">
        <w:rPr>
          <w:b/>
        </w:rPr>
        <w:t xml:space="preserve"> </w:t>
      </w:r>
      <w:proofErr w:type="gramStart"/>
      <w:r w:rsidR="00467965" w:rsidRPr="00467965">
        <w:rPr>
          <w:b/>
        </w:rPr>
        <w:t>Во второй пакет</w:t>
      </w:r>
      <w:r w:rsidR="00467965">
        <w:t xml:space="preserve"> (Федеральный закон </w:t>
      </w:r>
      <w:r w:rsidR="00467965" w:rsidRPr="00467965">
        <w:rPr>
          <w:b/>
        </w:rPr>
        <w:t>от 16.04.2022 г. № 104-ФЗ</w:t>
      </w:r>
      <w:r w:rsidR="00467965">
        <w:t xml:space="preserve"> «О внесении изменений в отдельные законодательные акты Российской Федерации» </w:t>
      </w:r>
      <w:r w:rsidR="00700620">
        <w:t>д</w:t>
      </w:r>
      <w:r w:rsidR="00700620" w:rsidRPr="00FD2683">
        <w:rPr>
          <w:rFonts w:eastAsia="Calibri"/>
        </w:rPr>
        <w:t>ля решения дополнительных вопросов</w:t>
      </w:r>
      <w:r w:rsidR="00467965">
        <w:t xml:space="preserve"> вошел еще ряд новаций (в том числе носящих постоянный характер)</w:t>
      </w:r>
      <w:r w:rsidRPr="00FD2683">
        <w:rPr>
          <w:rFonts w:eastAsia="Calibri"/>
        </w:rPr>
        <w:t>:</w:t>
      </w:r>
      <w:proofErr w:type="gramEnd"/>
    </w:p>
    <w:p w:rsidR="00FD2683" w:rsidRPr="00FD2683" w:rsidRDefault="00FD2683" w:rsidP="00FD2683">
      <w:pPr>
        <w:autoSpaceDE w:val="0"/>
        <w:autoSpaceDN w:val="0"/>
        <w:adjustRightInd w:val="0"/>
        <w:jc w:val="both"/>
        <w:rPr>
          <w:rFonts w:eastAsia="Calibri"/>
        </w:rPr>
      </w:pPr>
      <w:r>
        <w:rPr>
          <w:rFonts w:eastAsia="Calibri"/>
        </w:rPr>
        <w:t xml:space="preserve">   </w:t>
      </w:r>
      <w:r w:rsidR="002D1E73">
        <w:rPr>
          <w:rFonts w:eastAsia="Calibri"/>
        </w:rPr>
        <w:t xml:space="preserve"> </w:t>
      </w:r>
      <w:r>
        <w:rPr>
          <w:rFonts w:eastAsia="Calibri"/>
        </w:rPr>
        <w:t xml:space="preserve">  </w:t>
      </w:r>
      <w:r w:rsidR="0057730D" w:rsidRPr="0057730D">
        <w:rPr>
          <w:rFonts w:eastAsia="Calibri"/>
          <w:b/>
        </w:rPr>
        <w:t>а)</w:t>
      </w:r>
      <w:r w:rsidR="0057730D">
        <w:rPr>
          <w:rFonts w:eastAsia="Calibri"/>
        </w:rPr>
        <w:t xml:space="preserve"> </w:t>
      </w:r>
      <w:r w:rsidRPr="00FD2683">
        <w:rPr>
          <w:rFonts w:eastAsia="Calibri"/>
        </w:rPr>
        <w:t xml:space="preserve"> введение возможности заказчика обосновывать начальную (максимальную)</w:t>
      </w:r>
      <w:r w:rsidR="0057730D">
        <w:rPr>
          <w:rFonts w:eastAsia="Calibri"/>
        </w:rPr>
        <w:t xml:space="preserve"> </w:t>
      </w:r>
      <w:r w:rsidRPr="00FD2683">
        <w:rPr>
          <w:rFonts w:eastAsia="Calibri"/>
        </w:rPr>
        <w:t>цену контракта без учета коммерческих предложений поставщиков в случае</w:t>
      </w:r>
      <w:r w:rsidR="0057730D">
        <w:rPr>
          <w:rFonts w:eastAsia="Calibri"/>
        </w:rPr>
        <w:t xml:space="preserve"> </w:t>
      </w:r>
      <w:r w:rsidRPr="00FD2683">
        <w:rPr>
          <w:rFonts w:eastAsia="Calibri"/>
        </w:rPr>
        <w:t xml:space="preserve">их </w:t>
      </w:r>
      <w:proofErr w:type="spellStart"/>
      <w:r w:rsidRPr="00FD2683">
        <w:rPr>
          <w:rFonts w:eastAsia="Calibri"/>
        </w:rPr>
        <w:t>непоступления</w:t>
      </w:r>
      <w:proofErr w:type="spellEnd"/>
      <w:r w:rsidRPr="00FD2683">
        <w:rPr>
          <w:rFonts w:eastAsia="Calibri"/>
        </w:rPr>
        <w:t xml:space="preserve"> по запросу заказчика;</w:t>
      </w:r>
    </w:p>
    <w:p w:rsidR="00987001" w:rsidRDefault="00987001" w:rsidP="00FD2683">
      <w:pPr>
        <w:autoSpaceDE w:val="0"/>
        <w:autoSpaceDN w:val="0"/>
        <w:adjustRightInd w:val="0"/>
        <w:jc w:val="both"/>
        <w:rPr>
          <w:rFonts w:eastAsia="Calibri"/>
        </w:rPr>
      </w:pPr>
      <w:r>
        <w:rPr>
          <w:rFonts w:eastAsia="Calibri"/>
        </w:rPr>
        <w:lastRenderedPageBreak/>
        <w:t xml:space="preserve">   </w:t>
      </w:r>
      <w:r w:rsidR="002D1E73">
        <w:rPr>
          <w:rFonts w:eastAsia="Calibri"/>
        </w:rPr>
        <w:t xml:space="preserve">  </w:t>
      </w:r>
      <w:r>
        <w:rPr>
          <w:rFonts w:eastAsia="Calibri"/>
        </w:rPr>
        <w:t xml:space="preserve">  </w:t>
      </w:r>
      <w:r w:rsidRPr="00987001">
        <w:rPr>
          <w:rFonts w:eastAsia="Calibri"/>
          <w:b/>
        </w:rPr>
        <w:t>б</w:t>
      </w:r>
      <w:r w:rsidR="00FD2683" w:rsidRPr="00987001">
        <w:rPr>
          <w:rFonts w:eastAsia="Calibri"/>
          <w:b/>
        </w:rPr>
        <w:t>)</w:t>
      </w:r>
      <w:r w:rsidR="00FD2683" w:rsidRPr="00FD2683">
        <w:rPr>
          <w:rFonts w:eastAsia="Calibri"/>
        </w:rPr>
        <w:t xml:space="preserve"> сокращение максимального срока оплаты товара, работы, услуги</w:t>
      </w:r>
      <w:r>
        <w:rPr>
          <w:rFonts w:eastAsia="Calibri"/>
        </w:rPr>
        <w:t xml:space="preserve"> </w:t>
      </w:r>
      <w:r w:rsidR="00FD2683" w:rsidRPr="00FD2683">
        <w:rPr>
          <w:rFonts w:eastAsia="Calibri"/>
        </w:rPr>
        <w:t xml:space="preserve">до 7 рабочих дней </w:t>
      </w:r>
      <w:proofErr w:type="gramStart"/>
      <w:r w:rsidR="00FD2683" w:rsidRPr="00FD2683">
        <w:rPr>
          <w:rFonts w:eastAsia="Calibri"/>
        </w:rPr>
        <w:t>с даты подписания</w:t>
      </w:r>
      <w:proofErr w:type="gramEnd"/>
      <w:r w:rsidR="00FD2683" w:rsidRPr="00FD2683">
        <w:rPr>
          <w:rFonts w:eastAsia="Calibri"/>
        </w:rPr>
        <w:t xml:space="preserve"> заказчиком документа о приемке</w:t>
      </w:r>
      <w:r>
        <w:rPr>
          <w:rFonts w:eastAsia="Calibri"/>
        </w:rPr>
        <w:t xml:space="preserve"> </w:t>
      </w:r>
    </w:p>
    <w:p w:rsidR="00987001" w:rsidRDefault="00987001" w:rsidP="00FD2683">
      <w:pPr>
        <w:autoSpaceDE w:val="0"/>
        <w:autoSpaceDN w:val="0"/>
        <w:adjustRightInd w:val="0"/>
        <w:jc w:val="both"/>
        <w:rPr>
          <w:rFonts w:eastAsia="Calibri"/>
        </w:rPr>
      </w:pPr>
      <w:r>
        <w:rPr>
          <w:rFonts w:eastAsia="Calibri"/>
        </w:rPr>
        <w:t xml:space="preserve">     - </w:t>
      </w:r>
      <w:r w:rsidR="00FD2683" w:rsidRPr="00FD2683">
        <w:rPr>
          <w:rFonts w:eastAsia="Calibri"/>
        </w:rPr>
        <w:t xml:space="preserve">для федеральных заказчиков с 1 мая 2022 г., </w:t>
      </w:r>
    </w:p>
    <w:p w:rsidR="00FD2683" w:rsidRPr="00FD2683" w:rsidRDefault="00987001" w:rsidP="00FD2683">
      <w:pPr>
        <w:autoSpaceDE w:val="0"/>
        <w:autoSpaceDN w:val="0"/>
        <w:adjustRightInd w:val="0"/>
        <w:jc w:val="both"/>
        <w:rPr>
          <w:rFonts w:eastAsia="Calibri"/>
        </w:rPr>
      </w:pPr>
      <w:r>
        <w:rPr>
          <w:rFonts w:eastAsia="Calibri"/>
        </w:rPr>
        <w:t xml:space="preserve">     - </w:t>
      </w:r>
      <w:r w:rsidR="00FD2683" w:rsidRPr="00FD2683">
        <w:rPr>
          <w:rFonts w:eastAsia="Calibri"/>
        </w:rPr>
        <w:t>для региональных и муниципальных</w:t>
      </w:r>
      <w:r>
        <w:rPr>
          <w:rFonts w:eastAsia="Calibri"/>
        </w:rPr>
        <w:t xml:space="preserve"> </w:t>
      </w:r>
      <w:r w:rsidR="00FD2683" w:rsidRPr="00FD2683">
        <w:rPr>
          <w:rFonts w:eastAsia="Calibri"/>
        </w:rPr>
        <w:t>заказчиков - с 1 июля 2022 г.;</w:t>
      </w:r>
    </w:p>
    <w:p w:rsidR="00FD2683" w:rsidRPr="00FD2683" w:rsidRDefault="00987001" w:rsidP="00FD2683">
      <w:pPr>
        <w:autoSpaceDE w:val="0"/>
        <w:autoSpaceDN w:val="0"/>
        <w:adjustRightInd w:val="0"/>
        <w:jc w:val="both"/>
        <w:rPr>
          <w:rFonts w:eastAsia="Calibri"/>
        </w:rPr>
      </w:pPr>
      <w:r>
        <w:rPr>
          <w:rFonts w:eastAsia="Calibri"/>
        </w:rPr>
        <w:t xml:space="preserve">    </w:t>
      </w:r>
      <w:r w:rsidR="002D1E73">
        <w:rPr>
          <w:rFonts w:eastAsia="Calibri"/>
        </w:rPr>
        <w:t xml:space="preserve">  </w:t>
      </w:r>
      <w:r w:rsidRPr="00987001">
        <w:rPr>
          <w:rFonts w:eastAsia="Calibri"/>
          <w:b/>
        </w:rPr>
        <w:t>в</w:t>
      </w:r>
      <w:r w:rsidR="00FD2683" w:rsidRPr="00987001">
        <w:rPr>
          <w:rFonts w:eastAsia="Calibri"/>
          <w:b/>
        </w:rPr>
        <w:t>)</w:t>
      </w:r>
      <w:r w:rsidR="00FD2683" w:rsidRPr="00FD2683">
        <w:rPr>
          <w:rFonts w:eastAsia="Calibri"/>
        </w:rPr>
        <w:t xml:space="preserve"> введение запрета на использование иностранной валюты</w:t>
      </w:r>
      <w:r>
        <w:rPr>
          <w:rFonts w:eastAsia="Calibri"/>
        </w:rPr>
        <w:t xml:space="preserve"> </w:t>
      </w:r>
      <w:r w:rsidR="00FD2683" w:rsidRPr="00FD2683">
        <w:rPr>
          <w:rFonts w:eastAsia="Calibri"/>
        </w:rPr>
        <w:t>при определении и обосновании начальной (максимальной) цены контракта,</w:t>
      </w:r>
      <w:r>
        <w:rPr>
          <w:rFonts w:eastAsia="Calibri"/>
        </w:rPr>
        <w:t xml:space="preserve"> </w:t>
      </w:r>
      <w:r w:rsidR="00FD2683" w:rsidRPr="00FD2683">
        <w:rPr>
          <w:rFonts w:eastAsia="Calibri"/>
        </w:rPr>
        <w:t>за исключением заказчика, осуществляющим деятельность на территории</w:t>
      </w:r>
      <w:r>
        <w:rPr>
          <w:rFonts w:eastAsia="Calibri"/>
        </w:rPr>
        <w:t xml:space="preserve"> </w:t>
      </w:r>
      <w:r w:rsidR="00FD2683" w:rsidRPr="00FD2683">
        <w:rPr>
          <w:rFonts w:eastAsia="Calibri"/>
        </w:rPr>
        <w:t>иностранного государства;</w:t>
      </w:r>
    </w:p>
    <w:p w:rsidR="00FD2683" w:rsidRPr="00FD2683" w:rsidRDefault="00987001" w:rsidP="00FD2683">
      <w:pPr>
        <w:autoSpaceDE w:val="0"/>
        <w:autoSpaceDN w:val="0"/>
        <w:adjustRightInd w:val="0"/>
        <w:jc w:val="both"/>
        <w:rPr>
          <w:rFonts w:eastAsia="Calibri"/>
        </w:rPr>
      </w:pPr>
      <w:r>
        <w:rPr>
          <w:rFonts w:eastAsia="Calibri"/>
        </w:rPr>
        <w:t xml:space="preserve">  </w:t>
      </w:r>
      <w:r w:rsidR="002D1E73">
        <w:rPr>
          <w:rFonts w:eastAsia="Calibri"/>
        </w:rPr>
        <w:t xml:space="preserve">   </w:t>
      </w:r>
      <w:r>
        <w:rPr>
          <w:rFonts w:eastAsia="Calibri"/>
        </w:rPr>
        <w:t xml:space="preserve"> </w:t>
      </w:r>
      <w:r w:rsidRPr="00987001">
        <w:rPr>
          <w:rFonts w:eastAsia="Calibri"/>
          <w:b/>
        </w:rPr>
        <w:t>г)</w:t>
      </w:r>
      <w:r>
        <w:rPr>
          <w:rFonts w:eastAsia="Calibri"/>
        </w:rPr>
        <w:t xml:space="preserve"> </w:t>
      </w:r>
      <w:r w:rsidR="00FD2683" w:rsidRPr="00FD2683">
        <w:rPr>
          <w:rFonts w:eastAsia="Calibri"/>
        </w:rPr>
        <w:t>перевод закупок заказчиков (по утверждаемому Правительством</w:t>
      </w:r>
      <w:r>
        <w:rPr>
          <w:rFonts w:eastAsia="Calibri"/>
        </w:rPr>
        <w:t xml:space="preserve"> </w:t>
      </w:r>
      <w:r w:rsidR="00FD2683" w:rsidRPr="00FD2683">
        <w:rPr>
          <w:rFonts w:eastAsia="Calibri"/>
        </w:rPr>
        <w:t>Российской Федерации перечню), в отношении которых введены санкции,</w:t>
      </w:r>
      <w:r>
        <w:rPr>
          <w:rFonts w:eastAsia="Calibri"/>
        </w:rPr>
        <w:t xml:space="preserve"> </w:t>
      </w:r>
      <w:r w:rsidR="00FD2683" w:rsidRPr="00FD2683">
        <w:rPr>
          <w:rFonts w:eastAsia="Calibri"/>
        </w:rPr>
        <w:t>в закрытую электронную форму;</w:t>
      </w:r>
    </w:p>
    <w:p w:rsidR="00FD2683" w:rsidRPr="00FD2683" w:rsidRDefault="00987001" w:rsidP="00FD2683">
      <w:pPr>
        <w:autoSpaceDE w:val="0"/>
        <w:autoSpaceDN w:val="0"/>
        <w:adjustRightInd w:val="0"/>
        <w:jc w:val="both"/>
        <w:rPr>
          <w:rFonts w:eastAsia="Calibri"/>
        </w:rPr>
      </w:pPr>
      <w:r>
        <w:rPr>
          <w:rFonts w:eastAsia="Calibri"/>
        </w:rPr>
        <w:t xml:space="preserve">    </w:t>
      </w:r>
      <w:r w:rsidR="002D1E73">
        <w:rPr>
          <w:rFonts w:eastAsia="Calibri"/>
        </w:rPr>
        <w:t xml:space="preserve">  </w:t>
      </w:r>
      <w:r w:rsidRPr="00987001">
        <w:rPr>
          <w:rFonts w:eastAsia="Calibri"/>
          <w:b/>
        </w:rPr>
        <w:t>д</w:t>
      </w:r>
      <w:r w:rsidR="00FD2683" w:rsidRPr="00987001">
        <w:rPr>
          <w:rFonts w:eastAsia="Calibri"/>
          <w:b/>
        </w:rPr>
        <w:t>)</w:t>
      </w:r>
      <w:r w:rsidR="00887274">
        <w:rPr>
          <w:rFonts w:eastAsia="Calibri"/>
          <w:b/>
        </w:rPr>
        <w:t xml:space="preserve"> </w:t>
      </w:r>
      <w:r w:rsidR="00FD2683" w:rsidRPr="00FD2683">
        <w:rPr>
          <w:rFonts w:eastAsia="Calibri"/>
        </w:rPr>
        <w:t>установление дополнительного основания для включения в реестр</w:t>
      </w:r>
      <w:r>
        <w:rPr>
          <w:rFonts w:eastAsia="Calibri"/>
        </w:rPr>
        <w:t xml:space="preserve"> </w:t>
      </w:r>
      <w:r w:rsidR="00FD2683" w:rsidRPr="00FD2683">
        <w:rPr>
          <w:rFonts w:eastAsia="Calibri"/>
        </w:rPr>
        <w:t>недобросовестных поставщиков (подрядчиков, исполнителей) в части случаев</w:t>
      </w:r>
      <w:r>
        <w:rPr>
          <w:rFonts w:eastAsia="Calibri"/>
        </w:rPr>
        <w:t xml:space="preserve"> </w:t>
      </w:r>
      <w:r w:rsidR="00FD2683" w:rsidRPr="00FD2683">
        <w:rPr>
          <w:rFonts w:eastAsia="Calibri"/>
        </w:rPr>
        <w:t xml:space="preserve">необоснованного отказа от исполнения контракта с заказчиком (в том </w:t>
      </w:r>
      <w:proofErr w:type="gramStart"/>
      <w:r w:rsidR="00FD2683" w:rsidRPr="00FD2683">
        <w:rPr>
          <w:rFonts w:eastAsia="Calibri"/>
        </w:rPr>
        <w:t>числе</w:t>
      </w:r>
      <w:proofErr w:type="gramEnd"/>
      <w:r>
        <w:rPr>
          <w:rFonts w:eastAsia="Calibri"/>
        </w:rPr>
        <w:t xml:space="preserve"> </w:t>
      </w:r>
      <w:r w:rsidR="00FD2683" w:rsidRPr="00FD2683">
        <w:rPr>
          <w:rFonts w:eastAsia="Calibri"/>
        </w:rPr>
        <w:t>если в отношении заказчика введены санкции);</w:t>
      </w:r>
    </w:p>
    <w:p w:rsidR="00FD2683" w:rsidRPr="00FD2683" w:rsidRDefault="00987001" w:rsidP="00FD2683">
      <w:pPr>
        <w:autoSpaceDE w:val="0"/>
        <w:autoSpaceDN w:val="0"/>
        <w:adjustRightInd w:val="0"/>
        <w:jc w:val="both"/>
        <w:rPr>
          <w:rFonts w:eastAsia="Calibri"/>
        </w:rPr>
      </w:pPr>
      <w:r>
        <w:rPr>
          <w:rFonts w:eastAsia="Calibri"/>
        </w:rPr>
        <w:t xml:space="preserve">     </w:t>
      </w:r>
      <w:r w:rsidR="002D1E73">
        <w:rPr>
          <w:rFonts w:eastAsia="Calibri"/>
        </w:rPr>
        <w:t xml:space="preserve"> </w:t>
      </w:r>
      <w:r w:rsidR="00FD635C">
        <w:rPr>
          <w:rFonts w:eastAsia="Calibri"/>
        </w:rPr>
        <w:t xml:space="preserve"> </w:t>
      </w:r>
      <w:r w:rsidR="002D1E73">
        <w:rPr>
          <w:rFonts w:eastAsia="Calibri"/>
        </w:rPr>
        <w:t xml:space="preserve"> </w:t>
      </w:r>
      <w:r w:rsidRPr="00987001">
        <w:rPr>
          <w:rFonts w:eastAsia="Calibri"/>
          <w:b/>
        </w:rPr>
        <w:t>е</w:t>
      </w:r>
      <w:r w:rsidR="00FD2683" w:rsidRPr="00987001">
        <w:rPr>
          <w:rFonts w:eastAsia="Calibri"/>
          <w:b/>
        </w:rPr>
        <w:t>)</w:t>
      </w:r>
      <w:r w:rsidR="00FD2683" w:rsidRPr="00FD2683">
        <w:rPr>
          <w:rFonts w:eastAsia="Calibri"/>
        </w:rPr>
        <w:t xml:space="preserve"> расширение с 1 января 2023 г. перечня офшорных зон, в частности,</w:t>
      </w:r>
      <w:r>
        <w:rPr>
          <w:rFonts w:eastAsia="Calibri"/>
        </w:rPr>
        <w:t xml:space="preserve"> </w:t>
      </w:r>
      <w:r w:rsidR="00FD2683" w:rsidRPr="00FD2683">
        <w:rPr>
          <w:rFonts w:eastAsia="Calibri"/>
        </w:rPr>
        <w:t>территориями, используемыми для промежуточного владения активами регистрация</w:t>
      </w:r>
      <w:r>
        <w:rPr>
          <w:rFonts w:eastAsia="Calibri"/>
        </w:rPr>
        <w:t xml:space="preserve"> </w:t>
      </w:r>
      <w:r w:rsidR="00FD2683" w:rsidRPr="00FD2683">
        <w:rPr>
          <w:rFonts w:eastAsia="Calibri"/>
        </w:rPr>
        <w:t>в которых влечет невозможность участия в закупках;</w:t>
      </w:r>
    </w:p>
    <w:p w:rsidR="00FD2683" w:rsidRPr="00FD2683" w:rsidRDefault="00987001" w:rsidP="00FD2683">
      <w:pPr>
        <w:autoSpaceDE w:val="0"/>
        <w:autoSpaceDN w:val="0"/>
        <w:adjustRightInd w:val="0"/>
        <w:jc w:val="both"/>
        <w:rPr>
          <w:rFonts w:eastAsia="Calibri"/>
        </w:rPr>
      </w:pPr>
      <w:r>
        <w:rPr>
          <w:rFonts w:eastAsia="Calibri"/>
        </w:rPr>
        <w:t xml:space="preserve">    </w:t>
      </w:r>
      <w:r w:rsidR="002D1E73">
        <w:rPr>
          <w:rFonts w:eastAsia="Calibri"/>
        </w:rPr>
        <w:t xml:space="preserve">  </w:t>
      </w:r>
      <w:r w:rsidR="00FD635C">
        <w:rPr>
          <w:rFonts w:eastAsia="Calibri"/>
        </w:rPr>
        <w:t xml:space="preserve"> </w:t>
      </w:r>
      <w:r w:rsidRPr="00987001">
        <w:rPr>
          <w:rFonts w:eastAsia="Calibri"/>
          <w:b/>
        </w:rPr>
        <w:t>ж</w:t>
      </w:r>
      <w:r w:rsidR="00FD2683" w:rsidRPr="00987001">
        <w:rPr>
          <w:rFonts w:eastAsia="Calibri"/>
          <w:b/>
        </w:rPr>
        <w:t>)</w:t>
      </w:r>
      <w:r w:rsidR="00FD2683" w:rsidRPr="00FD2683">
        <w:rPr>
          <w:rFonts w:eastAsia="Calibri"/>
        </w:rPr>
        <w:t xml:space="preserve"> дополнительное упрощение закупок в сфере строительства в части</w:t>
      </w:r>
      <w:r>
        <w:rPr>
          <w:rFonts w:eastAsia="Calibri"/>
        </w:rPr>
        <w:t xml:space="preserve"> </w:t>
      </w:r>
      <w:r w:rsidR="00FD2683" w:rsidRPr="00FD2683">
        <w:rPr>
          <w:rFonts w:eastAsia="Calibri"/>
        </w:rPr>
        <w:t>исключения обязанности для целей проведения закупки "под ключ"</w:t>
      </w:r>
      <w:r>
        <w:rPr>
          <w:rFonts w:eastAsia="Calibri"/>
        </w:rPr>
        <w:t xml:space="preserve"> </w:t>
      </w:r>
      <w:r w:rsidR="00FD2683" w:rsidRPr="00FD2683">
        <w:rPr>
          <w:rFonts w:eastAsia="Calibri"/>
        </w:rPr>
        <w:t>по включению объекта в перечень объектов "под ключ"</w:t>
      </w:r>
      <w:proofErr w:type="gramStart"/>
      <w:r w:rsidR="00C758E4">
        <w:rPr>
          <w:rFonts w:eastAsia="Calibri"/>
        </w:rPr>
        <w:t xml:space="preserve"> </w:t>
      </w:r>
      <w:r w:rsidR="00FD2683" w:rsidRPr="00FD2683">
        <w:rPr>
          <w:rFonts w:eastAsia="Calibri"/>
        </w:rPr>
        <w:t>,</w:t>
      </w:r>
      <w:proofErr w:type="gramEnd"/>
      <w:r w:rsidR="00FD2683" w:rsidRPr="00FD2683">
        <w:rPr>
          <w:rFonts w:eastAsia="Calibri"/>
        </w:rPr>
        <w:t xml:space="preserve"> а также установления</w:t>
      </w:r>
      <w:r>
        <w:rPr>
          <w:rFonts w:eastAsia="Calibri"/>
        </w:rPr>
        <w:t xml:space="preserve"> </w:t>
      </w:r>
      <w:r w:rsidR="00FD2683" w:rsidRPr="00FD2683">
        <w:rPr>
          <w:rFonts w:eastAsia="Calibri"/>
        </w:rPr>
        <w:t>возможности провести единую закупку на строительство объекта и его полное</w:t>
      </w:r>
      <w:r>
        <w:rPr>
          <w:rFonts w:eastAsia="Calibri"/>
        </w:rPr>
        <w:t xml:space="preserve"> </w:t>
      </w:r>
      <w:r w:rsidR="00FD2683" w:rsidRPr="00FD2683">
        <w:rPr>
          <w:rFonts w:eastAsia="Calibri"/>
        </w:rPr>
        <w:t>оснащение оборудованием (вместо нескольких закупок как прежде) при наличии</w:t>
      </w:r>
      <w:r w:rsidR="00C758E4">
        <w:rPr>
          <w:rFonts w:eastAsia="Calibri"/>
        </w:rPr>
        <w:t xml:space="preserve"> </w:t>
      </w:r>
      <w:r w:rsidR="00FD2683" w:rsidRPr="00FD2683">
        <w:rPr>
          <w:rFonts w:eastAsia="Calibri"/>
        </w:rPr>
        <w:t>у заказчика утвержденной проектной документации;</w:t>
      </w:r>
    </w:p>
    <w:p w:rsidR="00FD2683" w:rsidRPr="00FD2683" w:rsidRDefault="00C758E4" w:rsidP="00FD2683">
      <w:pPr>
        <w:autoSpaceDE w:val="0"/>
        <w:autoSpaceDN w:val="0"/>
        <w:adjustRightInd w:val="0"/>
        <w:jc w:val="both"/>
        <w:rPr>
          <w:rFonts w:eastAsia="Calibri"/>
        </w:rPr>
      </w:pPr>
      <w:r>
        <w:rPr>
          <w:rFonts w:eastAsia="Calibri"/>
        </w:rPr>
        <w:t xml:space="preserve">  </w:t>
      </w:r>
      <w:r w:rsidR="002D1E73">
        <w:rPr>
          <w:rFonts w:eastAsia="Calibri"/>
        </w:rPr>
        <w:t xml:space="preserve">   </w:t>
      </w:r>
      <w:r>
        <w:rPr>
          <w:rFonts w:eastAsia="Calibri"/>
        </w:rPr>
        <w:t xml:space="preserve"> </w:t>
      </w:r>
      <w:r w:rsidR="00FD635C">
        <w:rPr>
          <w:rFonts w:eastAsia="Calibri"/>
        </w:rPr>
        <w:t xml:space="preserve"> </w:t>
      </w:r>
      <w:proofErr w:type="gramStart"/>
      <w:r w:rsidRPr="00C758E4">
        <w:rPr>
          <w:rFonts w:eastAsia="Calibri"/>
          <w:b/>
        </w:rPr>
        <w:t>з)</w:t>
      </w:r>
      <w:r w:rsidR="00FD2683" w:rsidRPr="00FD2683">
        <w:rPr>
          <w:rFonts w:eastAsia="Calibri"/>
        </w:rPr>
        <w:t xml:space="preserve"> дополнительное упрощение закупок в сфере медицины, в части возможности</w:t>
      </w:r>
      <w:r>
        <w:rPr>
          <w:rFonts w:eastAsia="Calibri"/>
        </w:rPr>
        <w:t xml:space="preserve"> </w:t>
      </w:r>
      <w:r w:rsidR="00FD2683" w:rsidRPr="00FD2683">
        <w:rPr>
          <w:rFonts w:eastAsia="Calibri"/>
        </w:rPr>
        <w:t>отнесения контрактов на закупку медицинских изделий и технических средств</w:t>
      </w:r>
      <w:r>
        <w:rPr>
          <w:rFonts w:eastAsia="Calibri"/>
        </w:rPr>
        <w:t xml:space="preserve"> </w:t>
      </w:r>
      <w:r w:rsidR="00FD2683" w:rsidRPr="00FD2683">
        <w:rPr>
          <w:rFonts w:eastAsia="Calibri"/>
        </w:rPr>
        <w:t>реабилитации (наряду с лекарственными препаратами) к категории "контрактов</w:t>
      </w:r>
      <w:r>
        <w:rPr>
          <w:rFonts w:eastAsia="Calibri"/>
        </w:rPr>
        <w:t xml:space="preserve"> </w:t>
      </w:r>
      <w:r w:rsidR="00FD2683" w:rsidRPr="00FD2683">
        <w:rPr>
          <w:rFonts w:eastAsia="Calibri"/>
        </w:rPr>
        <w:t>для нормального жизнеобеспечения граждан", что позволит проводить закупки таких</w:t>
      </w:r>
      <w:r w:rsidR="00D63A29">
        <w:rPr>
          <w:rFonts w:eastAsia="Calibri"/>
        </w:rPr>
        <w:t xml:space="preserve"> </w:t>
      </w:r>
      <w:r w:rsidR="00FD2683" w:rsidRPr="00FD2683">
        <w:rPr>
          <w:rFonts w:eastAsia="Calibri"/>
        </w:rPr>
        <w:t>товаров запросом котировок без ограничений по предельной цене контракта</w:t>
      </w:r>
      <w:r>
        <w:rPr>
          <w:rFonts w:eastAsia="Calibri"/>
        </w:rPr>
        <w:t xml:space="preserve"> </w:t>
      </w:r>
      <w:r w:rsidR="00FD2683" w:rsidRPr="00FD2683">
        <w:rPr>
          <w:rFonts w:eastAsia="Calibri"/>
        </w:rPr>
        <w:t>и совокупному годовому объему таких закупок;</w:t>
      </w:r>
      <w:proofErr w:type="gramEnd"/>
    </w:p>
    <w:p w:rsidR="00FD2683" w:rsidRPr="00FD2683" w:rsidRDefault="00C758E4" w:rsidP="00FD2683">
      <w:pPr>
        <w:autoSpaceDE w:val="0"/>
        <w:autoSpaceDN w:val="0"/>
        <w:adjustRightInd w:val="0"/>
        <w:jc w:val="both"/>
        <w:rPr>
          <w:rFonts w:eastAsia="Calibri"/>
        </w:rPr>
      </w:pPr>
      <w:r w:rsidRPr="00C758E4">
        <w:rPr>
          <w:rFonts w:eastAsia="Calibri"/>
          <w:b/>
        </w:rPr>
        <w:t xml:space="preserve">  </w:t>
      </w:r>
      <w:r w:rsidR="002D1E73">
        <w:rPr>
          <w:rFonts w:eastAsia="Calibri"/>
          <w:b/>
        </w:rPr>
        <w:t xml:space="preserve"> </w:t>
      </w:r>
      <w:r w:rsidRPr="00C758E4">
        <w:rPr>
          <w:rFonts w:eastAsia="Calibri"/>
          <w:b/>
        </w:rPr>
        <w:t xml:space="preserve"> </w:t>
      </w:r>
      <w:r w:rsidR="002D1E73">
        <w:rPr>
          <w:rFonts w:eastAsia="Calibri"/>
          <w:b/>
        </w:rPr>
        <w:t xml:space="preserve">  </w:t>
      </w:r>
      <w:r w:rsidR="00FD635C">
        <w:rPr>
          <w:rFonts w:eastAsia="Calibri"/>
          <w:b/>
        </w:rPr>
        <w:t xml:space="preserve"> </w:t>
      </w:r>
      <w:r w:rsidRPr="00C758E4">
        <w:rPr>
          <w:rFonts w:eastAsia="Calibri"/>
          <w:b/>
        </w:rPr>
        <w:t>и</w:t>
      </w:r>
      <w:r w:rsidR="00FD2683" w:rsidRPr="00C758E4">
        <w:rPr>
          <w:rFonts w:eastAsia="Calibri"/>
          <w:b/>
        </w:rPr>
        <w:t>)</w:t>
      </w:r>
      <w:r w:rsidR="00FD2683" w:rsidRPr="00FD2683">
        <w:rPr>
          <w:rFonts w:eastAsia="Calibri"/>
        </w:rPr>
        <w:t xml:space="preserve"> введение обязанности внесения информации о контрактах, заключенных</w:t>
      </w:r>
      <w:r>
        <w:rPr>
          <w:rFonts w:eastAsia="Calibri"/>
        </w:rPr>
        <w:t xml:space="preserve"> </w:t>
      </w:r>
      <w:r w:rsidR="00FD2683" w:rsidRPr="00FD2683">
        <w:rPr>
          <w:rFonts w:eastAsia="Calibri"/>
        </w:rPr>
        <w:t>с единственным поставщиком на основании временных дополнительных случаев</w:t>
      </w:r>
      <w:r>
        <w:rPr>
          <w:rFonts w:eastAsia="Calibri"/>
        </w:rPr>
        <w:t xml:space="preserve"> </w:t>
      </w:r>
      <w:r w:rsidR="00FD2683" w:rsidRPr="00FD2683">
        <w:rPr>
          <w:rFonts w:eastAsia="Calibri"/>
        </w:rPr>
        <w:t>в реестр контрактов, заключенных заказчиками, в единой информационной системе</w:t>
      </w:r>
      <w:r>
        <w:rPr>
          <w:rFonts w:eastAsia="Calibri"/>
        </w:rPr>
        <w:t xml:space="preserve"> </w:t>
      </w:r>
      <w:r w:rsidR="00FD2683" w:rsidRPr="00FD2683">
        <w:rPr>
          <w:rFonts w:eastAsia="Calibri"/>
        </w:rPr>
        <w:t>в сфере закупок.</w:t>
      </w:r>
    </w:p>
    <w:p w:rsidR="00392702" w:rsidRDefault="00392702" w:rsidP="00392702">
      <w:pPr>
        <w:pStyle w:val="Default"/>
        <w:jc w:val="both"/>
        <w:rPr>
          <w:rFonts w:ascii="Times New Roman" w:hAnsi="Times New Roman" w:cs="Times New Roman"/>
        </w:rPr>
      </w:pPr>
      <w:r>
        <w:rPr>
          <w:b/>
        </w:rPr>
        <w:t xml:space="preserve">     </w:t>
      </w:r>
      <w:r w:rsidR="00FD635C">
        <w:rPr>
          <w:b/>
        </w:rPr>
        <w:t xml:space="preserve"> </w:t>
      </w:r>
      <w:r>
        <w:rPr>
          <w:b/>
        </w:rPr>
        <w:t xml:space="preserve"> </w:t>
      </w:r>
      <w:r w:rsidR="002D1E73" w:rsidRPr="00392702">
        <w:rPr>
          <w:rFonts w:ascii="Times New Roman" w:hAnsi="Times New Roman" w:cs="Times New Roman"/>
          <w:b/>
        </w:rPr>
        <w:t xml:space="preserve">3) </w:t>
      </w:r>
      <w:r w:rsidR="002D1E73" w:rsidRPr="00392702">
        <w:rPr>
          <w:rFonts w:ascii="Times New Roman" w:hAnsi="Times New Roman" w:cs="Times New Roman"/>
        </w:rPr>
        <w:t xml:space="preserve"> Согласно Федеральному закону от </w:t>
      </w:r>
      <w:r w:rsidR="002D1E73" w:rsidRPr="00392702">
        <w:rPr>
          <w:rFonts w:ascii="Times New Roman" w:hAnsi="Times New Roman" w:cs="Times New Roman"/>
          <w:b/>
        </w:rPr>
        <w:t>04.11.2022 № 420-ФЗ</w:t>
      </w:r>
      <w:r w:rsidR="002D1E73" w:rsidRPr="00392702">
        <w:rPr>
          <w:rFonts w:ascii="Times New Roman" w:hAnsi="Times New Roman" w:cs="Times New Roman"/>
        </w:rPr>
        <w:t xml:space="preserve"> «О внесении изменений в отдельные законодательные акты Российской Федерации» и о приостановлении действия части 5 статьи 2 Закона № 44-ФЗ</w:t>
      </w:r>
      <w:r w:rsidR="002004A5">
        <w:rPr>
          <w:rFonts w:ascii="Times New Roman" w:hAnsi="Times New Roman" w:cs="Times New Roman"/>
        </w:rPr>
        <w:t>»</w:t>
      </w:r>
      <w:r w:rsidR="002D1E73" w:rsidRPr="00392702">
        <w:rPr>
          <w:rFonts w:ascii="Times New Roman" w:hAnsi="Times New Roman" w:cs="Times New Roman"/>
        </w:rPr>
        <w:t xml:space="preserve"> </w:t>
      </w:r>
      <w:r>
        <w:rPr>
          <w:rFonts w:ascii="Times New Roman" w:hAnsi="Times New Roman" w:cs="Times New Roman"/>
        </w:rPr>
        <w:t xml:space="preserve"> </w:t>
      </w:r>
      <w:r w:rsidR="002D1E73" w:rsidRPr="00392702">
        <w:rPr>
          <w:rFonts w:ascii="Times New Roman" w:hAnsi="Times New Roman" w:cs="Times New Roman"/>
        </w:rPr>
        <w:t xml:space="preserve">заказчик </w:t>
      </w:r>
      <w:proofErr w:type="gramStart"/>
      <w:r w:rsidR="002D1E73" w:rsidRPr="00392702">
        <w:rPr>
          <w:rFonts w:ascii="Times New Roman" w:hAnsi="Times New Roman" w:cs="Times New Roman"/>
        </w:rPr>
        <w:t>в праве</w:t>
      </w:r>
      <w:proofErr w:type="gramEnd"/>
      <w:r w:rsidR="002D1E73" w:rsidRPr="00392702">
        <w:rPr>
          <w:rFonts w:ascii="Times New Roman" w:hAnsi="Times New Roman" w:cs="Times New Roman"/>
        </w:rPr>
        <w:t xml:space="preserve"> сокращать или увеличивать в пределах 30% от первоначального объёма </w:t>
      </w:r>
      <w:r w:rsidR="002D1E73" w:rsidRPr="002D1E73">
        <w:rPr>
          <w:rFonts w:ascii="Times New Roman" w:hAnsi="Times New Roman" w:cs="Times New Roman"/>
        </w:rPr>
        <w:t xml:space="preserve">закупаемых медицинских изделий. </w:t>
      </w:r>
    </w:p>
    <w:p w:rsidR="002004A5" w:rsidRDefault="00392702" w:rsidP="00392702">
      <w:pPr>
        <w:pStyle w:val="Default"/>
        <w:jc w:val="both"/>
        <w:rPr>
          <w:rFonts w:ascii="Times New Roman" w:hAnsi="Times New Roman" w:cs="Times New Roman"/>
        </w:rPr>
      </w:pPr>
      <w:r>
        <w:rPr>
          <w:rFonts w:ascii="Times New Roman" w:hAnsi="Times New Roman" w:cs="Times New Roman"/>
        </w:rPr>
        <w:t xml:space="preserve">      </w:t>
      </w:r>
      <w:r w:rsidR="002D1E73" w:rsidRPr="002D1E73">
        <w:rPr>
          <w:rFonts w:ascii="Times New Roman" w:hAnsi="Times New Roman" w:cs="Times New Roman"/>
        </w:rPr>
        <w:t xml:space="preserve">Продлена возможность изменять существенные условия контракта, которые нельзя исполнить из-за непредвиденных обстоятельств. Изменять условия контрактов, заключенных до 01.01.2024, стороны могут на основании решения Правительства, высшего исполнительного органа региона или местной администрации. </w:t>
      </w:r>
    </w:p>
    <w:p w:rsidR="002D1E73" w:rsidRPr="002D1E73" w:rsidRDefault="002004A5" w:rsidP="00392702">
      <w:pPr>
        <w:pStyle w:val="Default"/>
        <w:jc w:val="both"/>
        <w:rPr>
          <w:rFonts w:ascii="Times New Roman" w:hAnsi="Times New Roman" w:cs="Times New Roman"/>
        </w:rPr>
      </w:pPr>
      <w:r>
        <w:rPr>
          <w:rFonts w:ascii="Times New Roman" w:hAnsi="Times New Roman" w:cs="Times New Roman"/>
        </w:rPr>
        <w:t xml:space="preserve">      Экспертным сообществом  и законодателями Закон №420-ФЗ  уже обозначен как закон, продлевающий меры поддержки заказчиков и поставщиков в условиях санкций.</w:t>
      </w:r>
    </w:p>
    <w:p w:rsidR="002D1E73" w:rsidRPr="002D1E73" w:rsidRDefault="00392702" w:rsidP="00392702">
      <w:pPr>
        <w:autoSpaceDE w:val="0"/>
        <w:autoSpaceDN w:val="0"/>
        <w:adjustRightInd w:val="0"/>
        <w:jc w:val="both"/>
        <w:rPr>
          <w:rFonts w:eastAsia="Calibri"/>
        </w:rPr>
      </w:pPr>
      <w:r>
        <w:rPr>
          <w:rFonts w:eastAsia="Calibri"/>
        </w:rPr>
        <w:t xml:space="preserve">      </w:t>
      </w:r>
      <w:r w:rsidR="00FD635C">
        <w:rPr>
          <w:rFonts w:eastAsia="Calibri"/>
        </w:rPr>
        <w:t xml:space="preserve"> </w:t>
      </w:r>
      <w:r w:rsidRPr="00392702">
        <w:rPr>
          <w:rFonts w:eastAsia="Calibri"/>
          <w:b/>
        </w:rPr>
        <w:t>4)</w:t>
      </w:r>
      <w:r w:rsidR="002D1E73" w:rsidRPr="002D1E73">
        <w:rPr>
          <w:rFonts w:eastAsia="Calibri"/>
        </w:rPr>
        <w:t xml:space="preserve"> Федеральный закон </w:t>
      </w:r>
      <w:r w:rsidR="002D1E73" w:rsidRPr="002D1E73">
        <w:rPr>
          <w:rFonts w:eastAsia="Calibri"/>
          <w:b/>
        </w:rPr>
        <w:t>от 05.12.2022 № 498-ФЗ</w:t>
      </w:r>
      <w:r w:rsidR="002D1E73" w:rsidRPr="002D1E73">
        <w:rPr>
          <w:rFonts w:eastAsia="Calibri"/>
        </w:rPr>
        <w:t xml:space="preserve"> «О внесении изменений в отдельные законодательные акты Российской Федерации» добавил новое требование, при котором участник закупки не должен являться иностранным агентом. </w:t>
      </w:r>
    </w:p>
    <w:p w:rsidR="002D1E73" w:rsidRPr="002D1E73" w:rsidRDefault="00392702" w:rsidP="00392702">
      <w:pPr>
        <w:autoSpaceDE w:val="0"/>
        <w:autoSpaceDN w:val="0"/>
        <w:adjustRightInd w:val="0"/>
        <w:jc w:val="both"/>
        <w:rPr>
          <w:rFonts w:eastAsia="Calibri"/>
        </w:rPr>
      </w:pPr>
      <w:r>
        <w:rPr>
          <w:rFonts w:eastAsia="Calibri"/>
        </w:rPr>
        <w:t xml:space="preserve">     </w:t>
      </w:r>
      <w:r w:rsidR="00FD635C">
        <w:rPr>
          <w:rFonts w:eastAsia="Calibri"/>
        </w:rPr>
        <w:t xml:space="preserve"> </w:t>
      </w:r>
      <w:proofErr w:type="gramStart"/>
      <w:r w:rsidRPr="00392702">
        <w:rPr>
          <w:rFonts w:eastAsia="Calibri"/>
          <w:b/>
        </w:rPr>
        <w:t>5)</w:t>
      </w:r>
      <w:r w:rsidR="002D1E73" w:rsidRPr="002D1E73">
        <w:rPr>
          <w:rFonts w:eastAsia="Calibri"/>
        </w:rPr>
        <w:t xml:space="preserve"> Федеральный закон </w:t>
      </w:r>
      <w:r w:rsidR="002D1E73" w:rsidRPr="002D1E73">
        <w:rPr>
          <w:rFonts w:eastAsia="Calibri"/>
          <w:b/>
        </w:rPr>
        <w:t>от 28.05.2022 № 146-ФЗ</w:t>
      </w:r>
      <w:r w:rsidR="002D1E73" w:rsidRPr="002D1E73">
        <w:rPr>
          <w:rFonts w:eastAsia="Calibri"/>
        </w:rPr>
        <w:t xml:space="preserve"> «</w:t>
      </w:r>
      <w:r w:rsidR="00FD635C">
        <w:rPr>
          <w:rFonts w:eastAsia="Calibri"/>
        </w:rPr>
        <w:t xml:space="preserve"> </w:t>
      </w:r>
      <w:r w:rsidR="002D1E73" w:rsidRPr="002D1E73">
        <w:rPr>
          <w:rFonts w:eastAsia="Calibri"/>
        </w:rPr>
        <w:t>О внесении изменений в статью 166.1 Бюджетного кодекса Российской Федерации и статьи 9 и 10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w:t>
      </w:r>
      <w:r w:rsidR="00FD635C">
        <w:rPr>
          <w:rFonts w:eastAsia="Calibri"/>
        </w:rPr>
        <w:t xml:space="preserve"> </w:t>
      </w:r>
      <w:r w:rsidR="002D1E73" w:rsidRPr="002D1E73">
        <w:rPr>
          <w:rFonts w:eastAsia="Calibri"/>
        </w:rPr>
        <w:t xml:space="preserve">» ввел ряд новшеств в бюджетное законодательство в части регулирования </w:t>
      </w:r>
      <w:r w:rsidR="009F4261">
        <w:rPr>
          <w:rFonts w:eastAsia="Calibri"/>
        </w:rPr>
        <w:t xml:space="preserve"> </w:t>
      </w:r>
      <w:r w:rsidR="002D1E73" w:rsidRPr="002D1E73">
        <w:rPr>
          <w:rFonts w:eastAsia="Calibri"/>
        </w:rPr>
        <w:t>вопросов расчетов</w:t>
      </w:r>
      <w:proofErr w:type="gramEnd"/>
      <w:r w:rsidR="002D1E73" w:rsidRPr="002D1E73">
        <w:rPr>
          <w:rFonts w:eastAsia="Calibri"/>
        </w:rPr>
        <w:t xml:space="preserve"> по контрактам</w:t>
      </w:r>
      <w:proofErr w:type="gramStart"/>
      <w:r w:rsidR="00FD635C">
        <w:rPr>
          <w:rFonts w:eastAsia="Calibri"/>
        </w:rPr>
        <w:t xml:space="preserve"> </w:t>
      </w:r>
      <w:r w:rsidR="002D1E73" w:rsidRPr="002D1E73">
        <w:rPr>
          <w:rFonts w:eastAsia="Calibri"/>
        </w:rPr>
        <w:t>:</w:t>
      </w:r>
      <w:proofErr w:type="gramEnd"/>
      <w:r w:rsidR="002D1E73" w:rsidRPr="002D1E73">
        <w:rPr>
          <w:rFonts w:eastAsia="Calibri"/>
        </w:rPr>
        <w:t xml:space="preserve"> </w:t>
      </w:r>
    </w:p>
    <w:p w:rsidR="002D1E73" w:rsidRPr="002D1E73" w:rsidRDefault="00FD635C" w:rsidP="00392702">
      <w:pPr>
        <w:autoSpaceDE w:val="0"/>
        <w:autoSpaceDN w:val="0"/>
        <w:adjustRightInd w:val="0"/>
        <w:jc w:val="both"/>
        <w:rPr>
          <w:rFonts w:eastAsia="Calibri"/>
        </w:rPr>
      </w:pPr>
      <w:r>
        <w:rPr>
          <w:rFonts w:eastAsia="Calibri"/>
        </w:rPr>
        <w:lastRenderedPageBreak/>
        <w:t xml:space="preserve">      </w:t>
      </w:r>
      <w:r w:rsidRPr="00FD635C">
        <w:rPr>
          <w:rFonts w:eastAsia="Calibri"/>
          <w:b/>
        </w:rPr>
        <w:t>а)</w:t>
      </w:r>
      <w:r>
        <w:rPr>
          <w:rFonts w:eastAsia="Calibri"/>
        </w:rPr>
        <w:t xml:space="preserve"> </w:t>
      </w:r>
      <w:r w:rsidR="002D1E73" w:rsidRPr="002D1E73">
        <w:rPr>
          <w:rFonts w:eastAsia="Calibri"/>
        </w:rPr>
        <w:t xml:space="preserve">установлена возможность перечисления средств за поставленные товары на расчетный счет поставщика без открытия лицевого счета участника казначейского сопровождения; </w:t>
      </w:r>
    </w:p>
    <w:p w:rsidR="002D1E73" w:rsidRPr="002D1E73" w:rsidRDefault="00FD635C" w:rsidP="00FD635C">
      <w:pPr>
        <w:autoSpaceDE w:val="0"/>
        <w:autoSpaceDN w:val="0"/>
        <w:adjustRightInd w:val="0"/>
        <w:jc w:val="both"/>
        <w:rPr>
          <w:rFonts w:eastAsia="Calibri"/>
        </w:rPr>
      </w:pPr>
      <w:r>
        <w:rPr>
          <w:rFonts w:eastAsia="Calibri"/>
        </w:rPr>
        <w:t xml:space="preserve">      </w:t>
      </w:r>
      <w:r w:rsidRPr="00FD635C">
        <w:rPr>
          <w:rFonts w:eastAsia="Calibri"/>
          <w:b/>
        </w:rPr>
        <w:t>б)</w:t>
      </w:r>
      <w:r w:rsidR="002D1E73" w:rsidRPr="002D1E73">
        <w:rPr>
          <w:rFonts w:eastAsia="Calibri"/>
        </w:rPr>
        <w:t xml:space="preserve"> для поставщиков строительных материалов и оборудования, затраты на приобретение которых включены в сметную документацию строительства, на расчетные счета в кредитных организациях предлагается перечислять не только оплату за поставку, но и авансы по договорам (контрактам), в порядке, установленном Правительством РФ; </w:t>
      </w:r>
    </w:p>
    <w:p w:rsidR="002D1E73" w:rsidRPr="002D1E73" w:rsidRDefault="00FD635C" w:rsidP="00FD635C">
      <w:pPr>
        <w:autoSpaceDE w:val="0"/>
        <w:autoSpaceDN w:val="0"/>
        <w:adjustRightInd w:val="0"/>
        <w:jc w:val="both"/>
        <w:rPr>
          <w:rFonts w:eastAsia="Calibri"/>
        </w:rPr>
      </w:pPr>
      <w:r>
        <w:rPr>
          <w:rFonts w:eastAsia="Calibri"/>
        </w:rPr>
        <w:t xml:space="preserve">      </w:t>
      </w:r>
      <w:r w:rsidRPr="00FD635C">
        <w:rPr>
          <w:rFonts w:eastAsia="Calibri"/>
          <w:b/>
        </w:rPr>
        <w:t>в)</w:t>
      </w:r>
      <w:r w:rsidR="002D1E73" w:rsidRPr="002D1E73">
        <w:rPr>
          <w:rFonts w:eastAsia="Calibri"/>
        </w:rPr>
        <w:t xml:space="preserve"> предусматривается также возможность перечисления средств по контрактам (договорам) на выполнение работ (оказание услуг)</w:t>
      </w:r>
      <w:proofErr w:type="gramStart"/>
      <w:r>
        <w:rPr>
          <w:rFonts w:eastAsia="Calibri"/>
        </w:rPr>
        <w:t xml:space="preserve"> </w:t>
      </w:r>
      <w:r w:rsidR="002D1E73" w:rsidRPr="002D1E73">
        <w:rPr>
          <w:rFonts w:eastAsia="Calibri"/>
        </w:rPr>
        <w:t>,</w:t>
      </w:r>
      <w:proofErr w:type="gramEnd"/>
      <w:r w:rsidR="002D1E73" w:rsidRPr="002D1E73">
        <w:rPr>
          <w:rFonts w:eastAsia="Calibri"/>
        </w:rPr>
        <w:t xml:space="preserve"> заключаемым в рамках исполнения контрактов на строительство (реконструкцию, техническое перевооружение), капитальный ремонт, сразу на счет подрядчика (исполнителя), открытый в кредитной организации, при представлении документов, подтверждающих выполнение работ (оказание услуг), а также реестра документов, подтверждающих затраты, произведенные подрядчиком (исполнителем); </w:t>
      </w:r>
    </w:p>
    <w:p w:rsidR="002D1E73" w:rsidRDefault="00FD635C" w:rsidP="00FD635C">
      <w:pPr>
        <w:autoSpaceDE w:val="0"/>
        <w:autoSpaceDN w:val="0"/>
        <w:adjustRightInd w:val="0"/>
        <w:ind w:firstLine="426"/>
        <w:jc w:val="both"/>
        <w:rPr>
          <w:rFonts w:eastAsia="Calibri"/>
        </w:rPr>
      </w:pPr>
      <w:r w:rsidRPr="00FD635C">
        <w:rPr>
          <w:rFonts w:eastAsia="Calibri"/>
          <w:b/>
        </w:rPr>
        <w:t>г)</w:t>
      </w:r>
      <w:r>
        <w:rPr>
          <w:rFonts w:eastAsia="Calibri"/>
        </w:rPr>
        <w:t xml:space="preserve"> </w:t>
      </w:r>
      <w:r w:rsidR="002D1E73" w:rsidRPr="002D1E73">
        <w:rPr>
          <w:rFonts w:eastAsia="Calibri"/>
        </w:rPr>
        <w:t>увеличена с 600 тысяч до 5 млн</w:t>
      </w:r>
      <w:r>
        <w:rPr>
          <w:rFonts w:eastAsia="Calibri"/>
        </w:rPr>
        <w:t>.</w:t>
      </w:r>
      <w:r w:rsidR="002D1E73" w:rsidRPr="002D1E73">
        <w:rPr>
          <w:rFonts w:eastAsia="Calibri"/>
        </w:rPr>
        <w:t xml:space="preserve"> рублей цена контракта (договора), предусматривающая обязательность казначейского сопровождения средств. </w:t>
      </w:r>
    </w:p>
    <w:p w:rsidR="00B33E4E" w:rsidRDefault="00B33E4E" w:rsidP="00B33E4E">
      <w:pPr>
        <w:autoSpaceDE w:val="0"/>
        <w:autoSpaceDN w:val="0"/>
        <w:adjustRightInd w:val="0"/>
        <w:ind w:firstLine="425"/>
        <w:jc w:val="both"/>
      </w:pPr>
      <w:r>
        <w:t xml:space="preserve">Введенные антикризисные меры являются многосторонними и  направлены на многие отрасли. В частности, предусмотрено многоуровневое регулирование и  взаимодействие властей федерального и  регионального уровней. </w:t>
      </w:r>
    </w:p>
    <w:p w:rsidR="00B33E4E" w:rsidRDefault="00B33E4E" w:rsidP="00B33E4E">
      <w:pPr>
        <w:autoSpaceDE w:val="0"/>
        <w:autoSpaceDN w:val="0"/>
        <w:adjustRightInd w:val="0"/>
        <w:ind w:firstLine="425"/>
        <w:jc w:val="both"/>
      </w:pPr>
      <w:r>
        <w:t>Региональные власти получили определенную самостоятельность в применении антикризисных мер и определении степени их интенсивности, при этом потребуется подготовка локальных нормативных актов. Особый акцент предположительно будет сделан на возможностях сторон изменять условия контрактов на поставку жизненно необходимых товаров и услуг для граждан страны.</w:t>
      </w:r>
    </w:p>
    <w:p w:rsidR="00B33E4E" w:rsidRPr="002D1E73" w:rsidRDefault="00B33E4E" w:rsidP="00B33E4E">
      <w:pPr>
        <w:autoSpaceDE w:val="0"/>
        <w:autoSpaceDN w:val="0"/>
        <w:adjustRightInd w:val="0"/>
        <w:spacing w:line="120" w:lineRule="auto"/>
        <w:ind w:firstLine="425"/>
        <w:jc w:val="both"/>
        <w:rPr>
          <w:rFonts w:eastAsia="Calibri"/>
        </w:rPr>
      </w:pPr>
    </w:p>
    <w:p w:rsidR="00BE232B" w:rsidRPr="007D70EE" w:rsidRDefault="003C1AFB" w:rsidP="00D63A29">
      <w:pPr>
        <w:autoSpaceDE w:val="0"/>
        <w:autoSpaceDN w:val="0"/>
        <w:adjustRightInd w:val="0"/>
        <w:jc w:val="both"/>
        <w:rPr>
          <w:rFonts w:eastAsia="Calibri"/>
          <w:b/>
        </w:rPr>
      </w:pPr>
      <w:r w:rsidRPr="003C1AFB">
        <w:rPr>
          <w:rFonts w:eastAsia="Calibri"/>
          <w:b/>
        </w:rPr>
        <w:t>3</w:t>
      </w:r>
      <w:r w:rsidR="00B8540F" w:rsidRPr="003C1AFB">
        <w:rPr>
          <w:rFonts w:eastAsia="Calibri"/>
        </w:rPr>
        <w:t xml:space="preserve">. </w:t>
      </w:r>
      <w:r w:rsidR="00BE232B" w:rsidRPr="00BE232B">
        <w:rPr>
          <w:rFonts w:eastAsia="Calibri"/>
          <w:b/>
        </w:rPr>
        <w:t xml:space="preserve">Изменения законодательства о контрактной системе в сфере закупок товаров, работ, услуг для обеспечения государственных и муниципальных нужд, принятые </w:t>
      </w:r>
      <w:r w:rsidR="00BE232B">
        <w:rPr>
          <w:rFonts w:eastAsia="Calibri"/>
          <w:b/>
        </w:rPr>
        <w:t xml:space="preserve">в отчетном периоде </w:t>
      </w:r>
      <w:r w:rsidR="00BE232B" w:rsidRPr="007D70EE">
        <w:rPr>
          <w:rFonts w:eastAsia="Calibri"/>
          <w:b/>
        </w:rPr>
        <w:t>для целей стабильного осуществления закупок и оказания мер поддержки участникам закупок с учетом объявления  частичной мобилизации в Российской Федерации.</w:t>
      </w:r>
    </w:p>
    <w:p w:rsidR="00B8540F" w:rsidRPr="00BE232B" w:rsidRDefault="00B8540F" w:rsidP="003C1AFB">
      <w:pPr>
        <w:autoSpaceDE w:val="0"/>
        <w:autoSpaceDN w:val="0"/>
        <w:adjustRightInd w:val="0"/>
        <w:ind w:firstLine="426"/>
        <w:jc w:val="both"/>
        <w:rPr>
          <w:rFonts w:eastAsia="Calibri"/>
          <w:b/>
        </w:rPr>
      </w:pPr>
      <w:r w:rsidRPr="003C1AFB">
        <w:rPr>
          <w:rFonts w:eastAsia="Calibri"/>
          <w:b/>
        </w:rPr>
        <w:t>В III квартале 2022 г</w:t>
      </w:r>
      <w:r w:rsidRPr="003C1AFB">
        <w:rPr>
          <w:rFonts w:eastAsia="Calibri"/>
        </w:rPr>
        <w:t>. в дополнение к ранее принятым мерам</w:t>
      </w:r>
      <w:proofErr w:type="gramStart"/>
      <w:r w:rsidR="003C1AFB">
        <w:rPr>
          <w:rFonts w:eastAsia="Calibri"/>
        </w:rPr>
        <w:t xml:space="preserve"> </w:t>
      </w:r>
      <w:r w:rsidRPr="003C1AFB">
        <w:rPr>
          <w:rFonts w:eastAsia="Calibri"/>
        </w:rPr>
        <w:t>,</w:t>
      </w:r>
      <w:proofErr w:type="gramEnd"/>
      <w:r w:rsidRPr="003C1AFB">
        <w:rPr>
          <w:rFonts w:eastAsia="Calibri"/>
        </w:rPr>
        <w:t xml:space="preserve"> направленным</w:t>
      </w:r>
      <w:r w:rsidR="003C1AFB">
        <w:rPr>
          <w:rFonts w:eastAsia="Calibri"/>
        </w:rPr>
        <w:t xml:space="preserve"> </w:t>
      </w:r>
      <w:r w:rsidRPr="003C1AFB">
        <w:rPr>
          <w:rFonts w:eastAsia="Calibri"/>
        </w:rPr>
        <w:t>на нивелирование последствий ограничительных мер со стороны недружественных</w:t>
      </w:r>
      <w:r w:rsidR="003C1AFB">
        <w:rPr>
          <w:rFonts w:eastAsia="Calibri"/>
        </w:rPr>
        <w:t xml:space="preserve"> </w:t>
      </w:r>
      <w:r w:rsidRPr="003C1AFB">
        <w:rPr>
          <w:rFonts w:eastAsia="Calibri"/>
        </w:rPr>
        <w:t xml:space="preserve">иностранных государств, </w:t>
      </w:r>
      <w:r w:rsidRPr="00BE232B">
        <w:rPr>
          <w:rFonts w:eastAsia="Calibri"/>
        </w:rPr>
        <w:t>принят комплекс мер для целей стабильного осуществления</w:t>
      </w:r>
      <w:r w:rsidR="003C1AFB" w:rsidRPr="00BE232B">
        <w:rPr>
          <w:rFonts w:eastAsia="Calibri"/>
        </w:rPr>
        <w:t xml:space="preserve"> </w:t>
      </w:r>
      <w:r w:rsidRPr="00BE232B">
        <w:rPr>
          <w:rFonts w:eastAsia="Calibri"/>
        </w:rPr>
        <w:t xml:space="preserve">закупок и оказания мер поддержки участникам закупок </w:t>
      </w:r>
      <w:r w:rsidRPr="00BE232B">
        <w:rPr>
          <w:rFonts w:eastAsia="Calibri"/>
          <w:b/>
        </w:rPr>
        <w:t>с учетом объявления</w:t>
      </w:r>
      <w:r w:rsidR="003C1AFB" w:rsidRPr="00BE232B">
        <w:rPr>
          <w:rFonts w:eastAsia="Calibri"/>
          <w:b/>
        </w:rPr>
        <w:t xml:space="preserve">  </w:t>
      </w:r>
      <w:r w:rsidRPr="00BE232B">
        <w:rPr>
          <w:rFonts w:eastAsia="Calibri"/>
          <w:b/>
        </w:rPr>
        <w:t>частичной мобилизации в Российской Федерации.</w:t>
      </w:r>
    </w:p>
    <w:p w:rsidR="003C1AFB" w:rsidRDefault="003C1AFB" w:rsidP="003C1AFB">
      <w:pPr>
        <w:autoSpaceDE w:val="0"/>
        <w:autoSpaceDN w:val="0"/>
        <w:adjustRightInd w:val="0"/>
        <w:jc w:val="both"/>
        <w:rPr>
          <w:rFonts w:eastAsia="Calibri"/>
        </w:rPr>
      </w:pPr>
      <w:r>
        <w:rPr>
          <w:rFonts w:eastAsia="Calibri"/>
        </w:rPr>
        <w:t xml:space="preserve">       </w:t>
      </w:r>
      <w:r w:rsidRPr="003C1AFB">
        <w:rPr>
          <w:rFonts w:eastAsia="Calibri"/>
          <w:b/>
        </w:rPr>
        <w:t>1)</w:t>
      </w:r>
      <w:r>
        <w:rPr>
          <w:rFonts w:eastAsia="Calibri"/>
        </w:rPr>
        <w:t xml:space="preserve"> </w:t>
      </w:r>
      <w:r w:rsidR="00B8540F" w:rsidRPr="003C1AFB">
        <w:rPr>
          <w:rFonts w:eastAsia="Calibri"/>
        </w:rPr>
        <w:t>Так, принято постановление Правительства Российской Федерации</w:t>
      </w:r>
      <w:r>
        <w:rPr>
          <w:rFonts w:eastAsia="Calibri"/>
        </w:rPr>
        <w:t xml:space="preserve">    </w:t>
      </w:r>
      <w:r w:rsidR="00767239">
        <w:rPr>
          <w:rFonts w:eastAsia="Calibri"/>
        </w:rPr>
        <w:t xml:space="preserve">   </w:t>
      </w:r>
      <w:r>
        <w:rPr>
          <w:rFonts w:eastAsia="Calibri"/>
        </w:rPr>
        <w:t xml:space="preserve">                    </w:t>
      </w:r>
      <w:r w:rsidR="00B8540F" w:rsidRPr="003C1AFB">
        <w:rPr>
          <w:rFonts w:eastAsia="Calibri"/>
        </w:rPr>
        <w:t xml:space="preserve">от </w:t>
      </w:r>
      <w:r w:rsidR="00B8540F" w:rsidRPr="003C1AFB">
        <w:rPr>
          <w:rFonts w:eastAsia="Calibri"/>
          <w:b/>
        </w:rPr>
        <w:t>15 октября 2022 г. № 1838</w:t>
      </w:r>
      <w:r w:rsidR="00B8540F" w:rsidRPr="003C1AFB">
        <w:rPr>
          <w:rFonts w:eastAsia="Calibri"/>
        </w:rPr>
        <w:t xml:space="preserve"> </w:t>
      </w:r>
      <w:r>
        <w:rPr>
          <w:rFonts w:eastAsia="Calibri"/>
        </w:rPr>
        <w:t>«</w:t>
      </w:r>
      <w:r w:rsidR="00B8540F" w:rsidRPr="003C1AFB">
        <w:rPr>
          <w:rFonts w:eastAsia="Calibri"/>
        </w:rPr>
        <w:t>Об изменении существенных условий контрактов,</w:t>
      </w:r>
      <w:r>
        <w:rPr>
          <w:rFonts w:eastAsia="Calibri"/>
        </w:rPr>
        <w:t xml:space="preserve"> </w:t>
      </w:r>
      <w:r w:rsidR="00B8540F" w:rsidRPr="003C1AFB">
        <w:rPr>
          <w:rFonts w:eastAsia="Calibri"/>
        </w:rPr>
        <w:t>заключенных для обеспечения федеральных нужд, в связи с мобилизацией</w:t>
      </w:r>
      <w:r>
        <w:rPr>
          <w:rFonts w:eastAsia="Calibri"/>
        </w:rPr>
        <w:t xml:space="preserve"> </w:t>
      </w:r>
      <w:r w:rsidR="00B8540F" w:rsidRPr="003C1AFB">
        <w:rPr>
          <w:rFonts w:eastAsia="Calibri"/>
        </w:rPr>
        <w:t>в Российской Федерации, об изменении некоторых актов Правительства</w:t>
      </w:r>
      <w:r>
        <w:rPr>
          <w:rFonts w:eastAsia="Calibri"/>
        </w:rPr>
        <w:t xml:space="preserve"> </w:t>
      </w:r>
      <w:r w:rsidR="00B8540F" w:rsidRPr="003C1AFB">
        <w:rPr>
          <w:rFonts w:eastAsia="Calibri"/>
        </w:rPr>
        <w:t>Российской Федерации по вопросам осуществления закупок товаров, работ</w:t>
      </w:r>
      <w:proofErr w:type="gramStart"/>
      <w:r>
        <w:rPr>
          <w:rFonts w:eastAsia="Calibri"/>
        </w:rPr>
        <w:t xml:space="preserve"> </w:t>
      </w:r>
      <w:r w:rsidR="00B8540F" w:rsidRPr="003C1AFB">
        <w:rPr>
          <w:rFonts w:eastAsia="Calibri"/>
        </w:rPr>
        <w:t>,</w:t>
      </w:r>
      <w:proofErr w:type="gramEnd"/>
      <w:r>
        <w:rPr>
          <w:rFonts w:eastAsia="Calibri"/>
        </w:rPr>
        <w:t xml:space="preserve"> </w:t>
      </w:r>
      <w:r w:rsidR="00B8540F" w:rsidRPr="003C1AFB">
        <w:rPr>
          <w:rFonts w:eastAsia="Calibri"/>
        </w:rPr>
        <w:t>услуг для обеспечения государственных и муниципальных нужд и закупок</w:t>
      </w:r>
      <w:r>
        <w:rPr>
          <w:rFonts w:eastAsia="Calibri"/>
        </w:rPr>
        <w:t xml:space="preserve"> </w:t>
      </w:r>
      <w:r w:rsidR="00B8540F" w:rsidRPr="003C1AFB">
        <w:rPr>
          <w:rFonts w:eastAsia="Calibri"/>
        </w:rPr>
        <w:t>товаров, работ, услуг отдельными видами юридических лиц и о признании</w:t>
      </w:r>
      <w:r>
        <w:rPr>
          <w:rFonts w:eastAsia="Calibri"/>
        </w:rPr>
        <w:t xml:space="preserve"> </w:t>
      </w:r>
      <w:r w:rsidR="00B8540F" w:rsidRPr="003C1AFB">
        <w:rPr>
          <w:rFonts w:eastAsia="Calibri"/>
        </w:rPr>
        <w:t>утратившими силу отдельных положений постановления Правительства</w:t>
      </w:r>
      <w:r>
        <w:rPr>
          <w:rFonts w:eastAsia="Calibri"/>
        </w:rPr>
        <w:t xml:space="preserve"> </w:t>
      </w:r>
      <w:r w:rsidR="00B8540F" w:rsidRPr="003C1AFB">
        <w:rPr>
          <w:rFonts w:eastAsia="Calibri"/>
        </w:rPr>
        <w:t>Российской Федераци</w:t>
      </w:r>
      <w:r>
        <w:rPr>
          <w:rFonts w:eastAsia="Calibri"/>
        </w:rPr>
        <w:t>и от 25 декабря 2018 г. № 1663»</w:t>
      </w:r>
      <w:r w:rsidR="00B8540F" w:rsidRPr="003C1AFB">
        <w:rPr>
          <w:rFonts w:eastAsia="Calibri"/>
        </w:rPr>
        <w:t>,</w:t>
      </w:r>
      <w:r>
        <w:rPr>
          <w:rFonts w:eastAsia="Calibri"/>
        </w:rPr>
        <w:t xml:space="preserve"> </w:t>
      </w:r>
      <w:proofErr w:type="gramStart"/>
      <w:r w:rsidR="00B8540F" w:rsidRPr="003C1AFB">
        <w:rPr>
          <w:rFonts w:eastAsia="Calibri"/>
        </w:rPr>
        <w:t>предусматривающее</w:t>
      </w:r>
      <w:proofErr w:type="gramEnd"/>
      <w:r w:rsidR="00B8540F" w:rsidRPr="003C1AFB">
        <w:rPr>
          <w:rFonts w:eastAsia="Calibri"/>
        </w:rPr>
        <w:t xml:space="preserve"> в том числе:</w:t>
      </w:r>
      <w:r>
        <w:rPr>
          <w:rFonts w:eastAsia="Calibri"/>
        </w:rPr>
        <w:t xml:space="preserve"> </w:t>
      </w:r>
    </w:p>
    <w:p w:rsidR="00B8540F" w:rsidRPr="003C1AFB" w:rsidRDefault="003C1AFB" w:rsidP="003C1AFB">
      <w:pPr>
        <w:autoSpaceDE w:val="0"/>
        <w:autoSpaceDN w:val="0"/>
        <w:adjustRightInd w:val="0"/>
        <w:jc w:val="both"/>
        <w:rPr>
          <w:rFonts w:eastAsia="Calibri"/>
        </w:rPr>
      </w:pPr>
      <w:r w:rsidRPr="003C1AFB">
        <w:rPr>
          <w:rFonts w:eastAsia="Calibri"/>
          <w:b/>
        </w:rPr>
        <w:t xml:space="preserve">      а)</w:t>
      </w:r>
      <w:r>
        <w:rPr>
          <w:rFonts w:eastAsia="Calibri"/>
        </w:rPr>
        <w:t xml:space="preserve"> </w:t>
      </w:r>
      <w:r w:rsidR="00B8540F" w:rsidRPr="003C1AFB">
        <w:rPr>
          <w:rFonts w:eastAsia="Calibri"/>
        </w:rPr>
        <w:t>списание неустоек (штрафов, пеней), если обязательства не были исполнены</w:t>
      </w:r>
      <w:r>
        <w:rPr>
          <w:rFonts w:eastAsia="Calibri"/>
        </w:rPr>
        <w:t xml:space="preserve"> </w:t>
      </w:r>
      <w:r w:rsidR="00B8540F" w:rsidRPr="003C1AFB">
        <w:rPr>
          <w:rFonts w:eastAsia="Calibri"/>
        </w:rPr>
        <w:t>по причине возникновения при исполнении контракта независящих от сторон</w:t>
      </w:r>
      <w:r>
        <w:rPr>
          <w:rFonts w:eastAsia="Calibri"/>
        </w:rPr>
        <w:t xml:space="preserve"> </w:t>
      </w:r>
      <w:r w:rsidR="00B8540F" w:rsidRPr="003C1AFB">
        <w:rPr>
          <w:rFonts w:eastAsia="Calibri"/>
        </w:rPr>
        <w:t>контракта обстоятельств, влекущих невозможность его исполнения в связи</w:t>
      </w:r>
      <w:r>
        <w:rPr>
          <w:rFonts w:eastAsia="Calibri"/>
        </w:rPr>
        <w:t xml:space="preserve"> </w:t>
      </w:r>
      <w:r w:rsidR="00B8540F" w:rsidRPr="003C1AFB">
        <w:rPr>
          <w:rFonts w:eastAsia="Calibri"/>
        </w:rPr>
        <w:t>с мобилизацией в Российской Федерации;</w:t>
      </w:r>
    </w:p>
    <w:p w:rsidR="00B8540F" w:rsidRPr="003C1AFB" w:rsidRDefault="003C1AFB" w:rsidP="003C1AFB">
      <w:pPr>
        <w:autoSpaceDE w:val="0"/>
        <w:autoSpaceDN w:val="0"/>
        <w:adjustRightInd w:val="0"/>
        <w:jc w:val="both"/>
        <w:rPr>
          <w:rFonts w:eastAsia="Calibri"/>
        </w:rPr>
      </w:pPr>
      <w:r w:rsidRPr="003C1AFB">
        <w:rPr>
          <w:rFonts w:eastAsia="Calibri"/>
          <w:b/>
        </w:rPr>
        <w:t xml:space="preserve">      б)</w:t>
      </w:r>
      <w:r>
        <w:rPr>
          <w:rFonts w:eastAsia="Calibri"/>
        </w:rPr>
        <w:t xml:space="preserve"> </w:t>
      </w:r>
      <w:r w:rsidRPr="003C1AFB">
        <w:rPr>
          <w:rFonts w:eastAsia="Calibri"/>
        </w:rPr>
        <w:t>не включение</w:t>
      </w:r>
      <w:r w:rsidR="00B8540F" w:rsidRPr="003C1AFB">
        <w:rPr>
          <w:rFonts w:eastAsia="Calibri"/>
        </w:rPr>
        <w:t xml:space="preserve"> информации о поставщике (подрядчике, исполнителе)</w:t>
      </w:r>
      <w:r>
        <w:rPr>
          <w:rFonts w:eastAsia="Calibri"/>
        </w:rPr>
        <w:t xml:space="preserve"> </w:t>
      </w:r>
      <w:r w:rsidR="00B8540F" w:rsidRPr="003C1AFB">
        <w:rPr>
          <w:rFonts w:eastAsia="Calibri"/>
        </w:rPr>
        <w:t>в реестр недобросовестных поставщиков (подрядчиков, исполнителей) в рамках</w:t>
      </w:r>
      <w:r>
        <w:rPr>
          <w:rFonts w:eastAsia="Calibri"/>
        </w:rPr>
        <w:t xml:space="preserve"> </w:t>
      </w:r>
      <w:r w:rsidR="00B8540F" w:rsidRPr="003C1AFB">
        <w:rPr>
          <w:rFonts w:eastAsia="Calibri"/>
        </w:rPr>
        <w:t xml:space="preserve">Закона № 44-ФЗ, </w:t>
      </w:r>
      <w:r w:rsidR="00B8540F" w:rsidRPr="003C1AFB">
        <w:rPr>
          <w:rFonts w:eastAsia="Calibri"/>
        </w:rPr>
        <w:lastRenderedPageBreak/>
        <w:t>если надлежащее исполнение контракта оказалось невозможным</w:t>
      </w:r>
      <w:r>
        <w:rPr>
          <w:rFonts w:eastAsia="Calibri"/>
        </w:rPr>
        <w:t xml:space="preserve"> </w:t>
      </w:r>
      <w:r w:rsidR="00B8540F" w:rsidRPr="003C1AFB">
        <w:rPr>
          <w:rFonts w:eastAsia="Calibri"/>
        </w:rPr>
        <w:t>в связи с мобилизацией в Российской Федерации;</w:t>
      </w:r>
    </w:p>
    <w:p w:rsidR="00B8540F" w:rsidRPr="003C1AFB" w:rsidRDefault="003C1AFB" w:rsidP="003C1AFB">
      <w:pPr>
        <w:autoSpaceDE w:val="0"/>
        <w:autoSpaceDN w:val="0"/>
        <w:adjustRightInd w:val="0"/>
        <w:jc w:val="both"/>
        <w:rPr>
          <w:rFonts w:eastAsia="Calibri"/>
        </w:rPr>
      </w:pPr>
      <w:r>
        <w:rPr>
          <w:rFonts w:eastAsia="Calibri"/>
        </w:rPr>
        <w:t xml:space="preserve">      </w:t>
      </w:r>
      <w:r w:rsidRPr="003C1AFB">
        <w:rPr>
          <w:rFonts w:eastAsia="Calibri"/>
          <w:b/>
        </w:rPr>
        <w:t>в)</w:t>
      </w:r>
      <w:r>
        <w:rPr>
          <w:rFonts w:eastAsia="Calibri"/>
        </w:rPr>
        <w:t xml:space="preserve"> </w:t>
      </w:r>
      <w:r w:rsidR="00B8540F" w:rsidRPr="003C1AFB">
        <w:rPr>
          <w:rFonts w:eastAsia="Calibri"/>
        </w:rPr>
        <w:t>установление на основании части 65</w:t>
      </w:r>
      <w:r w:rsidR="00D63A29">
        <w:rPr>
          <w:rFonts w:eastAsia="Calibri"/>
        </w:rPr>
        <w:t>.</w:t>
      </w:r>
      <w:r w:rsidR="00B8540F" w:rsidRPr="003C1AFB">
        <w:rPr>
          <w:rFonts w:eastAsia="Calibri"/>
        </w:rPr>
        <w:t>1 статьи 112 Закона № 44-ФЗ возможности</w:t>
      </w:r>
      <w:r>
        <w:rPr>
          <w:rFonts w:eastAsia="Calibri"/>
        </w:rPr>
        <w:t xml:space="preserve"> </w:t>
      </w:r>
      <w:r w:rsidR="00B8540F" w:rsidRPr="003C1AFB">
        <w:rPr>
          <w:rFonts w:eastAsia="Calibri"/>
        </w:rPr>
        <w:t>изменения по соглашению сторон существенных условий контракта, заключенного</w:t>
      </w:r>
      <w:r>
        <w:rPr>
          <w:rFonts w:eastAsia="Calibri"/>
        </w:rPr>
        <w:t xml:space="preserve"> </w:t>
      </w:r>
      <w:r w:rsidR="00B8540F" w:rsidRPr="003C1AFB">
        <w:rPr>
          <w:rFonts w:eastAsia="Calibri"/>
        </w:rPr>
        <w:t>для обеспечения федеральных нужд, в случае невозможности его исполнения в связи</w:t>
      </w:r>
      <w:r>
        <w:rPr>
          <w:rFonts w:eastAsia="Calibri"/>
        </w:rPr>
        <w:t xml:space="preserve"> </w:t>
      </w:r>
      <w:r w:rsidR="00B8540F" w:rsidRPr="003C1AFB">
        <w:rPr>
          <w:rFonts w:eastAsia="Calibri"/>
        </w:rPr>
        <w:t>с мобилизацией в Российской Федерации, а также рекомендацию высшим</w:t>
      </w:r>
      <w:r>
        <w:rPr>
          <w:rFonts w:eastAsia="Calibri"/>
        </w:rPr>
        <w:t xml:space="preserve"> </w:t>
      </w:r>
      <w:r w:rsidR="00B8540F" w:rsidRPr="003C1AFB">
        <w:rPr>
          <w:rFonts w:eastAsia="Calibri"/>
        </w:rPr>
        <w:t>исполнительным органам субъектов Российской Федерации</w:t>
      </w:r>
      <w:proofErr w:type="gramStart"/>
      <w:r>
        <w:rPr>
          <w:rFonts w:eastAsia="Calibri"/>
        </w:rPr>
        <w:t xml:space="preserve"> </w:t>
      </w:r>
      <w:r w:rsidR="00B8540F" w:rsidRPr="003C1AFB">
        <w:rPr>
          <w:rFonts w:eastAsia="Calibri"/>
        </w:rPr>
        <w:t>,</w:t>
      </w:r>
      <w:proofErr w:type="gramEnd"/>
      <w:r w:rsidR="00B8540F" w:rsidRPr="003C1AFB">
        <w:rPr>
          <w:rFonts w:eastAsia="Calibri"/>
        </w:rPr>
        <w:t xml:space="preserve"> местным</w:t>
      </w:r>
      <w:r>
        <w:rPr>
          <w:rFonts w:eastAsia="Calibri"/>
        </w:rPr>
        <w:t xml:space="preserve"> </w:t>
      </w:r>
      <w:r w:rsidR="00B8540F" w:rsidRPr="003C1AFB">
        <w:rPr>
          <w:rFonts w:eastAsia="Calibri"/>
        </w:rPr>
        <w:t>администрациям принять аналогичные решения в отношении контрактов,</w:t>
      </w:r>
      <w:r>
        <w:rPr>
          <w:rFonts w:eastAsia="Calibri"/>
        </w:rPr>
        <w:t xml:space="preserve"> </w:t>
      </w:r>
      <w:r w:rsidR="00B8540F" w:rsidRPr="003C1AFB">
        <w:rPr>
          <w:rFonts w:eastAsia="Calibri"/>
        </w:rPr>
        <w:t>заключенных для обеспечения нужд субъекта Российской Федерации</w:t>
      </w:r>
      <w:r>
        <w:rPr>
          <w:rFonts w:eastAsia="Calibri"/>
        </w:rPr>
        <w:t xml:space="preserve"> </w:t>
      </w:r>
      <w:r w:rsidR="00B8540F" w:rsidRPr="003C1AFB">
        <w:rPr>
          <w:rFonts w:eastAsia="Calibri"/>
        </w:rPr>
        <w:t>и для муниципальных нужд.</w:t>
      </w:r>
    </w:p>
    <w:p w:rsidR="00767239" w:rsidRPr="00767239" w:rsidRDefault="00767239" w:rsidP="009F4261">
      <w:pPr>
        <w:pStyle w:val="Default"/>
        <w:jc w:val="both"/>
        <w:rPr>
          <w:rFonts w:ascii="Times New Roman" w:hAnsi="Times New Roman" w:cs="Times New Roman"/>
        </w:rPr>
      </w:pPr>
      <w:r>
        <w:t xml:space="preserve">      </w:t>
      </w:r>
      <w:r w:rsidRPr="00767239">
        <w:rPr>
          <w:rFonts w:ascii="Times New Roman" w:hAnsi="Times New Roman" w:cs="Times New Roman"/>
          <w:b/>
        </w:rPr>
        <w:t>2)</w:t>
      </w:r>
      <w:r>
        <w:t xml:space="preserve"> </w:t>
      </w:r>
      <w:r w:rsidRPr="00767239">
        <w:rPr>
          <w:rFonts w:ascii="Times New Roman" w:hAnsi="Times New Roman" w:cs="Times New Roman"/>
        </w:rPr>
        <w:t xml:space="preserve">Согласно постановлению Правительства РФ </w:t>
      </w:r>
      <w:r>
        <w:rPr>
          <w:rFonts w:ascii="Times New Roman" w:hAnsi="Times New Roman" w:cs="Times New Roman"/>
        </w:rPr>
        <w:t xml:space="preserve"> </w:t>
      </w:r>
      <w:r w:rsidRPr="00767239">
        <w:rPr>
          <w:rFonts w:ascii="Times New Roman" w:hAnsi="Times New Roman" w:cs="Times New Roman"/>
          <w:b/>
        </w:rPr>
        <w:t>от 03.10.2022 № 1745</w:t>
      </w:r>
      <w:r w:rsidRPr="00767239">
        <w:rPr>
          <w:rFonts w:ascii="Times New Roman" w:hAnsi="Times New Roman" w:cs="Times New Roman"/>
        </w:rPr>
        <w:t xml:space="preserve"> «О специальных мерах в сфере экономики и внесении изменения в постановление Правительства Российской Федерации от 30.04.2020 № 616» регионам и муниципалитетам разрешено осуществлять закупки для мобилизации без учета запрета на допуск</w:t>
      </w:r>
      <w:proofErr w:type="gramStart"/>
      <w:r w:rsidR="009F4261">
        <w:rPr>
          <w:rFonts w:ascii="Times New Roman" w:hAnsi="Times New Roman" w:cs="Times New Roman"/>
        </w:rPr>
        <w:t xml:space="preserve"> </w:t>
      </w:r>
      <w:r w:rsidRPr="00767239">
        <w:rPr>
          <w:rFonts w:ascii="Times New Roman" w:hAnsi="Times New Roman" w:cs="Times New Roman"/>
        </w:rPr>
        <w:t>,</w:t>
      </w:r>
      <w:proofErr w:type="gramEnd"/>
      <w:r w:rsidRPr="00767239">
        <w:rPr>
          <w:rFonts w:ascii="Times New Roman" w:hAnsi="Times New Roman" w:cs="Times New Roman"/>
        </w:rPr>
        <w:t xml:space="preserve"> за счет средств своих бюджетов (кроме субвенций) разрешено закупать, в частности товары двойного назначения, </w:t>
      </w:r>
      <w:proofErr w:type="spellStart"/>
      <w:r w:rsidRPr="00767239">
        <w:rPr>
          <w:rFonts w:ascii="Times New Roman" w:hAnsi="Times New Roman" w:cs="Times New Roman"/>
        </w:rPr>
        <w:t>беспилотники</w:t>
      </w:r>
      <w:proofErr w:type="spellEnd"/>
      <w:r w:rsidRPr="00767239">
        <w:rPr>
          <w:rFonts w:ascii="Times New Roman" w:hAnsi="Times New Roman" w:cs="Times New Roman"/>
        </w:rPr>
        <w:t>, лекарства. Закупка указанных товаров осуществляется на основании заявок, направленных уполномоченными органами Минобороны России уполномоченному исполнительному органу соответствующего субъекта РФ (органу местного самоуправления). Товары, работы или услуги безвозмездно передают в федеральную собственность по акту приема-передачи.</w:t>
      </w:r>
    </w:p>
    <w:p w:rsidR="00700787" w:rsidRPr="003C1AFB" w:rsidRDefault="00B8540F" w:rsidP="009F4261">
      <w:pPr>
        <w:autoSpaceDE w:val="0"/>
        <w:autoSpaceDN w:val="0"/>
        <w:adjustRightInd w:val="0"/>
        <w:jc w:val="both"/>
        <w:rPr>
          <w:b/>
        </w:rPr>
      </w:pPr>
      <w:r w:rsidRPr="003C1AFB">
        <w:rPr>
          <w:rFonts w:eastAsia="Calibri"/>
        </w:rPr>
        <w:t xml:space="preserve"> </w:t>
      </w:r>
      <w:r w:rsidR="009F4261">
        <w:rPr>
          <w:rFonts w:eastAsia="Calibri"/>
        </w:rPr>
        <w:t xml:space="preserve">       </w:t>
      </w:r>
      <w:r w:rsidR="009F4261" w:rsidRPr="009F4261">
        <w:rPr>
          <w:rFonts w:eastAsia="Calibri"/>
          <w:b/>
        </w:rPr>
        <w:t>3)</w:t>
      </w:r>
      <w:r w:rsidR="009F4261">
        <w:rPr>
          <w:rFonts w:eastAsia="Calibri"/>
        </w:rPr>
        <w:t xml:space="preserve">   </w:t>
      </w:r>
      <w:r w:rsidRPr="003C1AFB">
        <w:rPr>
          <w:rFonts w:eastAsia="Calibri"/>
        </w:rPr>
        <w:t xml:space="preserve">Постановлением Правительства РФ </w:t>
      </w:r>
      <w:r w:rsidRPr="009F4261">
        <w:rPr>
          <w:rFonts w:eastAsia="Calibri"/>
          <w:b/>
        </w:rPr>
        <w:t>от 9 августа 2022 г.</w:t>
      </w:r>
      <w:r w:rsidR="009F4261" w:rsidRPr="009F4261">
        <w:rPr>
          <w:rFonts w:eastAsia="Calibri"/>
          <w:b/>
        </w:rPr>
        <w:t xml:space="preserve"> </w:t>
      </w:r>
      <w:r w:rsidRPr="009F4261">
        <w:rPr>
          <w:rFonts w:eastAsia="Calibri"/>
          <w:b/>
        </w:rPr>
        <w:t>№ 1397</w:t>
      </w:r>
      <w:r w:rsidRPr="003C1AFB">
        <w:rPr>
          <w:rFonts w:eastAsia="Calibri"/>
        </w:rPr>
        <w:t xml:space="preserve"> </w:t>
      </w:r>
      <w:r w:rsidR="009F4261">
        <w:rPr>
          <w:rFonts w:eastAsia="Calibri"/>
        </w:rPr>
        <w:t>«</w:t>
      </w:r>
      <w:r w:rsidRPr="003C1AFB">
        <w:rPr>
          <w:rFonts w:eastAsia="Calibri"/>
        </w:rPr>
        <w:t>О независимых гарантиях, предоставляемых в качестве обеспечения заявки</w:t>
      </w:r>
      <w:r w:rsidR="009F4261">
        <w:rPr>
          <w:rFonts w:eastAsia="Calibri"/>
        </w:rPr>
        <w:t xml:space="preserve"> </w:t>
      </w:r>
      <w:r w:rsidRPr="003C1AFB">
        <w:rPr>
          <w:rFonts w:eastAsia="Calibri"/>
        </w:rPr>
        <w:t>на участие в конкурентной закупке товаров, работ</w:t>
      </w:r>
      <w:proofErr w:type="gramStart"/>
      <w:r w:rsidR="009F4261">
        <w:rPr>
          <w:rFonts w:eastAsia="Calibri"/>
        </w:rPr>
        <w:t xml:space="preserve"> </w:t>
      </w:r>
      <w:r w:rsidRPr="003C1AFB">
        <w:rPr>
          <w:rFonts w:eastAsia="Calibri"/>
        </w:rPr>
        <w:t>,</w:t>
      </w:r>
      <w:proofErr w:type="gramEnd"/>
      <w:r w:rsidRPr="003C1AFB">
        <w:rPr>
          <w:rFonts w:eastAsia="Calibri"/>
        </w:rPr>
        <w:t xml:space="preserve"> услуг в электронной форме</w:t>
      </w:r>
      <w:r w:rsidR="009F4261">
        <w:rPr>
          <w:rFonts w:eastAsia="Calibri"/>
        </w:rPr>
        <w:t xml:space="preserve"> </w:t>
      </w:r>
      <w:r w:rsidRPr="003C1AFB">
        <w:rPr>
          <w:rFonts w:eastAsia="Calibri"/>
        </w:rPr>
        <w:t>с участием субъектов малого и среднего предпринимательства, и независимых</w:t>
      </w:r>
      <w:r w:rsidR="009F4261">
        <w:rPr>
          <w:rFonts w:eastAsia="Calibri"/>
        </w:rPr>
        <w:t xml:space="preserve"> </w:t>
      </w:r>
      <w:r w:rsidRPr="003C1AFB">
        <w:rPr>
          <w:rFonts w:eastAsia="Calibri"/>
        </w:rPr>
        <w:t>гарантиях, предоставляемых в качестве обеспечения исполнения договора,</w:t>
      </w:r>
      <w:r w:rsidR="009F4261">
        <w:rPr>
          <w:rFonts w:eastAsia="Calibri"/>
        </w:rPr>
        <w:t xml:space="preserve"> </w:t>
      </w:r>
      <w:r w:rsidRPr="003C1AFB">
        <w:rPr>
          <w:rFonts w:eastAsia="Calibri"/>
        </w:rPr>
        <w:t>заключаемого по результатам такой закупки, а также о внесении</w:t>
      </w:r>
      <w:r w:rsidR="009F4261">
        <w:rPr>
          <w:rFonts w:eastAsia="Calibri"/>
        </w:rPr>
        <w:t xml:space="preserve"> </w:t>
      </w:r>
      <w:r w:rsidRPr="003C1AFB">
        <w:rPr>
          <w:rFonts w:eastAsia="Calibri"/>
        </w:rPr>
        <w:t>изменений в некоторые акты Правительства Российской Федерации</w:t>
      </w:r>
      <w:r w:rsidR="009F4261">
        <w:rPr>
          <w:rFonts w:eastAsia="Calibri"/>
        </w:rPr>
        <w:t>»</w:t>
      </w:r>
      <w:r w:rsidRPr="003C1AFB">
        <w:rPr>
          <w:rFonts w:eastAsia="Calibri"/>
        </w:rPr>
        <w:t xml:space="preserve"> установлены типовые формы независимых гарантий,</w:t>
      </w:r>
      <w:r w:rsidR="009F4261">
        <w:rPr>
          <w:rFonts w:eastAsia="Calibri"/>
        </w:rPr>
        <w:t xml:space="preserve"> </w:t>
      </w:r>
      <w:r w:rsidRPr="003C1AFB">
        <w:rPr>
          <w:rFonts w:eastAsia="Calibri"/>
        </w:rPr>
        <w:t>предоставляемых в качестве обеспечения заявки на участие в закупке товара, работы,</w:t>
      </w:r>
      <w:r w:rsidR="009F4261">
        <w:rPr>
          <w:rFonts w:eastAsia="Calibri"/>
        </w:rPr>
        <w:t xml:space="preserve"> </w:t>
      </w:r>
      <w:r w:rsidRPr="003C1AFB">
        <w:rPr>
          <w:rFonts w:eastAsia="Calibri"/>
        </w:rPr>
        <w:t>услуги для обеспечения государственных и муниципальных нужд, а также в качестве</w:t>
      </w:r>
      <w:r w:rsidR="009F4261">
        <w:rPr>
          <w:rFonts w:eastAsia="Calibri"/>
        </w:rPr>
        <w:t xml:space="preserve"> </w:t>
      </w:r>
      <w:r w:rsidRPr="003C1AFB">
        <w:rPr>
          <w:rFonts w:eastAsia="Calibri"/>
        </w:rPr>
        <w:t>обеспечения исполнения контракта.</w:t>
      </w:r>
    </w:p>
    <w:p w:rsidR="00700787" w:rsidRPr="003C1AFB" w:rsidRDefault="00700787" w:rsidP="00F73C02">
      <w:pPr>
        <w:autoSpaceDE w:val="0"/>
        <w:autoSpaceDN w:val="0"/>
        <w:adjustRightInd w:val="0"/>
        <w:spacing w:line="120" w:lineRule="auto"/>
        <w:ind w:firstLine="425"/>
        <w:jc w:val="both"/>
        <w:rPr>
          <w:b/>
        </w:rPr>
      </w:pPr>
    </w:p>
    <w:p w:rsidR="004326B8" w:rsidRPr="00293C17" w:rsidRDefault="004326B8" w:rsidP="004326B8">
      <w:pPr>
        <w:shd w:val="clear" w:color="auto" w:fill="FFFFFF" w:themeFill="background1"/>
        <w:autoSpaceDE w:val="0"/>
        <w:autoSpaceDN w:val="0"/>
        <w:adjustRightInd w:val="0"/>
        <w:spacing w:after="120" w:line="300" w:lineRule="exact"/>
        <w:jc w:val="both"/>
        <w:rPr>
          <w:rFonts w:eastAsia="Calibri"/>
          <w:b/>
          <w:color w:val="000000"/>
        </w:rPr>
      </w:pPr>
      <w:r w:rsidRPr="00293C17">
        <w:rPr>
          <w:rFonts w:eastAsia="Calibri"/>
          <w:b/>
          <w:color w:val="000000"/>
        </w:rPr>
        <w:t>1.</w:t>
      </w:r>
      <w:r>
        <w:rPr>
          <w:rFonts w:eastAsia="Calibri"/>
          <w:b/>
          <w:color w:val="000000"/>
        </w:rPr>
        <w:t>3</w:t>
      </w:r>
      <w:r w:rsidRPr="00293C17">
        <w:rPr>
          <w:rFonts w:eastAsia="Calibri"/>
          <w:b/>
          <w:color w:val="000000"/>
        </w:rPr>
        <w:t xml:space="preserve">. </w:t>
      </w:r>
      <w:r w:rsidRPr="00293C17">
        <w:rPr>
          <w:rFonts w:cs="TT Jenevers"/>
          <w:b/>
          <w:color w:val="000000"/>
        </w:rPr>
        <w:t>Вопросы дальнейшего совершенствования системы закупок</w:t>
      </w:r>
    </w:p>
    <w:p w:rsidR="00EF6E22" w:rsidRDefault="00EF6E22" w:rsidP="00EF6E22">
      <w:pPr>
        <w:shd w:val="clear" w:color="auto" w:fill="FFFFFF" w:themeFill="background1"/>
        <w:autoSpaceDE w:val="0"/>
        <w:autoSpaceDN w:val="0"/>
        <w:adjustRightInd w:val="0"/>
        <w:jc w:val="both"/>
        <w:rPr>
          <w:rFonts w:eastAsia="Calibri"/>
        </w:rPr>
      </w:pPr>
      <w:r>
        <w:rPr>
          <w:b/>
          <w:color w:val="000000"/>
        </w:rPr>
        <w:t xml:space="preserve">      </w:t>
      </w:r>
      <w:r w:rsidR="004326B8" w:rsidRPr="00EF6E22">
        <w:rPr>
          <w:b/>
          <w:color w:val="000000"/>
        </w:rPr>
        <w:t>1. Какие</w:t>
      </w:r>
      <w:r w:rsidRPr="00EF6E22">
        <w:rPr>
          <w:b/>
          <w:color w:val="000000"/>
        </w:rPr>
        <w:t xml:space="preserve"> антикризисные меры в закупках предусмотрены в 2023 году</w:t>
      </w:r>
      <w:r>
        <w:rPr>
          <w:b/>
          <w:color w:val="000000"/>
        </w:rPr>
        <w:t>.</w:t>
      </w:r>
      <w:r w:rsidR="004326B8" w:rsidRPr="004326B8">
        <w:rPr>
          <w:rFonts w:ascii="PT Sans" w:hAnsi="PT Sans"/>
          <w:color w:val="000000"/>
          <w:sz w:val="27"/>
          <w:szCs w:val="27"/>
        </w:rPr>
        <w:br/>
      </w:r>
      <w:r w:rsidR="004326B8" w:rsidRPr="004326B8">
        <w:rPr>
          <w:rFonts w:eastAsia="Calibri"/>
        </w:rPr>
        <w:t xml:space="preserve">      </w:t>
      </w:r>
      <w:r w:rsidR="0079665F" w:rsidRPr="004326B8">
        <w:rPr>
          <w:rFonts w:eastAsia="Calibri"/>
        </w:rPr>
        <w:t>Необходимо отмет</w:t>
      </w:r>
      <w:r w:rsidR="004326B8" w:rsidRPr="004326B8">
        <w:rPr>
          <w:rFonts w:eastAsia="Calibri"/>
        </w:rPr>
        <w:t>ить</w:t>
      </w:r>
      <w:r w:rsidR="0079665F" w:rsidRPr="004326B8">
        <w:rPr>
          <w:rFonts w:eastAsia="Calibri"/>
        </w:rPr>
        <w:t>, что накладываемые на российские компании санкции серьезно осложняют экономическую  ситуацию в сфере закупок. Чтобы поддержать заказчиков и их контрагентов, Правительство РФ продолжает расширять спектр поддерживающих мер</w:t>
      </w:r>
      <w:r>
        <w:rPr>
          <w:rFonts w:eastAsia="Calibri"/>
        </w:rPr>
        <w:t xml:space="preserve">. </w:t>
      </w:r>
    </w:p>
    <w:p w:rsidR="00EF6E22" w:rsidRPr="00EF6E22" w:rsidRDefault="00EF6E22" w:rsidP="00EF6E22">
      <w:pPr>
        <w:autoSpaceDE w:val="0"/>
        <w:autoSpaceDN w:val="0"/>
        <w:adjustRightInd w:val="0"/>
        <w:jc w:val="both"/>
        <w:rPr>
          <w:rFonts w:eastAsia="Calibri"/>
        </w:rPr>
      </w:pPr>
      <w:r w:rsidRPr="00EF6E22">
        <w:rPr>
          <w:rFonts w:eastAsia="Calibri"/>
          <w:b/>
        </w:rPr>
        <w:t xml:space="preserve">   </w:t>
      </w:r>
      <w:r>
        <w:rPr>
          <w:rFonts w:eastAsia="Calibri"/>
          <w:b/>
        </w:rPr>
        <w:t xml:space="preserve"> </w:t>
      </w:r>
      <w:r w:rsidRPr="00EF6E22">
        <w:rPr>
          <w:rFonts w:eastAsia="Calibri"/>
          <w:b/>
        </w:rPr>
        <w:t xml:space="preserve"> </w:t>
      </w:r>
      <w:r w:rsidR="006629CE">
        <w:rPr>
          <w:rFonts w:eastAsia="Calibri"/>
          <w:b/>
        </w:rPr>
        <w:t xml:space="preserve"> </w:t>
      </w:r>
      <w:r w:rsidRPr="00EF6E22">
        <w:rPr>
          <w:rFonts w:eastAsia="Calibri"/>
        </w:rPr>
        <w:t xml:space="preserve">Наряду с </w:t>
      </w:r>
      <w:proofErr w:type="gramStart"/>
      <w:r w:rsidRPr="00EF6E22">
        <w:rPr>
          <w:rFonts w:eastAsia="Calibri"/>
        </w:rPr>
        <w:t>указанным</w:t>
      </w:r>
      <w:r w:rsidR="006629CE">
        <w:rPr>
          <w:rFonts w:eastAsia="Calibri"/>
        </w:rPr>
        <w:t>и</w:t>
      </w:r>
      <w:proofErr w:type="gramEnd"/>
      <w:r w:rsidR="006629CE">
        <w:rPr>
          <w:rFonts w:eastAsia="Calibri"/>
        </w:rPr>
        <w:t xml:space="preserve"> выше, </w:t>
      </w:r>
      <w:r w:rsidRPr="00EF6E22">
        <w:rPr>
          <w:rFonts w:eastAsia="Calibri"/>
        </w:rPr>
        <w:t xml:space="preserve"> в отчетном периоде Минфином России разработаны</w:t>
      </w:r>
      <w:r>
        <w:rPr>
          <w:rFonts w:eastAsia="Calibri"/>
        </w:rPr>
        <w:t xml:space="preserve"> </w:t>
      </w:r>
      <w:r w:rsidRPr="00EF6E22">
        <w:rPr>
          <w:rFonts w:eastAsia="Calibri"/>
        </w:rPr>
        <w:t>изменения, предусматривающие, в том числе:</w:t>
      </w:r>
    </w:p>
    <w:p w:rsidR="00EF6E22" w:rsidRPr="00EF6E22" w:rsidRDefault="00EF6E22" w:rsidP="00EF6E22">
      <w:pPr>
        <w:autoSpaceDE w:val="0"/>
        <w:autoSpaceDN w:val="0"/>
        <w:adjustRightInd w:val="0"/>
        <w:jc w:val="both"/>
        <w:rPr>
          <w:rFonts w:eastAsia="Calibri"/>
        </w:rPr>
      </w:pPr>
      <w:r>
        <w:rPr>
          <w:rFonts w:eastAsia="Calibri"/>
        </w:rPr>
        <w:t xml:space="preserve">      </w:t>
      </w:r>
      <w:r w:rsidRPr="00EF6E22">
        <w:rPr>
          <w:rFonts w:eastAsia="Calibri"/>
          <w:b/>
        </w:rPr>
        <w:t>а)</w:t>
      </w:r>
      <w:r>
        <w:rPr>
          <w:rFonts w:eastAsia="Calibri"/>
        </w:rPr>
        <w:t xml:space="preserve"> </w:t>
      </w:r>
      <w:r w:rsidRPr="00EF6E22">
        <w:rPr>
          <w:rFonts w:eastAsia="Calibri"/>
        </w:rPr>
        <w:t>продление на период 2023 года ранее принятых временных мер, в части права</w:t>
      </w:r>
      <w:r>
        <w:rPr>
          <w:rFonts w:eastAsia="Calibri"/>
        </w:rPr>
        <w:t xml:space="preserve"> </w:t>
      </w:r>
      <w:r w:rsidRPr="00EF6E22">
        <w:rPr>
          <w:rFonts w:eastAsia="Calibri"/>
        </w:rPr>
        <w:t>заказчиков не устанавливать требование об о</w:t>
      </w:r>
      <w:r>
        <w:rPr>
          <w:rFonts w:eastAsia="Calibri"/>
        </w:rPr>
        <w:t>беспечении исполнения контракта;</w:t>
      </w:r>
    </w:p>
    <w:p w:rsidR="00EF6E22" w:rsidRDefault="00EF6E22" w:rsidP="00EF6E22">
      <w:pPr>
        <w:autoSpaceDE w:val="0"/>
        <w:autoSpaceDN w:val="0"/>
        <w:adjustRightInd w:val="0"/>
        <w:jc w:val="both"/>
        <w:rPr>
          <w:rFonts w:eastAsia="Calibri"/>
        </w:rPr>
      </w:pPr>
      <w:r w:rsidRPr="00EF6E22">
        <w:rPr>
          <w:rFonts w:eastAsia="Calibri"/>
          <w:b/>
        </w:rPr>
        <w:t xml:space="preserve">      б)</w:t>
      </w:r>
      <w:r>
        <w:rPr>
          <w:rFonts w:eastAsia="Calibri"/>
        </w:rPr>
        <w:t xml:space="preserve"> </w:t>
      </w:r>
      <w:r w:rsidRPr="00EF6E22">
        <w:rPr>
          <w:rFonts w:eastAsia="Calibri"/>
        </w:rPr>
        <w:t>возможности изменения по соглашению сторон любых существенных условий</w:t>
      </w:r>
      <w:r>
        <w:rPr>
          <w:rFonts w:eastAsia="Calibri"/>
        </w:rPr>
        <w:t xml:space="preserve"> </w:t>
      </w:r>
      <w:r w:rsidRPr="00EF6E22">
        <w:rPr>
          <w:rFonts w:eastAsia="Calibri"/>
        </w:rPr>
        <w:t>контракта, возможности изменения по соглашению сторон существенных условий</w:t>
      </w:r>
      <w:r>
        <w:rPr>
          <w:rFonts w:eastAsia="Calibri"/>
        </w:rPr>
        <w:t xml:space="preserve"> </w:t>
      </w:r>
      <w:r w:rsidRPr="00EF6E22">
        <w:rPr>
          <w:rFonts w:eastAsia="Calibri"/>
        </w:rPr>
        <w:t>контракта на поставку лекарственных препаратов, медицинских изделий,</w:t>
      </w:r>
      <w:r>
        <w:rPr>
          <w:rFonts w:eastAsia="Calibri"/>
        </w:rPr>
        <w:t xml:space="preserve"> </w:t>
      </w:r>
      <w:r w:rsidRPr="00EF6E22">
        <w:rPr>
          <w:rFonts w:eastAsia="Calibri"/>
        </w:rPr>
        <w:t>расходных материалов в пределах 30% их количества</w:t>
      </w:r>
      <w:r>
        <w:rPr>
          <w:rFonts w:eastAsia="Calibri"/>
        </w:rPr>
        <w:t>.</w:t>
      </w:r>
    </w:p>
    <w:p w:rsidR="003D7709" w:rsidRDefault="00EF6E22" w:rsidP="00EF6E22">
      <w:pPr>
        <w:autoSpaceDE w:val="0"/>
        <w:autoSpaceDN w:val="0"/>
        <w:adjustRightInd w:val="0"/>
        <w:jc w:val="both"/>
        <w:rPr>
          <w:rFonts w:eastAsia="Calibri"/>
        </w:rPr>
      </w:pPr>
      <w:r>
        <w:rPr>
          <w:rFonts w:eastAsia="Calibri"/>
        </w:rPr>
        <w:t xml:space="preserve">      </w:t>
      </w:r>
      <w:r w:rsidRPr="00EF6E22">
        <w:rPr>
          <w:rFonts w:eastAsia="Calibri"/>
          <w:b/>
        </w:rPr>
        <w:t>в)</w:t>
      </w:r>
      <w:r w:rsidR="003D7709">
        <w:rPr>
          <w:rFonts w:eastAsia="Calibri"/>
          <w:b/>
        </w:rPr>
        <w:t xml:space="preserve"> </w:t>
      </w:r>
      <w:r w:rsidR="003D7709" w:rsidRPr="00EF6E22">
        <w:rPr>
          <w:rFonts w:eastAsia="Calibri"/>
        </w:rPr>
        <w:t>унификацию механизмов изменения контрактов на выполнение работ</w:t>
      </w:r>
      <w:r w:rsidR="003D7709">
        <w:rPr>
          <w:rFonts w:eastAsia="Calibri"/>
        </w:rPr>
        <w:t xml:space="preserve"> </w:t>
      </w:r>
      <w:r w:rsidR="003D7709" w:rsidRPr="00EF6E22">
        <w:rPr>
          <w:rFonts w:eastAsia="Calibri"/>
        </w:rPr>
        <w:t>по геологическому изучению недр с механизмами, предусмотренными</w:t>
      </w:r>
      <w:r w:rsidR="003D7709">
        <w:rPr>
          <w:rFonts w:eastAsia="Calibri"/>
        </w:rPr>
        <w:t xml:space="preserve"> </w:t>
      </w:r>
      <w:r w:rsidR="003D7709" w:rsidRPr="00EF6E22">
        <w:rPr>
          <w:rFonts w:eastAsia="Calibri"/>
        </w:rPr>
        <w:t>для контрактов в сфере строительства</w:t>
      </w:r>
      <w:r w:rsidR="003D7709">
        <w:rPr>
          <w:rFonts w:eastAsia="Calibri"/>
        </w:rPr>
        <w:t>;</w:t>
      </w:r>
    </w:p>
    <w:p w:rsidR="00EF6E22" w:rsidRPr="00EF6E22" w:rsidRDefault="003D7709" w:rsidP="00EF6E22">
      <w:pPr>
        <w:autoSpaceDE w:val="0"/>
        <w:autoSpaceDN w:val="0"/>
        <w:adjustRightInd w:val="0"/>
        <w:jc w:val="both"/>
        <w:rPr>
          <w:rFonts w:eastAsia="Calibri"/>
        </w:rPr>
      </w:pPr>
      <w:r>
        <w:rPr>
          <w:rFonts w:eastAsia="Calibri"/>
        </w:rPr>
        <w:t xml:space="preserve">      </w:t>
      </w:r>
      <w:r w:rsidRPr="003D7709">
        <w:rPr>
          <w:rFonts w:eastAsia="Calibri"/>
          <w:b/>
        </w:rPr>
        <w:t>г)</w:t>
      </w:r>
      <w:r>
        <w:rPr>
          <w:rFonts w:eastAsia="Calibri"/>
        </w:rPr>
        <w:t xml:space="preserve"> </w:t>
      </w:r>
      <w:r w:rsidR="00EF6E22" w:rsidRPr="00EF6E22">
        <w:rPr>
          <w:rFonts w:eastAsia="Calibri"/>
        </w:rPr>
        <w:t xml:space="preserve"> полномочий Правительства</w:t>
      </w:r>
      <w:r>
        <w:rPr>
          <w:rFonts w:eastAsia="Calibri"/>
        </w:rPr>
        <w:t xml:space="preserve"> </w:t>
      </w:r>
      <w:r w:rsidR="00EF6E22" w:rsidRPr="00EF6E22">
        <w:rPr>
          <w:rFonts w:eastAsia="Calibri"/>
        </w:rPr>
        <w:t>Российской Федерации, высшего исполнительного органа субъекта</w:t>
      </w:r>
      <w:r>
        <w:rPr>
          <w:rFonts w:eastAsia="Calibri"/>
        </w:rPr>
        <w:t xml:space="preserve"> </w:t>
      </w:r>
      <w:r w:rsidR="00EF6E22" w:rsidRPr="00EF6E22">
        <w:rPr>
          <w:rFonts w:eastAsia="Calibri"/>
        </w:rPr>
        <w:t>Российской Федерации по установлению дополнительных случаев закупок</w:t>
      </w:r>
      <w:r>
        <w:rPr>
          <w:rFonts w:eastAsia="Calibri"/>
        </w:rPr>
        <w:t xml:space="preserve"> </w:t>
      </w:r>
      <w:r w:rsidR="00EF6E22" w:rsidRPr="00EF6E22">
        <w:rPr>
          <w:rFonts w:eastAsia="Calibri"/>
        </w:rPr>
        <w:t>у единственного поставщика (подрядчика, исполнителя) и определению порядка</w:t>
      </w:r>
    </w:p>
    <w:p w:rsidR="00EF6E22" w:rsidRPr="00EF6E22" w:rsidRDefault="003D7709" w:rsidP="00EF6E22">
      <w:pPr>
        <w:autoSpaceDE w:val="0"/>
        <w:autoSpaceDN w:val="0"/>
        <w:adjustRightInd w:val="0"/>
        <w:jc w:val="both"/>
        <w:rPr>
          <w:rFonts w:eastAsia="Calibri"/>
        </w:rPr>
      </w:pPr>
      <w:r>
        <w:rPr>
          <w:rFonts w:eastAsia="Calibri"/>
        </w:rPr>
        <w:t>их осуществления.</w:t>
      </w:r>
    </w:p>
    <w:p w:rsidR="00EF6E22" w:rsidRPr="00EF6E22" w:rsidRDefault="003D7709" w:rsidP="00EF6E22">
      <w:pPr>
        <w:shd w:val="clear" w:color="auto" w:fill="FFFFFF" w:themeFill="background1"/>
        <w:autoSpaceDE w:val="0"/>
        <w:autoSpaceDN w:val="0"/>
        <w:adjustRightInd w:val="0"/>
        <w:jc w:val="both"/>
        <w:rPr>
          <w:rFonts w:eastAsia="Calibri"/>
        </w:rPr>
      </w:pPr>
      <w:r>
        <w:rPr>
          <w:rFonts w:eastAsia="Calibri"/>
        </w:rPr>
        <w:lastRenderedPageBreak/>
        <w:t xml:space="preserve">       </w:t>
      </w:r>
      <w:r w:rsidRPr="004326B8">
        <w:rPr>
          <w:rFonts w:eastAsia="Calibri"/>
        </w:rPr>
        <w:t xml:space="preserve">На 2023 год </w:t>
      </w:r>
      <w:r w:rsidR="00985DFB">
        <w:rPr>
          <w:rFonts w:eastAsia="Calibri"/>
        </w:rPr>
        <w:t xml:space="preserve">продлили  </w:t>
      </w:r>
      <w:r w:rsidRPr="004326B8">
        <w:rPr>
          <w:rFonts w:eastAsia="Calibri"/>
        </w:rPr>
        <w:t xml:space="preserve">новые основания для заключения контрактов без конкурентных </w:t>
      </w:r>
      <w:proofErr w:type="gramStart"/>
      <w:r w:rsidRPr="004326B8">
        <w:rPr>
          <w:rFonts w:eastAsia="Calibri"/>
        </w:rPr>
        <w:t>тендеров</w:t>
      </w:r>
      <w:proofErr w:type="gramEnd"/>
      <w:r w:rsidRPr="004326B8">
        <w:rPr>
          <w:rFonts w:eastAsia="Calibri"/>
        </w:rPr>
        <w:t xml:space="preserve"> как на федеральном, так и региональном</w:t>
      </w:r>
      <w:r>
        <w:rPr>
          <w:rFonts w:eastAsia="Calibri"/>
        </w:rPr>
        <w:t xml:space="preserve"> уровне.</w:t>
      </w:r>
    </w:p>
    <w:p w:rsidR="003D7709" w:rsidRPr="004117FC" w:rsidRDefault="003D7709" w:rsidP="003D7709">
      <w:pPr>
        <w:shd w:val="clear" w:color="auto" w:fill="FFFFFF" w:themeFill="background1"/>
        <w:autoSpaceDE w:val="0"/>
        <w:autoSpaceDN w:val="0"/>
        <w:adjustRightInd w:val="0"/>
        <w:ind w:firstLine="426"/>
        <w:jc w:val="both"/>
      </w:pPr>
      <w:r w:rsidRPr="003D7709">
        <w:t xml:space="preserve">Особые правила заключения </w:t>
      </w:r>
      <w:r>
        <w:t xml:space="preserve"> </w:t>
      </w:r>
      <w:r w:rsidRPr="003D7709">
        <w:t xml:space="preserve">контрактов с единственными поставщиками являются временными и действуют </w:t>
      </w:r>
      <w:r w:rsidRPr="003D7709">
        <w:rPr>
          <w:b/>
        </w:rPr>
        <w:t>до конца 2023 года.</w:t>
      </w:r>
      <w:r w:rsidRPr="003D7709">
        <w:t xml:space="preserve"> Минфин, публикуя разъяснения к постановлению </w:t>
      </w:r>
      <w:r w:rsidRPr="003D7709">
        <w:rPr>
          <w:b/>
        </w:rPr>
        <w:t>№339 от 10 марта 2022 года</w:t>
      </w:r>
      <w:r w:rsidRPr="003D7709">
        <w:t xml:space="preserve">, отметил, что вводимые дополнительные основания для работы с единственными поставщиками позволяют заключать контракты </w:t>
      </w:r>
      <w:r>
        <w:t xml:space="preserve"> </w:t>
      </w:r>
      <w:r w:rsidRPr="003D7709">
        <w:t>более оперативно и минимизировать отрицательное влияние иностранных санкций на российскую экономику.</w:t>
      </w:r>
    </w:p>
    <w:p w:rsidR="00EF6E22" w:rsidRDefault="00EF6E22" w:rsidP="00985DFB">
      <w:pPr>
        <w:shd w:val="clear" w:color="auto" w:fill="FFFFFF" w:themeFill="background1"/>
        <w:autoSpaceDE w:val="0"/>
        <w:autoSpaceDN w:val="0"/>
        <w:adjustRightInd w:val="0"/>
        <w:spacing w:line="120" w:lineRule="auto"/>
        <w:jc w:val="both"/>
        <w:rPr>
          <w:rFonts w:eastAsia="Calibri"/>
        </w:rPr>
      </w:pPr>
    </w:p>
    <w:p w:rsidR="001A604D" w:rsidRDefault="00985DFB" w:rsidP="00B61822">
      <w:pPr>
        <w:rPr>
          <w:b/>
          <w:bCs/>
        </w:rPr>
      </w:pPr>
      <w:r>
        <w:rPr>
          <w:b/>
          <w:bCs/>
        </w:rPr>
        <w:t xml:space="preserve">       </w:t>
      </w:r>
      <w:r w:rsidR="00A04953">
        <w:rPr>
          <w:b/>
          <w:bCs/>
        </w:rPr>
        <w:t xml:space="preserve">2. </w:t>
      </w:r>
      <w:r>
        <w:rPr>
          <w:b/>
          <w:bCs/>
        </w:rPr>
        <w:t xml:space="preserve">В </w:t>
      </w:r>
      <w:r w:rsidR="00A04953">
        <w:rPr>
          <w:b/>
          <w:bCs/>
        </w:rPr>
        <w:t>2023 год</w:t>
      </w:r>
      <w:r>
        <w:rPr>
          <w:b/>
          <w:bCs/>
        </w:rPr>
        <w:t xml:space="preserve">у </w:t>
      </w:r>
      <w:r w:rsidR="00A04953">
        <w:rPr>
          <w:b/>
          <w:bCs/>
        </w:rPr>
        <w:t xml:space="preserve"> </w:t>
      </w:r>
      <w:r w:rsidRPr="00293C17">
        <w:rPr>
          <w:rFonts w:cs="TT Jenevers"/>
          <w:b/>
          <w:color w:val="000000"/>
        </w:rPr>
        <w:t>совершенствовани</w:t>
      </w:r>
      <w:r w:rsidR="002D3F2A">
        <w:rPr>
          <w:rFonts w:cs="TT Jenevers"/>
          <w:b/>
          <w:color w:val="000000"/>
        </w:rPr>
        <w:t xml:space="preserve">е </w:t>
      </w:r>
      <w:r w:rsidRPr="00293C17">
        <w:rPr>
          <w:rFonts w:cs="TT Jenevers"/>
          <w:b/>
          <w:color w:val="000000"/>
        </w:rPr>
        <w:t xml:space="preserve"> системы закупок</w:t>
      </w:r>
      <w:r>
        <w:rPr>
          <w:b/>
          <w:bCs/>
        </w:rPr>
        <w:t xml:space="preserve"> </w:t>
      </w:r>
      <w:r w:rsidR="001A604D">
        <w:rPr>
          <w:b/>
          <w:bCs/>
        </w:rPr>
        <w:t>продолжа</w:t>
      </w:r>
      <w:r w:rsidR="002D3F2A">
        <w:rPr>
          <w:b/>
          <w:bCs/>
        </w:rPr>
        <w:t>ется</w:t>
      </w:r>
      <w:r w:rsidR="00A04953">
        <w:rPr>
          <w:b/>
          <w:bCs/>
        </w:rPr>
        <w:t>.</w:t>
      </w:r>
    </w:p>
    <w:p w:rsidR="00B61822" w:rsidRDefault="00B61822" w:rsidP="00B61822">
      <w:pPr>
        <w:spacing w:line="120" w:lineRule="auto"/>
        <w:rPr>
          <w:b/>
          <w:bCs/>
        </w:rPr>
      </w:pPr>
    </w:p>
    <w:p w:rsidR="002D3F2A" w:rsidRDefault="00B61822" w:rsidP="002D3F2A">
      <w:pPr>
        <w:jc w:val="both"/>
      </w:pPr>
      <w:r>
        <w:rPr>
          <w:rFonts w:ascii="Roboto" w:hAnsi="Roboto"/>
          <w:color w:val="0A0A0A"/>
          <w:sz w:val="27"/>
          <w:szCs w:val="27"/>
          <w:shd w:val="clear" w:color="auto" w:fill="FFFFFF"/>
        </w:rPr>
        <w:t xml:space="preserve">      </w:t>
      </w:r>
      <w:r w:rsidRPr="008F0BC1">
        <w:rPr>
          <w:color w:val="0A0A0A"/>
          <w:shd w:val="clear" w:color="auto" w:fill="FFFFFF"/>
        </w:rPr>
        <w:t xml:space="preserve">Как уже отмечалось выше,  </w:t>
      </w:r>
      <w:r w:rsidR="002D3F2A">
        <w:rPr>
          <w:color w:val="0A0A0A"/>
          <w:shd w:val="clear" w:color="auto" w:fill="FFFFFF"/>
        </w:rPr>
        <w:t>в</w:t>
      </w:r>
      <w:r w:rsidR="002D3F2A" w:rsidRPr="00985DFB">
        <w:t xml:space="preserve"> 2020-2021 годах были приняты масштабные пакеты оптимизационных поправок, которые, как предполагалось, решат все значимые проблемы в системе закупок. Однако пандемия </w:t>
      </w:r>
      <w:proofErr w:type="spellStart"/>
      <w:r w:rsidR="002D3F2A" w:rsidRPr="00985DFB">
        <w:t>коронавируса</w:t>
      </w:r>
      <w:proofErr w:type="spellEnd"/>
      <w:r w:rsidR="002D3F2A" w:rsidRPr="00985DFB">
        <w:t>, а затем введение антироссийских санкций потребовали от государства оперативной реакции.</w:t>
      </w:r>
    </w:p>
    <w:p w:rsidR="008F0BC1" w:rsidRDefault="002D3F2A" w:rsidP="00B61822">
      <w:pPr>
        <w:jc w:val="both"/>
        <w:rPr>
          <w:color w:val="0A0A0A"/>
          <w:shd w:val="clear" w:color="auto" w:fill="FFFFFF"/>
        </w:rPr>
      </w:pPr>
      <w:r>
        <w:rPr>
          <w:color w:val="0A0A0A"/>
          <w:shd w:val="clear" w:color="auto" w:fill="FFFFFF"/>
        </w:rPr>
        <w:t xml:space="preserve">      В</w:t>
      </w:r>
      <w:r w:rsidR="00A04953" w:rsidRPr="008F0BC1">
        <w:rPr>
          <w:color w:val="0A0A0A"/>
          <w:shd w:val="clear" w:color="auto" w:fill="FFFFFF"/>
        </w:rPr>
        <w:t xml:space="preserve"> 2022 году система гос</w:t>
      </w:r>
      <w:r w:rsidR="00B61822" w:rsidRPr="008F0BC1">
        <w:rPr>
          <w:color w:val="0A0A0A"/>
          <w:shd w:val="clear" w:color="auto" w:fill="FFFFFF"/>
        </w:rPr>
        <w:t xml:space="preserve">ударственных и муниципальных </w:t>
      </w:r>
      <w:r w:rsidR="00A04953" w:rsidRPr="008F0BC1">
        <w:rPr>
          <w:color w:val="0A0A0A"/>
          <w:shd w:val="clear" w:color="auto" w:fill="FFFFFF"/>
        </w:rPr>
        <w:t>закупок претерпела кардинальные изменения</w:t>
      </w:r>
      <w:r w:rsidR="00A04953" w:rsidRPr="00B61822">
        <w:rPr>
          <w:color w:val="0A0A0A"/>
          <w:shd w:val="clear" w:color="auto" w:fill="FFFFFF"/>
        </w:rPr>
        <w:t xml:space="preserve">. </w:t>
      </w:r>
      <w:r w:rsidR="00B61822" w:rsidRPr="00B61822">
        <w:rPr>
          <w:color w:val="0A0A0A"/>
          <w:shd w:val="clear" w:color="auto" w:fill="FFFFFF"/>
        </w:rPr>
        <w:t xml:space="preserve"> </w:t>
      </w:r>
      <w:r w:rsidR="00557963">
        <w:rPr>
          <w:color w:val="0A0A0A"/>
          <w:shd w:val="clear" w:color="auto" w:fill="FFFFFF"/>
        </w:rPr>
        <w:t>Наряду с электронизацией и оптимизацией заказчики и</w:t>
      </w:r>
      <w:r w:rsidR="00E41CF7">
        <w:rPr>
          <w:color w:val="0A0A0A"/>
          <w:shd w:val="clear" w:color="auto" w:fill="FFFFFF"/>
        </w:rPr>
        <w:t xml:space="preserve"> поставщики столкнулись в этом году с последствиями введения санкций и ограничительных мер недружественными государствами в виде роста цен и отсутствия конкуренции среди поставщиков (подрядчиков, исполнителей).</w:t>
      </w:r>
    </w:p>
    <w:p w:rsidR="00E41CF7" w:rsidRDefault="00985DFB" w:rsidP="00B61822">
      <w:pPr>
        <w:jc w:val="both"/>
      </w:pPr>
      <w:r>
        <w:t xml:space="preserve">    </w:t>
      </w:r>
      <w:r w:rsidR="00B57371" w:rsidRPr="00985DFB">
        <w:t xml:space="preserve"> </w:t>
      </w:r>
      <w:r>
        <w:t xml:space="preserve"> </w:t>
      </w:r>
      <w:r w:rsidR="00B57371" w:rsidRPr="00985DFB">
        <w:t>Закупочная система прошла испытание пандемией - регулирование и администрирование системы оказалось устойчивым, и есть уверенность, что будет устойчивым и сейчас. Собственно, практика уже показала, что продолжающаяся пандемия и введение антироссийских санкций не повлияли на функционирование контрактной системы, она продолжает работать бесперебойно. В отдельных случаях потребовались лишь точечные решения.</w:t>
      </w:r>
      <w:r>
        <w:t xml:space="preserve">  </w:t>
      </w:r>
      <w:r w:rsidR="00E41CF7">
        <w:t>Президент</w:t>
      </w:r>
      <w:proofErr w:type="gramStart"/>
      <w:r w:rsidR="00E41CF7">
        <w:t xml:space="preserve"> ,</w:t>
      </w:r>
      <w:proofErr w:type="gramEnd"/>
      <w:r w:rsidR="00E41CF7">
        <w:t xml:space="preserve"> Правительство, Федеральное собрание постарались оперативно принять необходимые меры в целях упрощения процедур закупок и поддержки бизнеса. </w:t>
      </w:r>
    </w:p>
    <w:p w:rsidR="00985DFB" w:rsidRDefault="00E41CF7" w:rsidP="00B61822">
      <w:pPr>
        <w:jc w:val="both"/>
      </w:pPr>
      <w:r>
        <w:t xml:space="preserve">        </w:t>
      </w:r>
      <w:hyperlink r:id="rId10" w:tgtFrame="_blank" w:history="1">
        <w:r w:rsidR="00B61822" w:rsidRPr="00B61822">
          <w:t xml:space="preserve">В 2023 году </w:t>
        </w:r>
        <w:r w:rsidR="001A604D" w:rsidRPr="00B61822">
          <w:t>продолжит меняться система закупок</w:t>
        </w:r>
      </w:hyperlink>
      <w:r w:rsidR="001A604D" w:rsidRPr="00B61822">
        <w:t>. Часть изменений анонсировали еще в прошлом году: расширение закупок у ед</w:t>
      </w:r>
      <w:r w:rsidR="00B61822">
        <w:t xml:space="preserve">инственного </w:t>
      </w:r>
      <w:r w:rsidR="001A604D" w:rsidRPr="00B61822">
        <w:t>поставщика и возможность менять условия заключенных контрактов. Но главные изменения, которые больше всего скажутся на работе заказчиков, связаны с электронизацией. Уже к началу года всех обязали перерегистрироваться в ЕИС, чтобы назначить для всех сотрудников роли. Это значит, что электронных действий в закупках станет больше.</w:t>
      </w:r>
      <w:r w:rsidR="001A604D" w:rsidRPr="00B61822">
        <w:br/>
      </w:r>
      <w:r w:rsidR="00B61822">
        <w:t xml:space="preserve">       </w:t>
      </w:r>
      <w:r w:rsidR="001A604D" w:rsidRPr="00B61822">
        <w:t xml:space="preserve">С января </w:t>
      </w:r>
      <w:r w:rsidR="00B61822">
        <w:t xml:space="preserve"> 2023 года </w:t>
      </w:r>
      <w:r w:rsidR="001A604D" w:rsidRPr="00B61822">
        <w:t xml:space="preserve">часть заказчиков оплачивает контракты в ЕИС через систему казначейских </w:t>
      </w:r>
      <w:hyperlink r:id="rId11" w:tgtFrame="_blank" w:history="1">
        <w:proofErr w:type="spellStart"/>
        <w:r w:rsidR="001A604D" w:rsidRPr="00B61822">
          <w:t>автоплатежей</w:t>
        </w:r>
        <w:proofErr w:type="spellEnd"/>
      </w:hyperlink>
      <w:r w:rsidR="001A604D" w:rsidRPr="00B61822">
        <w:t xml:space="preserve">, в течение года работу с контрактами обещают сделать электронной. </w:t>
      </w:r>
    </w:p>
    <w:p w:rsidR="001A604D" w:rsidRPr="00B61822" w:rsidRDefault="00985DFB" w:rsidP="00B61822">
      <w:pPr>
        <w:jc w:val="both"/>
      </w:pPr>
      <w:r>
        <w:t xml:space="preserve">       </w:t>
      </w:r>
      <w:r w:rsidR="001A604D" w:rsidRPr="00B61822">
        <w:t xml:space="preserve">Чтобы перейти на полноценную электронную работу, сейчас самое время </w:t>
      </w:r>
      <w:hyperlink r:id="rId12" w:tgtFrame="_blank" w:history="1">
        <w:r w:rsidR="001A604D" w:rsidRPr="00B61822">
          <w:t>пересмотреть свои отношения с </w:t>
        </w:r>
        <w:proofErr w:type="gramStart"/>
        <w:r w:rsidR="001A604D" w:rsidRPr="00B61822">
          <w:t>привычными</w:t>
        </w:r>
        <w:proofErr w:type="gramEnd"/>
        <w:r w:rsidR="001A604D" w:rsidRPr="00B61822">
          <w:t xml:space="preserve"> ЭТП</w:t>
        </w:r>
      </w:hyperlink>
      <w:r w:rsidR="001A604D" w:rsidRPr="00B61822">
        <w:t xml:space="preserve">. Выбрать новую площадку, которая лучше подходит под ваши потребности, или поработать на нескольких сразу. </w:t>
      </w:r>
    </w:p>
    <w:p w:rsidR="00EF6E22" w:rsidRDefault="00B61822" w:rsidP="00B61822">
      <w:pPr>
        <w:jc w:val="both"/>
        <w:rPr>
          <w:rFonts w:eastAsia="Calibri"/>
        </w:rPr>
      </w:pPr>
      <w:r>
        <w:t xml:space="preserve">       </w:t>
      </w:r>
      <w:r w:rsidR="00985DFB">
        <w:t>Из–за неопределенности в закупках  2023 году в</w:t>
      </w:r>
      <w:r w:rsidRPr="00B61822">
        <w:t xml:space="preserve">ласти </w:t>
      </w:r>
      <w:proofErr w:type="gramStart"/>
      <w:r w:rsidRPr="00B61822">
        <w:t>отсрочили некоторые нововведения</w:t>
      </w:r>
      <w:r>
        <w:t xml:space="preserve"> в 44-ФЗ на более поздний срок  Отсрочены</w:t>
      </w:r>
      <w:proofErr w:type="gramEnd"/>
      <w:r>
        <w:t xml:space="preserve"> нововведения, которые касаются электронных контрактов, дополнительных сообщений к ним и подача исключительно через ЕИС жалоб по закрытым заказам.</w:t>
      </w:r>
    </w:p>
    <w:p w:rsidR="002D3F2A" w:rsidRDefault="009F21F5" w:rsidP="002D3F2A">
      <w:pPr>
        <w:pStyle w:val="Pa11"/>
        <w:spacing w:line="240" w:lineRule="auto"/>
        <w:ind w:firstLine="425"/>
        <w:jc w:val="both"/>
        <w:rPr>
          <w:rFonts w:ascii="PT_Russia Text" w:hAnsi="PT_Russia Text" w:cs="PT_Russia Text"/>
          <w:color w:val="000000"/>
          <w:sz w:val="16"/>
          <w:szCs w:val="16"/>
        </w:rPr>
      </w:pPr>
      <w:bookmarkStart w:id="1" w:name="l685"/>
      <w:bookmarkStart w:id="2" w:name="h686"/>
      <w:bookmarkStart w:id="3" w:name="l551"/>
      <w:bookmarkEnd w:id="1"/>
      <w:bookmarkEnd w:id="2"/>
      <w:bookmarkEnd w:id="3"/>
      <w:r w:rsidRPr="009F21F5">
        <w:rPr>
          <w:rFonts w:ascii="Times New Roman" w:hAnsi="Times New Roman"/>
          <w:color w:val="000000"/>
        </w:rPr>
        <w:t xml:space="preserve">В настоящее время вопросы совершенствования системы закупок товаров, работ, услуг для обеспечения государственных (муниципальных) нужд содержатся в </w:t>
      </w:r>
      <w:r w:rsidRPr="009F21F5">
        <w:rPr>
          <w:rFonts w:ascii="Times New Roman" w:hAnsi="Times New Roman"/>
          <w:b/>
          <w:color w:val="000000"/>
        </w:rPr>
        <w:t>разделе VII</w:t>
      </w:r>
      <w:r w:rsidRPr="009F21F5">
        <w:rPr>
          <w:rFonts w:ascii="Times New Roman" w:hAnsi="Times New Roman"/>
          <w:color w:val="000000"/>
        </w:rPr>
        <w:t xml:space="preserve"> Концепции повышения эффективности бюджетных расходов в 2019–2024 годах (</w:t>
      </w:r>
      <w:r w:rsidRPr="006A15BF">
        <w:rPr>
          <w:b/>
          <w:color w:val="000000"/>
        </w:rPr>
        <w:t>распоряжением Правительства РФ от 31.01.2019 № 117-р</w:t>
      </w:r>
      <w:r>
        <w:rPr>
          <w:b/>
          <w:color w:val="000000"/>
        </w:rPr>
        <w:t>)</w:t>
      </w:r>
      <w:r w:rsidRPr="009F21F5">
        <w:rPr>
          <w:rFonts w:ascii="PT_Russia Text" w:hAnsi="PT_Russia Text" w:cs="PT_Russia Text"/>
          <w:color w:val="000000"/>
          <w:sz w:val="16"/>
          <w:szCs w:val="16"/>
        </w:rPr>
        <w:t>.</w:t>
      </w:r>
    </w:p>
    <w:p w:rsidR="00C447B1" w:rsidRDefault="00C447B1" w:rsidP="002D3F2A">
      <w:pPr>
        <w:pStyle w:val="Pa11"/>
        <w:spacing w:line="240" w:lineRule="auto"/>
        <w:ind w:firstLine="425"/>
        <w:jc w:val="both"/>
        <w:rPr>
          <w:rFonts w:ascii="Times New Roman" w:hAnsi="Times New Roman"/>
          <w:color w:val="000000"/>
        </w:rPr>
      </w:pPr>
    </w:p>
    <w:p w:rsidR="00C447B1" w:rsidRDefault="00C447B1" w:rsidP="002D3F2A">
      <w:pPr>
        <w:pStyle w:val="Pa11"/>
        <w:spacing w:line="240" w:lineRule="auto"/>
        <w:ind w:firstLine="425"/>
        <w:jc w:val="both"/>
        <w:rPr>
          <w:rFonts w:ascii="Times New Roman" w:hAnsi="Times New Roman"/>
          <w:color w:val="000000"/>
        </w:rPr>
      </w:pPr>
    </w:p>
    <w:p w:rsidR="00C447B1" w:rsidRDefault="00C447B1" w:rsidP="002D3F2A">
      <w:pPr>
        <w:pStyle w:val="Pa11"/>
        <w:spacing w:line="240" w:lineRule="auto"/>
        <w:ind w:firstLine="425"/>
        <w:jc w:val="both"/>
        <w:rPr>
          <w:rFonts w:ascii="Times New Roman" w:hAnsi="Times New Roman"/>
          <w:color w:val="000000"/>
        </w:rPr>
      </w:pPr>
    </w:p>
    <w:p w:rsidR="00C447B1" w:rsidRDefault="00C447B1" w:rsidP="002D3F2A">
      <w:pPr>
        <w:pStyle w:val="Pa11"/>
        <w:spacing w:line="240" w:lineRule="auto"/>
        <w:ind w:firstLine="425"/>
        <w:jc w:val="both"/>
        <w:rPr>
          <w:rFonts w:ascii="Times New Roman" w:hAnsi="Times New Roman"/>
          <w:color w:val="000000"/>
        </w:rPr>
      </w:pPr>
    </w:p>
    <w:p w:rsidR="00937CFB" w:rsidRPr="00937CFB" w:rsidRDefault="00937CFB" w:rsidP="002D3F2A">
      <w:pPr>
        <w:pStyle w:val="Pa11"/>
        <w:spacing w:line="240" w:lineRule="auto"/>
        <w:ind w:firstLine="425"/>
        <w:jc w:val="both"/>
        <w:rPr>
          <w:rFonts w:ascii="Times New Roman" w:hAnsi="Times New Roman"/>
          <w:color w:val="000000"/>
        </w:rPr>
      </w:pPr>
      <w:r w:rsidRPr="00937CFB">
        <w:rPr>
          <w:rFonts w:ascii="Times New Roman" w:hAnsi="Times New Roman"/>
          <w:color w:val="000000"/>
        </w:rPr>
        <w:lastRenderedPageBreak/>
        <w:t>В Основных направлениях деятельности Правительства РФ на период до 2024 года</w:t>
      </w:r>
      <w:r w:rsidRPr="00937CFB">
        <w:rPr>
          <w:rStyle w:val="A10"/>
          <w:rFonts w:ascii="Times New Roman" w:hAnsi="Times New Roman" w:cs="Times New Roman"/>
          <w:sz w:val="24"/>
          <w:szCs w:val="24"/>
        </w:rPr>
        <w:t xml:space="preserve"> </w:t>
      </w:r>
      <w:r w:rsidRPr="00937CFB">
        <w:rPr>
          <w:rFonts w:ascii="Times New Roman" w:hAnsi="Times New Roman"/>
          <w:color w:val="000000"/>
        </w:rPr>
        <w:t>закреплены меры</w:t>
      </w:r>
      <w:proofErr w:type="gramStart"/>
      <w:r w:rsidR="00C0656C">
        <w:rPr>
          <w:rFonts w:ascii="Times New Roman" w:hAnsi="Times New Roman"/>
          <w:color w:val="000000"/>
        </w:rPr>
        <w:t xml:space="preserve"> </w:t>
      </w:r>
      <w:r w:rsidRPr="00937CFB">
        <w:rPr>
          <w:rFonts w:ascii="Times New Roman" w:hAnsi="Times New Roman"/>
          <w:color w:val="000000"/>
        </w:rPr>
        <w:t>,</w:t>
      </w:r>
      <w:proofErr w:type="gramEnd"/>
      <w:r w:rsidRPr="00937CFB">
        <w:rPr>
          <w:rFonts w:ascii="Times New Roman" w:hAnsi="Times New Roman"/>
          <w:color w:val="000000"/>
        </w:rPr>
        <w:t xml:space="preserve"> направленные на развитие контрактной системы в сфере закупок товаров, выполнения работ и оказания услуг для обеспечения государственных и муниципальных нужд, включая каталогизацию закупаемых ТРУ, перевод процедур определения поставщика (подрядчика, исполнителя) в электронную форму, обеспечение прозрачного ценообразования, упрощение процедур закупок и упорядочение полномочий органов контроля</w:t>
      </w:r>
      <w:r w:rsidR="00C0656C">
        <w:rPr>
          <w:rFonts w:ascii="Times New Roman" w:hAnsi="Times New Roman"/>
          <w:color w:val="000000"/>
        </w:rPr>
        <w:t>.</w:t>
      </w:r>
    </w:p>
    <w:p w:rsidR="00A44F2C" w:rsidRPr="002E4198" w:rsidRDefault="00A44F2C" w:rsidP="00A44F2C">
      <w:pPr>
        <w:autoSpaceDE w:val="0"/>
        <w:autoSpaceDN w:val="0"/>
        <w:adjustRightInd w:val="0"/>
        <w:ind w:firstLine="426"/>
        <w:jc w:val="both"/>
        <w:rPr>
          <w:rFonts w:eastAsia="Calibri"/>
          <w:color w:val="000000"/>
        </w:rPr>
      </w:pPr>
      <w:r>
        <w:rPr>
          <w:rFonts w:eastAsia="Calibri"/>
          <w:color w:val="000000"/>
        </w:rPr>
        <w:t>Необходимо отметить</w:t>
      </w:r>
      <w:proofErr w:type="gramStart"/>
      <w:r>
        <w:rPr>
          <w:rFonts w:eastAsia="Calibri"/>
          <w:color w:val="000000"/>
        </w:rPr>
        <w:t xml:space="preserve"> ,</w:t>
      </w:r>
      <w:proofErr w:type="gramEnd"/>
      <w:r>
        <w:rPr>
          <w:rFonts w:eastAsia="Calibri"/>
          <w:color w:val="000000"/>
        </w:rPr>
        <w:t xml:space="preserve"> что </w:t>
      </w:r>
      <w:r w:rsidRPr="002E4198">
        <w:rPr>
          <w:rFonts w:eastAsia="Calibri"/>
          <w:color w:val="000000"/>
        </w:rPr>
        <w:t xml:space="preserve">Указом Президента </w:t>
      </w:r>
      <w:r w:rsidRPr="00274A92">
        <w:rPr>
          <w:rFonts w:eastAsia="Calibri"/>
        </w:rPr>
        <w:t xml:space="preserve">России от </w:t>
      </w:r>
      <w:r w:rsidRPr="00274A92">
        <w:rPr>
          <w:rStyle w:val="af"/>
          <w:rFonts w:cs="Times New Roman CYR"/>
          <w:b/>
          <w:bCs/>
          <w:color w:val="auto"/>
          <w:lang w:eastAsia="zh-CN"/>
        </w:rPr>
        <w:t>7 мая 2018 года № 204</w:t>
      </w:r>
      <w:r w:rsidRPr="002E4198">
        <w:rPr>
          <w:rFonts w:eastAsia="Calibri"/>
          <w:color w:val="000000"/>
        </w:rPr>
        <w:t xml:space="preserve"> «О национальных целях и стратегических задачах развития Российской Федерации на период до 2024 года» и в его исполнение были предложены новые механизмы и инструменты управления общественными финансами, в надлежащей настройке и реализации которых важную роль играет развитие </w:t>
      </w:r>
      <w:r w:rsidRPr="002E4198">
        <w:rPr>
          <w:rFonts w:eastAsia="Calibri"/>
          <w:b/>
          <w:i/>
          <w:color w:val="000000"/>
        </w:rPr>
        <w:t>контрактной системы</w:t>
      </w:r>
      <w:r w:rsidRPr="002E4198">
        <w:rPr>
          <w:rFonts w:eastAsia="Calibri"/>
          <w:color w:val="000000"/>
        </w:rPr>
        <w:t xml:space="preserve">. </w:t>
      </w:r>
    </w:p>
    <w:p w:rsidR="00A44F2C" w:rsidRPr="002E4198" w:rsidRDefault="00A44F2C" w:rsidP="00A44F2C">
      <w:pPr>
        <w:autoSpaceDE w:val="0"/>
        <w:autoSpaceDN w:val="0"/>
        <w:adjustRightInd w:val="0"/>
        <w:ind w:firstLine="426"/>
        <w:jc w:val="both"/>
        <w:rPr>
          <w:rFonts w:eastAsia="Calibri"/>
          <w:color w:val="000000"/>
        </w:rPr>
      </w:pPr>
      <w:r w:rsidRPr="002E4198">
        <w:rPr>
          <w:rFonts w:eastAsia="Calibri"/>
          <w:color w:val="000000"/>
        </w:rPr>
        <w:t xml:space="preserve">Наряду с указанным следует отметить, что контрактная система является инструментом достижения целей, для которого, основываясь на законодательстве Российской Федерации, определены правила его использования с учетом необходимости защиты общественных и государственных интересов. </w:t>
      </w:r>
    </w:p>
    <w:p w:rsidR="00A44F2C" w:rsidRPr="002E4198" w:rsidRDefault="00A44F2C" w:rsidP="00A44F2C">
      <w:pPr>
        <w:autoSpaceDE w:val="0"/>
        <w:autoSpaceDN w:val="0"/>
        <w:adjustRightInd w:val="0"/>
        <w:ind w:firstLine="426"/>
        <w:jc w:val="both"/>
        <w:rPr>
          <w:rFonts w:eastAsia="Calibri"/>
          <w:color w:val="000000"/>
        </w:rPr>
      </w:pPr>
      <w:r w:rsidRPr="002E4198">
        <w:rPr>
          <w:rFonts w:eastAsia="Calibri"/>
          <w:color w:val="000000"/>
        </w:rPr>
        <w:t xml:space="preserve">Таким образом, необходимость достижения приоритетов и целей, определенных в документах стратегического планирования, качественного рывка в социально-экономическом развитии в условиях ограниченности бюджетных и временных ресурсов увеличивает актуальность разработки и реализации системы мер по повышению эффективности не только контрактной системы, но и деятельности органов государственной власти, осуществляющих нормативно-правовое регулирование соответствующих сфер. </w:t>
      </w:r>
    </w:p>
    <w:p w:rsidR="00A44F2C" w:rsidRPr="008079C5" w:rsidRDefault="00A44F2C" w:rsidP="00A44F2C">
      <w:pPr>
        <w:autoSpaceDE w:val="0"/>
        <w:autoSpaceDN w:val="0"/>
        <w:adjustRightInd w:val="0"/>
        <w:ind w:firstLine="426"/>
        <w:jc w:val="both"/>
        <w:rPr>
          <w:rFonts w:eastAsia="Calibri"/>
        </w:rPr>
      </w:pPr>
      <w:r w:rsidRPr="008079C5">
        <w:rPr>
          <w:rFonts w:eastAsia="Calibri"/>
        </w:rPr>
        <w:t xml:space="preserve">В соответствии с пунктом </w:t>
      </w:r>
      <w:r>
        <w:rPr>
          <w:rFonts w:eastAsia="Calibri"/>
        </w:rPr>
        <w:t xml:space="preserve"> </w:t>
      </w:r>
      <w:r w:rsidRPr="008079C5">
        <w:rPr>
          <w:rFonts w:eastAsia="Calibri"/>
        </w:rPr>
        <w:t xml:space="preserve">6 статьи </w:t>
      </w:r>
      <w:r>
        <w:rPr>
          <w:rFonts w:eastAsia="Calibri"/>
        </w:rPr>
        <w:t xml:space="preserve"> </w:t>
      </w:r>
      <w:r w:rsidRPr="008079C5">
        <w:rPr>
          <w:rFonts w:eastAsia="Calibri"/>
        </w:rPr>
        <w:t>97 Закона №44-ФЗ</w:t>
      </w:r>
      <w:r w:rsidR="007E022A">
        <w:rPr>
          <w:rFonts w:eastAsia="Calibri"/>
        </w:rPr>
        <w:t xml:space="preserve"> </w:t>
      </w:r>
      <w:r>
        <w:rPr>
          <w:rFonts w:eastAsia="Calibri"/>
        </w:rPr>
        <w:t>в настоящем Отчете</w:t>
      </w:r>
      <w:r w:rsidRPr="008079C5">
        <w:rPr>
          <w:rFonts w:eastAsia="Calibri"/>
        </w:rPr>
        <w:t xml:space="preserve"> </w:t>
      </w:r>
      <w:r>
        <w:rPr>
          <w:rFonts w:eastAsia="Calibri"/>
        </w:rPr>
        <w:t xml:space="preserve">Контрольно-счетным органом </w:t>
      </w:r>
      <w:r w:rsidRPr="008079C5">
        <w:rPr>
          <w:rFonts w:eastAsia="Calibri"/>
        </w:rPr>
        <w:t xml:space="preserve">дается оценка эффективности осуществления закупок товара, работы, услуги для обеспечения </w:t>
      </w:r>
      <w:r w:rsidR="00D9447D">
        <w:rPr>
          <w:rFonts w:eastAsia="Calibri"/>
        </w:rPr>
        <w:t xml:space="preserve"> </w:t>
      </w:r>
      <w:r w:rsidRPr="008079C5">
        <w:rPr>
          <w:rFonts w:eastAsia="Calibri"/>
        </w:rPr>
        <w:t>муниципальных нужд</w:t>
      </w:r>
      <w:r>
        <w:rPr>
          <w:rFonts w:eastAsia="Calibri"/>
        </w:rPr>
        <w:t>.</w:t>
      </w:r>
    </w:p>
    <w:p w:rsidR="00150147" w:rsidRDefault="00A44F2C" w:rsidP="00150147">
      <w:pPr>
        <w:spacing w:line="264" w:lineRule="auto"/>
        <w:ind w:firstLine="426"/>
        <w:jc w:val="both"/>
      </w:pPr>
      <w:r w:rsidRPr="00EB0CD3">
        <w:rPr>
          <w:rFonts w:eastAsia="Calibri"/>
          <w:color w:val="000000"/>
        </w:rPr>
        <w:t>В качестве источников исходной информации для подготовки настоящего Отчета использовались сведения и информация</w:t>
      </w:r>
      <w:proofErr w:type="gramStart"/>
      <w:r w:rsidR="00494CAC">
        <w:rPr>
          <w:rFonts w:eastAsia="Calibri"/>
          <w:color w:val="000000"/>
        </w:rPr>
        <w:t xml:space="preserve"> </w:t>
      </w:r>
      <w:r w:rsidRPr="00EB0CD3">
        <w:rPr>
          <w:rFonts w:eastAsia="Calibri"/>
          <w:color w:val="000000"/>
        </w:rPr>
        <w:t>,</w:t>
      </w:r>
      <w:proofErr w:type="gramEnd"/>
      <w:r w:rsidRPr="00EB0CD3">
        <w:rPr>
          <w:rFonts w:eastAsia="Calibri"/>
          <w:color w:val="000000"/>
        </w:rPr>
        <w:t xml:space="preserve"> размещенные в Единой информационной системы в сфере закупок</w:t>
      </w:r>
      <w:r w:rsidR="00150147" w:rsidRPr="001D3672">
        <w:rPr>
          <w:rStyle w:val="a5"/>
          <w:u w:val="none"/>
        </w:rPr>
        <w:t xml:space="preserve"> </w:t>
      </w:r>
      <w:r w:rsidR="00150147" w:rsidRPr="00817F6D">
        <w:t>и д</w:t>
      </w:r>
      <w:r w:rsidR="00150147" w:rsidRPr="00D32538">
        <w:t xml:space="preserve">окументы, предоставленные </w:t>
      </w:r>
      <w:r w:rsidR="00150147">
        <w:t xml:space="preserve">городскими и сельскими поселениями </w:t>
      </w:r>
      <w:r w:rsidR="007E022A">
        <w:t xml:space="preserve"> </w:t>
      </w:r>
      <w:r w:rsidR="00150147" w:rsidRPr="00D32538">
        <w:t>Приозерск</w:t>
      </w:r>
      <w:r w:rsidR="007E022A">
        <w:t>ого</w:t>
      </w:r>
      <w:r w:rsidR="00150147" w:rsidRPr="00D32538">
        <w:t xml:space="preserve"> муниципа</w:t>
      </w:r>
      <w:r w:rsidR="00150147">
        <w:t>л</w:t>
      </w:r>
      <w:r w:rsidR="007E022A">
        <w:t xml:space="preserve">ьного </w:t>
      </w:r>
      <w:r w:rsidR="00150147" w:rsidRPr="00D32538">
        <w:t>район</w:t>
      </w:r>
      <w:r w:rsidR="007E022A">
        <w:t>а</w:t>
      </w:r>
      <w:r w:rsidR="00D9447D">
        <w:t xml:space="preserve"> Ленинградской области</w:t>
      </w:r>
      <w:r w:rsidR="00150147" w:rsidRPr="00D32538">
        <w:t>.</w:t>
      </w:r>
    </w:p>
    <w:p w:rsidR="00A04953" w:rsidRDefault="00A04953" w:rsidP="00F73C02">
      <w:pPr>
        <w:autoSpaceDE w:val="0"/>
        <w:autoSpaceDN w:val="0"/>
        <w:adjustRightInd w:val="0"/>
        <w:spacing w:line="120" w:lineRule="auto"/>
        <w:ind w:firstLine="425"/>
        <w:jc w:val="both"/>
      </w:pPr>
    </w:p>
    <w:p w:rsidR="00EB0CD3" w:rsidRPr="00A44F2C" w:rsidRDefault="00EB0CD3" w:rsidP="00EB0CD3">
      <w:pPr>
        <w:pStyle w:val="Default"/>
        <w:rPr>
          <w:rFonts w:ascii="Times New Roman" w:eastAsia="Times New Roman" w:hAnsi="Times New Roman" w:cs="Times New Roman"/>
          <w:b/>
          <w:color w:val="auto"/>
        </w:rPr>
      </w:pPr>
      <w:r w:rsidRPr="00A44F2C">
        <w:rPr>
          <w:rFonts w:ascii="Times New Roman" w:eastAsia="Times New Roman" w:hAnsi="Times New Roman" w:cs="Times New Roman"/>
          <w:b/>
          <w:color w:val="auto"/>
        </w:rPr>
        <w:t xml:space="preserve">2. </w:t>
      </w:r>
      <w:r w:rsidR="006671B7">
        <w:rPr>
          <w:rFonts w:ascii="Times New Roman" w:eastAsia="Times New Roman" w:hAnsi="Times New Roman" w:cs="Times New Roman"/>
          <w:b/>
          <w:color w:val="auto"/>
        </w:rPr>
        <w:t xml:space="preserve"> И</w:t>
      </w:r>
      <w:r w:rsidR="006671B7" w:rsidRPr="00A44F2C">
        <w:rPr>
          <w:rFonts w:ascii="Times New Roman" w:eastAsia="Times New Roman" w:hAnsi="Times New Roman" w:cs="Times New Roman"/>
          <w:b/>
          <w:color w:val="auto"/>
        </w:rPr>
        <w:t xml:space="preserve">нформационное обеспечение контрактной системы в сфере закупок </w:t>
      </w:r>
    </w:p>
    <w:p w:rsidR="00DB4D71" w:rsidRDefault="00DB4D71" w:rsidP="00DB4D71">
      <w:pPr>
        <w:pStyle w:val="ad"/>
        <w:spacing w:before="0" w:beforeAutospacing="0" w:after="0" w:afterAutospacing="0" w:line="120" w:lineRule="auto"/>
        <w:jc w:val="both"/>
      </w:pPr>
      <w:r>
        <w:t xml:space="preserve">    </w:t>
      </w:r>
    </w:p>
    <w:p w:rsidR="00F81176" w:rsidRDefault="00F81176" w:rsidP="00DB4D71">
      <w:pPr>
        <w:pStyle w:val="ad"/>
        <w:spacing w:before="0" w:beforeAutospacing="0" w:after="0" w:afterAutospacing="0"/>
        <w:ind w:firstLine="426"/>
        <w:jc w:val="both"/>
        <w:rPr>
          <w:rStyle w:val="af3"/>
          <w:color w:val="000000"/>
        </w:rPr>
      </w:pPr>
      <w:r>
        <w:t xml:space="preserve">За информационное обеспечение контрактной системы отвечает Единая информационная система </w:t>
      </w:r>
      <w:r w:rsidRPr="00274A92">
        <w:t>(</w:t>
      </w:r>
      <w:r w:rsidRPr="00274A92">
        <w:rPr>
          <w:rStyle w:val="af"/>
          <w:rFonts w:cs="Times New Roman CYR"/>
          <w:b/>
          <w:bCs/>
          <w:color w:val="auto"/>
          <w:lang w:eastAsia="zh-CN"/>
        </w:rPr>
        <w:t>далее – ЕИС</w:t>
      </w:r>
      <w:r w:rsidRPr="00274A92">
        <w:t>).</w:t>
      </w:r>
      <w:r>
        <w:t xml:space="preserve"> Она помогает участникам обмениваться информацией о закупках, размещать заказы</w:t>
      </w:r>
      <w:r w:rsidRPr="001275E7">
        <w:t xml:space="preserve"> на поставку товаров, работ и услуг</w:t>
      </w:r>
      <w:r w:rsidR="00D9447D">
        <w:t>.</w:t>
      </w:r>
    </w:p>
    <w:p w:rsidR="004E7C20" w:rsidRPr="004E7C20" w:rsidRDefault="004E7C20" w:rsidP="00DB4D71">
      <w:pPr>
        <w:pStyle w:val="ad"/>
        <w:spacing w:before="0" w:beforeAutospacing="0" w:after="0" w:afterAutospacing="0"/>
        <w:ind w:firstLine="426"/>
        <w:jc w:val="both"/>
        <w:rPr>
          <w:b/>
          <w:bCs/>
        </w:rPr>
      </w:pPr>
      <w:r w:rsidRPr="004E7C20">
        <w:rPr>
          <w:b/>
        </w:rPr>
        <w:t>Статья 3</w:t>
      </w:r>
      <w:r w:rsidRPr="004E7C20">
        <w:t xml:space="preserve"> </w:t>
      </w:r>
      <w:r w:rsidRPr="00776110">
        <w:rPr>
          <w:b/>
        </w:rPr>
        <w:t>Закона № 44-ФЗ</w:t>
      </w:r>
      <w:r w:rsidRPr="004E7C20">
        <w:t xml:space="preserve"> определяет Единую информационную систему одновременно и как совокупность информации, которая хранится в базах данных, и как техническое средство, которое служит для формирования, обработки, хранения и использования этих данных. Именно для последнего — использования — и разработан сайт ЕИС</w:t>
      </w:r>
    </w:p>
    <w:p w:rsidR="006703C5" w:rsidRDefault="00AD7881" w:rsidP="00DB4D71">
      <w:pPr>
        <w:pStyle w:val="ad"/>
        <w:spacing w:before="0" w:beforeAutospacing="0" w:after="0" w:afterAutospacing="0"/>
        <w:ind w:firstLine="426"/>
        <w:jc w:val="both"/>
        <w:rPr>
          <w:shd w:val="clear" w:color="auto" w:fill="FFFFFF"/>
        </w:rPr>
      </w:pPr>
      <w:r w:rsidRPr="00493AFB">
        <w:rPr>
          <w:rStyle w:val="af3"/>
          <w:color w:val="000000"/>
        </w:rPr>
        <w:t>Единая информационная система в сфере закупок</w:t>
      </w:r>
      <w:r w:rsidRPr="00493AFB">
        <w:rPr>
          <w:color w:val="000000"/>
        </w:rPr>
        <w:t> </w:t>
      </w:r>
      <w:r w:rsidR="004E7C20">
        <w:rPr>
          <w:color w:val="000000"/>
        </w:rPr>
        <w:t>с</w:t>
      </w:r>
      <w:r w:rsidRPr="00493AFB">
        <w:rPr>
          <w:color w:val="000000"/>
        </w:rPr>
        <w:t>оздавалась для того, чтобы информация о торгах была безвозмездно доступна всем желающим, а каждый этап процедур был максимально прозрачным. Сегодня в </w:t>
      </w:r>
      <w:hyperlink r:id="rId13" w:tgtFrame="_blank" w:history="1">
        <w:r w:rsidRPr="004E7C20">
          <w:rPr>
            <w:rStyle w:val="a5"/>
            <w:color w:val="auto"/>
            <w:u w:val="none"/>
          </w:rPr>
          <w:t>ЕИС</w:t>
        </w:r>
      </w:hyperlink>
      <w:r w:rsidRPr="004E7C20">
        <w:t> </w:t>
      </w:r>
      <w:r w:rsidRPr="00493AFB">
        <w:rPr>
          <w:color w:val="000000"/>
        </w:rPr>
        <w:t>публикуются все закупки государственных и муниципальных заказчиков по 44-ФЗ, а также корпоративных заказчиков по закону 223-ФЗ. В информационной системе можно найти как </w:t>
      </w:r>
      <w:r w:rsidRPr="00493AFB">
        <w:rPr>
          <w:rStyle w:val="af2"/>
          <w:color w:val="000000"/>
        </w:rPr>
        <w:t>текущие закупки, так и завершенные, будущее и даже несостоявшиеся процедуры</w:t>
      </w:r>
      <w:r w:rsidRPr="00493AFB">
        <w:rPr>
          <w:color w:val="000000"/>
        </w:rPr>
        <w:t>. Кроме того, в ЕИС размещаются различные нормативные документы, типовые контракты и базы данных</w:t>
      </w:r>
      <w:r w:rsidRPr="00493AFB">
        <w:rPr>
          <w:color w:val="000000"/>
        </w:rPr>
        <w:br/>
      </w:r>
      <w:r w:rsidR="0037039A" w:rsidRPr="0037039A">
        <w:rPr>
          <w:shd w:val="clear" w:color="auto" w:fill="FFFFFF"/>
        </w:rPr>
        <w:t xml:space="preserve">        </w:t>
      </w:r>
      <w:r w:rsidR="0037039A" w:rsidRPr="00D13EB7">
        <w:rPr>
          <w:b/>
          <w:shd w:val="clear" w:color="auto" w:fill="FFFFFF"/>
        </w:rPr>
        <w:t>Главная цель</w:t>
      </w:r>
      <w:r w:rsidR="0037039A" w:rsidRPr="0037039A">
        <w:rPr>
          <w:shd w:val="clear" w:color="auto" w:fill="FFFFFF"/>
        </w:rPr>
        <w:t xml:space="preserve">, ради которой запустили Единую информационную систему, — сделать процесс </w:t>
      </w:r>
      <w:proofErr w:type="spellStart"/>
      <w:r w:rsidR="0037039A" w:rsidRPr="0037039A">
        <w:rPr>
          <w:shd w:val="clear" w:color="auto" w:fill="FFFFFF"/>
        </w:rPr>
        <w:t>госзакупок</w:t>
      </w:r>
      <w:proofErr w:type="spellEnd"/>
      <w:r w:rsidR="0037039A" w:rsidRPr="0037039A">
        <w:rPr>
          <w:shd w:val="clear" w:color="auto" w:fill="FFFFFF"/>
        </w:rPr>
        <w:t xml:space="preserve"> прозрачным и доступным для каждого. А также собрать в одном месте всю информацию по закупкам, в числе которой: какие торги проводятся; кто </w:t>
      </w:r>
      <w:r w:rsidR="0037039A" w:rsidRPr="0037039A">
        <w:rPr>
          <w:shd w:val="clear" w:color="auto" w:fill="FFFFFF"/>
        </w:rPr>
        <w:lastRenderedPageBreak/>
        <w:t xml:space="preserve">организатор; кто участвует; требования и условия; сроки заключения и исполнения контракта. Заказчики обязаны публиковать здесь всю документацию по активным закупкам (кроме тех, что связаны с </w:t>
      </w:r>
      <w:proofErr w:type="spellStart"/>
      <w:r w:rsidR="0037039A" w:rsidRPr="0037039A">
        <w:rPr>
          <w:shd w:val="clear" w:color="auto" w:fill="FFFFFF"/>
        </w:rPr>
        <w:t>гостайной</w:t>
      </w:r>
      <w:proofErr w:type="spellEnd"/>
      <w:r w:rsidR="0037039A" w:rsidRPr="0037039A">
        <w:rPr>
          <w:shd w:val="clear" w:color="auto" w:fill="FFFFFF"/>
        </w:rPr>
        <w:t xml:space="preserve">), а также планы на будущее. Поэтому именно отсюда потенциальные участники начинают поиск заказов, а вскоре смогут и подавать заявки на участие.  </w:t>
      </w:r>
    </w:p>
    <w:p w:rsidR="00A928D3" w:rsidRDefault="00A928D3" w:rsidP="00A928D3">
      <w:pPr>
        <w:autoSpaceDE w:val="0"/>
        <w:autoSpaceDN w:val="0"/>
        <w:adjustRightInd w:val="0"/>
        <w:jc w:val="both"/>
        <w:rPr>
          <w:rFonts w:eastAsia="Calibri"/>
          <w:b/>
        </w:rPr>
      </w:pPr>
      <w:r w:rsidRPr="00A928D3">
        <w:rPr>
          <w:rFonts w:eastAsia="Calibri"/>
        </w:rPr>
        <w:t xml:space="preserve">        </w:t>
      </w:r>
      <w:hyperlink r:id="rId14" w:history="1">
        <w:r w:rsidRPr="00A928D3">
          <w:rPr>
            <w:rFonts w:eastAsia="Calibri"/>
          </w:rPr>
          <w:t>Порядок</w:t>
        </w:r>
      </w:hyperlink>
      <w:r w:rsidRPr="00A928D3">
        <w:rPr>
          <w:rFonts w:eastAsia="Calibri"/>
        </w:rPr>
        <w:t xml:space="preserve"> функционирования ЕИС</w:t>
      </w:r>
      <w:proofErr w:type="gramStart"/>
      <w:r w:rsidRPr="00A928D3">
        <w:rPr>
          <w:rFonts w:eastAsia="Calibri"/>
        </w:rPr>
        <w:t xml:space="preserve"> ,</w:t>
      </w:r>
      <w:proofErr w:type="gramEnd"/>
      <w:r w:rsidRPr="00A928D3">
        <w:rPr>
          <w:rFonts w:eastAsia="Calibri"/>
        </w:rPr>
        <w:t xml:space="preserve">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5" w:history="1">
        <w:r w:rsidRPr="00A928D3">
          <w:rPr>
            <w:rFonts w:eastAsia="Calibri"/>
          </w:rPr>
          <w:t>порядок</w:t>
        </w:r>
      </w:hyperlink>
      <w:r w:rsidRPr="00A928D3">
        <w:rPr>
          <w:rFonts w:eastAsia="Calibri"/>
        </w:rP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w:t>
      </w:r>
      <w:r>
        <w:rPr>
          <w:rFonts w:eastAsia="Calibri"/>
        </w:rPr>
        <w:t xml:space="preserve">, </w:t>
      </w:r>
      <w:r w:rsidRPr="00D9447D">
        <w:rPr>
          <w:rFonts w:eastAsia="Calibri"/>
        </w:rPr>
        <w:t>устанавливаются</w:t>
      </w:r>
      <w:r w:rsidRPr="00A928D3">
        <w:rPr>
          <w:rFonts w:eastAsia="Calibri"/>
          <w:b/>
        </w:rPr>
        <w:t xml:space="preserve"> Прав</w:t>
      </w:r>
      <w:r>
        <w:rPr>
          <w:rFonts w:eastAsia="Calibri"/>
          <w:b/>
        </w:rPr>
        <w:t xml:space="preserve">ительством Российской Федерации. </w:t>
      </w:r>
    </w:p>
    <w:p w:rsidR="00A928D3" w:rsidRDefault="00A928D3" w:rsidP="00302E2C">
      <w:pPr>
        <w:autoSpaceDE w:val="0"/>
        <w:autoSpaceDN w:val="0"/>
        <w:adjustRightInd w:val="0"/>
        <w:jc w:val="both"/>
      </w:pPr>
      <w:r>
        <w:rPr>
          <w:rFonts w:eastAsia="Calibri"/>
          <w:b/>
        </w:rPr>
        <w:t xml:space="preserve">        </w:t>
      </w:r>
      <w:r w:rsidR="005447A6">
        <w:rPr>
          <w:rFonts w:eastAsia="Calibri"/>
          <w:b/>
        </w:rPr>
        <w:t xml:space="preserve"> </w:t>
      </w:r>
      <w:r w:rsidRPr="00A928D3">
        <w:rPr>
          <w:rFonts w:eastAsia="Calibri"/>
        </w:rPr>
        <w:t xml:space="preserve">В 2022 году Правительство </w:t>
      </w:r>
      <w:r w:rsidR="00882A72">
        <w:rPr>
          <w:rFonts w:eastAsia="Calibri"/>
        </w:rPr>
        <w:t xml:space="preserve"> утвердило </w:t>
      </w:r>
      <w:r w:rsidR="00882A72" w:rsidRPr="00882A72">
        <w:rPr>
          <w:rFonts w:ascii="Times New Roman CYR" w:eastAsia="Calibri" w:hAnsi="Times New Roman CYR" w:cs="Times New Roman CYR"/>
          <w:b/>
        </w:rPr>
        <w:t>Положение о Единой информационной системе</w:t>
      </w:r>
      <w:r w:rsidR="00882A72" w:rsidRPr="00882A72">
        <w:rPr>
          <w:rFonts w:ascii="Times New Roman CYR" w:eastAsia="Calibri" w:hAnsi="Times New Roman CYR" w:cs="Times New Roman CYR"/>
          <w:sz w:val="26"/>
        </w:rPr>
        <w:t xml:space="preserve"> </w:t>
      </w:r>
      <w:r w:rsidR="00882A72" w:rsidRPr="00882A72">
        <w:rPr>
          <w:rFonts w:ascii="Times New Roman CYR" w:eastAsia="Calibri" w:hAnsi="Times New Roman CYR" w:cs="Times New Roman CYR"/>
        </w:rPr>
        <w:t>в сфере закупок</w:t>
      </w:r>
      <w:r w:rsidR="00882A72">
        <w:rPr>
          <w:rFonts w:ascii="Times New Roman CYR" w:eastAsia="Calibri" w:hAnsi="Times New Roman CYR" w:cs="Times New Roman CYR"/>
        </w:rPr>
        <w:t xml:space="preserve"> (</w:t>
      </w:r>
      <w:r w:rsidR="00882A72">
        <w:rPr>
          <w:rFonts w:eastAsia="Calibri"/>
        </w:rPr>
        <w:t xml:space="preserve">Постановление Правительства РФ </w:t>
      </w:r>
      <w:r w:rsidR="00882A72" w:rsidRPr="00882A72">
        <w:rPr>
          <w:rFonts w:eastAsia="Calibri"/>
          <w:b/>
        </w:rPr>
        <w:t>от 27.01.2022 N 60</w:t>
      </w:r>
      <w:r w:rsidR="00882A72">
        <w:rPr>
          <w:rFonts w:eastAsia="Calibri"/>
        </w:rPr>
        <w:t>), устанавливающее порядок функционирования  ЕИС в сфере закупок</w:t>
      </w:r>
      <w:proofErr w:type="gramStart"/>
      <w:r w:rsidR="00882A72">
        <w:rPr>
          <w:rFonts w:eastAsia="Calibri"/>
        </w:rPr>
        <w:t xml:space="preserve"> ,</w:t>
      </w:r>
      <w:proofErr w:type="gramEnd"/>
      <w:r w:rsidR="00882A72">
        <w:rPr>
          <w:rFonts w:eastAsia="Calibri"/>
        </w:rPr>
        <w:t xml:space="preserve"> предоставления из нее информации и документов, информационного взаимодействия единой информационной системы с иными информационными системами, а также требования к технологическим и лингвистическим средствам такой системы.</w:t>
      </w:r>
      <w:r w:rsidR="00302E2C">
        <w:t xml:space="preserve">   </w:t>
      </w:r>
    </w:p>
    <w:p w:rsidR="005B1D38" w:rsidRDefault="005B1D38" w:rsidP="005B1D38">
      <w:pPr>
        <w:ind w:firstLine="567"/>
        <w:jc w:val="both"/>
      </w:pPr>
      <w:r>
        <w:t xml:space="preserve">Одной из функциональных возможностей ЕИС является ее способность к </w:t>
      </w:r>
      <w:r w:rsidRPr="00F85290">
        <w:rPr>
          <w:b/>
        </w:rPr>
        <w:t xml:space="preserve">информационному </w:t>
      </w:r>
      <w:hyperlink r:id="rId16" w:history="1">
        <w:r w:rsidRPr="00F85290">
          <w:rPr>
            <w:rStyle w:val="af"/>
            <w:rFonts w:cs="Times New Roman CYR"/>
            <w:b/>
            <w:color w:val="auto"/>
          </w:rPr>
          <w:t>взаимодействию</w:t>
        </w:r>
      </w:hyperlink>
      <w:r w:rsidRPr="00F85290">
        <w:rPr>
          <w:b/>
        </w:rPr>
        <w:t xml:space="preserve"> с другими государственными и муниципальными инфор</w:t>
      </w:r>
      <w:r w:rsidR="005447A6" w:rsidRPr="00F85290">
        <w:rPr>
          <w:b/>
        </w:rPr>
        <w:t xml:space="preserve">мационными  </w:t>
      </w:r>
      <w:r w:rsidRPr="00F85290">
        <w:rPr>
          <w:b/>
        </w:rPr>
        <w:t>системами</w:t>
      </w:r>
      <w:r>
        <w:t>, в том числе с ГИС "Электронный бюджет", электронными площадками, информационными системами органов контроля и др.</w:t>
      </w:r>
    </w:p>
    <w:p w:rsidR="005B1D38" w:rsidRDefault="005B1D38" w:rsidP="005B1D38">
      <w:pPr>
        <w:ind w:firstLine="567"/>
        <w:jc w:val="both"/>
      </w:pPr>
      <w:r>
        <w:t xml:space="preserve">По информации, размещенной на сайте </w:t>
      </w:r>
      <w:hyperlink r:id="rId17" w:history="1">
        <w:r w:rsidRPr="005B1D38">
          <w:rPr>
            <w:rStyle w:val="af"/>
            <w:rFonts w:cs="Times New Roman CYR"/>
            <w:color w:val="auto"/>
          </w:rPr>
          <w:t>www.zakupki.gov.ru</w:t>
        </w:r>
      </w:hyperlink>
      <w:r w:rsidRPr="005B1D38">
        <w:t xml:space="preserve">, в очередной версии ГИС ЕИС будет </w:t>
      </w:r>
      <w:r w:rsidR="004C5BEF">
        <w:t xml:space="preserve"> </w:t>
      </w:r>
      <w:r w:rsidRPr="005B1D38">
        <w:t>реализована возможность автоматической и ручной выгрузки сведений о принимаемых и принятых бюджетных обязательствах, денежных обя</w:t>
      </w:r>
      <w:r>
        <w:t>зательствах, а также распоряжений о совершении казначейского платежа для последующей загрузки в бухгалтерские программы учреждений-заказчиков.</w:t>
      </w:r>
    </w:p>
    <w:p w:rsidR="005B1D38" w:rsidRDefault="005B1D38" w:rsidP="005B1D38">
      <w:pPr>
        <w:ind w:firstLine="567"/>
        <w:jc w:val="both"/>
      </w:pPr>
      <w:r>
        <w:t>Федеральное казначейство уже разработало форматы обмена данными с бухгалтерскими системами по выгрузке сведений и распоряжений, сформированных в ЕИС, - они нужны для предварительной настройки бухгалтерской программы.</w:t>
      </w:r>
    </w:p>
    <w:p w:rsidR="005B1D38" w:rsidRDefault="005B1D38" w:rsidP="005B1D38">
      <w:pPr>
        <w:ind w:firstLine="567"/>
        <w:jc w:val="both"/>
      </w:pPr>
      <w:r>
        <w:t xml:space="preserve">Форматы данных, правила и порядок взаимодействия бухгалтерских систем с ГИС ЕИС включены в состав документа "Альбом ТФФ 13.1" на сайте </w:t>
      </w:r>
      <w:hyperlink r:id="rId18" w:history="1">
        <w:r w:rsidRPr="000765FA">
          <w:rPr>
            <w:rStyle w:val="af"/>
            <w:rFonts w:cs="Times New Roman CYR"/>
            <w:color w:val="auto"/>
          </w:rPr>
          <w:t>www.zakupki.gov.ru</w:t>
        </w:r>
      </w:hyperlink>
      <w:r>
        <w:t xml:space="preserve"> в разделе "Документы" - "Техническая информация" - "Требования к информационному взаимодействию ЕИС с другими информационными системами".</w:t>
      </w:r>
    </w:p>
    <w:p w:rsidR="00302E2C" w:rsidRDefault="00F85290" w:rsidP="00302E2C">
      <w:pPr>
        <w:autoSpaceDE w:val="0"/>
        <w:autoSpaceDN w:val="0"/>
        <w:adjustRightInd w:val="0"/>
        <w:jc w:val="both"/>
      </w:pPr>
      <w:r>
        <w:t xml:space="preserve">        </w:t>
      </w:r>
      <w:r w:rsidR="00DB4D71" w:rsidRPr="001275E7">
        <w:t>Федеральное казначейст</w:t>
      </w:r>
      <w:r w:rsidR="00DB4D71">
        <w:t>во наделили</w:t>
      </w:r>
      <w:r w:rsidR="00DB4D71" w:rsidRPr="001275E7">
        <w:t xml:space="preserve"> полномочиями устан</w:t>
      </w:r>
      <w:r w:rsidR="00DB4D71">
        <w:t>авливать</w:t>
      </w:r>
      <w:r w:rsidR="00DB4D71" w:rsidRPr="001275E7">
        <w:t xml:space="preserve"> поряд</w:t>
      </w:r>
      <w:r w:rsidR="00DB4D71">
        <w:t xml:space="preserve">ок </w:t>
      </w:r>
      <w:r w:rsidR="00DB4D71" w:rsidRPr="001275E7">
        <w:t xml:space="preserve">регистрации в </w:t>
      </w:r>
      <w:r w:rsidR="00302E2C">
        <w:t xml:space="preserve">информационной </w:t>
      </w:r>
      <w:r w:rsidR="00DB4D71" w:rsidRPr="001275E7">
        <w:t>системе и поряд</w:t>
      </w:r>
      <w:r w:rsidR="00DB4D71">
        <w:t>ок</w:t>
      </w:r>
      <w:r w:rsidR="00DB4D71" w:rsidRPr="001275E7">
        <w:t xml:space="preserve"> пользования системой</w:t>
      </w:r>
      <w:r>
        <w:t>.</w:t>
      </w:r>
    </w:p>
    <w:p w:rsidR="00F85290" w:rsidRPr="00F85290" w:rsidRDefault="00F85290" w:rsidP="00302E2C">
      <w:pPr>
        <w:autoSpaceDE w:val="0"/>
        <w:autoSpaceDN w:val="0"/>
        <w:adjustRightInd w:val="0"/>
        <w:jc w:val="both"/>
        <w:rPr>
          <w:color w:val="000000"/>
        </w:rPr>
      </w:pPr>
      <w:r>
        <w:rPr>
          <w:rFonts w:asciiTheme="minorHAnsi" w:hAnsiTheme="minorHAnsi"/>
          <w:color w:val="000000"/>
          <w:sz w:val="27"/>
          <w:szCs w:val="27"/>
        </w:rPr>
        <w:t xml:space="preserve">         </w:t>
      </w:r>
      <w:r w:rsidRPr="00F85290">
        <w:rPr>
          <w:color w:val="000000"/>
        </w:rPr>
        <w:t xml:space="preserve">С января 2022 года </w:t>
      </w:r>
      <w:r w:rsidR="0067611E">
        <w:rPr>
          <w:color w:val="000000"/>
        </w:rPr>
        <w:t>к</w:t>
      </w:r>
      <w:r w:rsidRPr="00F85290">
        <w:rPr>
          <w:color w:val="000000"/>
        </w:rPr>
        <w:t xml:space="preserve">азначейство </w:t>
      </w:r>
      <w:r w:rsidRPr="00F85290">
        <w:rPr>
          <w:b/>
          <w:color w:val="000000"/>
        </w:rPr>
        <w:t>обновило</w:t>
      </w:r>
      <w:r w:rsidRPr="00F85290">
        <w:rPr>
          <w:color w:val="000000"/>
        </w:rPr>
        <w:t xml:space="preserve"> правила регистрации, работы и пользования  ЕИС. С 2022 года регистрироваться и работать в ЕИС необходимо по-новому. </w:t>
      </w:r>
    </w:p>
    <w:p w:rsidR="00F85290" w:rsidRDefault="00F85290" w:rsidP="00302E2C">
      <w:pPr>
        <w:autoSpaceDE w:val="0"/>
        <w:autoSpaceDN w:val="0"/>
        <w:adjustRightInd w:val="0"/>
        <w:jc w:val="both"/>
        <w:rPr>
          <w:color w:val="000000"/>
        </w:rPr>
      </w:pPr>
      <w:r>
        <w:rPr>
          <w:color w:val="000000"/>
        </w:rPr>
        <w:t xml:space="preserve">          </w:t>
      </w:r>
      <w:r w:rsidRPr="00F85290">
        <w:rPr>
          <w:color w:val="000000"/>
        </w:rPr>
        <w:t xml:space="preserve">На портале правовой информации </w:t>
      </w:r>
      <w:r>
        <w:rPr>
          <w:color w:val="000000"/>
        </w:rPr>
        <w:t xml:space="preserve"> </w:t>
      </w:r>
      <w:r w:rsidRPr="00F85290">
        <w:rPr>
          <w:color w:val="000000"/>
        </w:rPr>
        <w:t>разме</w:t>
      </w:r>
      <w:r>
        <w:rPr>
          <w:color w:val="000000"/>
        </w:rPr>
        <w:t>щен</w:t>
      </w:r>
      <w:r w:rsidRPr="00F85290">
        <w:rPr>
          <w:color w:val="000000"/>
        </w:rPr>
        <w:t xml:space="preserve"> </w:t>
      </w:r>
      <w:r>
        <w:rPr>
          <w:color w:val="000000"/>
        </w:rPr>
        <w:t xml:space="preserve"> </w:t>
      </w:r>
      <w:r w:rsidRPr="00F85290">
        <w:rPr>
          <w:color w:val="000000"/>
        </w:rPr>
        <w:t xml:space="preserve">Приказ Казначейства России </w:t>
      </w:r>
      <w:r>
        <w:rPr>
          <w:color w:val="000000"/>
        </w:rPr>
        <w:t xml:space="preserve"> </w:t>
      </w:r>
      <w:r w:rsidRPr="00F85290">
        <w:rPr>
          <w:b/>
          <w:color w:val="000000"/>
        </w:rPr>
        <w:t>от 10.12.2021 N 39н</w:t>
      </w:r>
      <w:r>
        <w:rPr>
          <w:b/>
          <w:color w:val="000000"/>
        </w:rPr>
        <w:t xml:space="preserve"> «</w:t>
      </w:r>
      <w:r w:rsidRPr="00F85290">
        <w:rPr>
          <w:color w:val="000000"/>
        </w:rPr>
        <w:t>Об утверждении Порядка регистрации в единой информационной системе в сфере закупок и Порядка пользования единой информационной системой в сфере закупок</w:t>
      </w:r>
      <w:r>
        <w:rPr>
          <w:color w:val="000000"/>
        </w:rPr>
        <w:t>»</w:t>
      </w:r>
      <w:r w:rsidRPr="00F85290">
        <w:rPr>
          <w:color w:val="000000"/>
        </w:rPr>
        <w:t xml:space="preserve">, которым утверждается новый порядок регистрации в </w:t>
      </w:r>
      <w:proofErr w:type="gramStart"/>
      <w:r w:rsidRPr="00F85290">
        <w:rPr>
          <w:color w:val="000000"/>
        </w:rPr>
        <w:t>ЕИС</w:t>
      </w:r>
      <w:proofErr w:type="gramEnd"/>
      <w:r w:rsidRPr="00F85290">
        <w:rPr>
          <w:color w:val="000000"/>
        </w:rPr>
        <w:t xml:space="preserve"> и обновляются правила работы в этой системе. Новый порядок разработан и для участников закупок, и для тех, кто использует сведения из ЕИС. </w:t>
      </w:r>
    </w:p>
    <w:p w:rsidR="00F85290" w:rsidRDefault="00F85290" w:rsidP="00302E2C">
      <w:pPr>
        <w:autoSpaceDE w:val="0"/>
        <w:autoSpaceDN w:val="0"/>
        <w:adjustRightInd w:val="0"/>
        <w:jc w:val="both"/>
        <w:rPr>
          <w:color w:val="000000"/>
        </w:rPr>
      </w:pPr>
      <w:r>
        <w:rPr>
          <w:color w:val="000000"/>
        </w:rPr>
        <w:t xml:space="preserve">         </w:t>
      </w:r>
      <w:r w:rsidRPr="00F85290">
        <w:rPr>
          <w:color w:val="000000"/>
        </w:rPr>
        <w:t>Нововведения заработа</w:t>
      </w:r>
      <w:r>
        <w:rPr>
          <w:color w:val="000000"/>
        </w:rPr>
        <w:t>ли</w:t>
      </w:r>
      <w:r w:rsidRPr="00F85290">
        <w:rPr>
          <w:color w:val="000000"/>
        </w:rPr>
        <w:t xml:space="preserve"> </w:t>
      </w:r>
      <w:r>
        <w:rPr>
          <w:color w:val="000000"/>
        </w:rPr>
        <w:t xml:space="preserve"> </w:t>
      </w:r>
      <w:r w:rsidRPr="00F85290">
        <w:rPr>
          <w:b/>
          <w:color w:val="000000"/>
        </w:rPr>
        <w:t>с 01.01.2022</w:t>
      </w:r>
      <w:r>
        <w:rPr>
          <w:b/>
          <w:color w:val="000000"/>
        </w:rPr>
        <w:t xml:space="preserve"> года.</w:t>
      </w:r>
    </w:p>
    <w:p w:rsidR="00B07FBE" w:rsidRDefault="00F85290" w:rsidP="00B07FBE">
      <w:pPr>
        <w:autoSpaceDE w:val="0"/>
        <w:autoSpaceDN w:val="0"/>
        <w:adjustRightInd w:val="0"/>
        <w:jc w:val="both"/>
        <w:rPr>
          <w:rFonts w:eastAsia="Calibri"/>
        </w:rPr>
      </w:pPr>
      <w:r>
        <w:t xml:space="preserve">  </w:t>
      </w:r>
      <w:r w:rsidR="00B07FBE">
        <w:t xml:space="preserve">     </w:t>
      </w:r>
      <w:r w:rsidR="000B1716">
        <w:t xml:space="preserve"> </w:t>
      </w:r>
      <w:r w:rsidR="00571A7B">
        <w:t xml:space="preserve"> </w:t>
      </w:r>
      <w:r w:rsidR="00B07FBE">
        <w:t>Перечень информации, которая должна содержаться в ЕИС, определен частью 3 статьи 4 Закона №44-ФЗ (</w:t>
      </w:r>
      <w:r>
        <w:t>с учетом изменений).</w:t>
      </w:r>
      <w:r w:rsidR="00B07FBE">
        <w:rPr>
          <w:rFonts w:eastAsia="Calibri"/>
        </w:rPr>
        <w:t xml:space="preserve"> </w:t>
      </w:r>
    </w:p>
    <w:p w:rsidR="00D539CE" w:rsidRDefault="00D539CE" w:rsidP="00D539CE">
      <w:pPr>
        <w:shd w:val="clear" w:color="auto" w:fill="FFFFFF"/>
        <w:ind w:firstLine="426"/>
        <w:jc w:val="both"/>
        <w:rPr>
          <w:iCs/>
          <w:color w:val="000000"/>
        </w:rPr>
      </w:pPr>
      <w:r w:rsidRPr="00DA2A94">
        <w:rPr>
          <w:b/>
          <w:iCs/>
          <w:color w:val="000000"/>
        </w:rPr>
        <w:lastRenderedPageBreak/>
        <w:t>С 1 января 2021 года</w:t>
      </w:r>
      <w:r>
        <w:rPr>
          <w:iCs/>
          <w:color w:val="000000"/>
        </w:rPr>
        <w:t xml:space="preserve"> </w:t>
      </w:r>
      <w:r w:rsidRPr="00651737">
        <w:rPr>
          <w:iCs/>
          <w:color w:val="000000"/>
        </w:rPr>
        <w:t>в единой информационной системе появились обновления, которые облегч</w:t>
      </w:r>
      <w:r>
        <w:rPr>
          <w:iCs/>
          <w:color w:val="000000"/>
        </w:rPr>
        <w:t>или</w:t>
      </w:r>
      <w:r w:rsidRPr="00651737">
        <w:rPr>
          <w:iCs/>
          <w:color w:val="000000"/>
        </w:rPr>
        <w:t xml:space="preserve"> работу заказчиков по Закону № 44-ФЗ. Новые возможности для заказчиков напрямую связаны с изменениями закона, которые начали действовать с 2021 года. </w:t>
      </w:r>
    </w:p>
    <w:p w:rsidR="00302E2C" w:rsidRDefault="00D539CE" w:rsidP="00D539CE">
      <w:pPr>
        <w:shd w:val="clear" w:color="auto" w:fill="FFFFFF"/>
        <w:ind w:firstLine="426"/>
        <w:jc w:val="both"/>
        <w:rPr>
          <w:color w:val="000000"/>
        </w:rPr>
      </w:pPr>
      <w:r w:rsidRPr="00D539CE">
        <w:rPr>
          <w:bCs/>
          <w:color w:val="000000"/>
        </w:rPr>
        <w:t>В </w:t>
      </w:r>
      <w:r w:rsidRPr="00651737">
        <w:rPr>
          <w:color w:val="000000"/>
        </w:rPr>
        <w:t xml:space="preserve">2021 году для заказчиков и поставщиков актуализировали новую </w:t>
      </w:r>
      <w:r w:rsidR="00F85290">
        <w:rPr>
          <w:color w:val="000000"/>
        </w:rPr>
        <w:t xml:space="preserve"> версию </w:t>
      </w:r>
      <w:r w:rsidR="00F85290" w:rsidRPr="00F85290">
        <w:rPr>
          <w:b/>
          <w:color w:val="000000"/>
        </w:rPr>
        <w:t>11.0 ЕИС</w:t>
      </w:r>
      <w:r w:rsidRPr="00F85290">
        <w:rPr>
          <w:color w:val="000000"/>
        </w:rPr>
        <w:t xml:space="preserve"> </w:t>
      </w:r>
      <w:r w:rsidRPr="00651737">
        <w:rPr>
          <w:color w:val="000000"/>
        </w:rPr>
        <w:t>единой информационной системы — основного сайта по </w:t>
      </w:r>
      <w:proofErr w:type="spellStart"/>
      <w:r w:rsidRPr="00651737">
        <w:rPr>
          <w:color w:val="000000"/>
        </w:rPr>
        <w:t>госзакупкам</w:t>
      </w:r>
      <w:proofErr w:type="spellEnd"/>
      <w:r w:rsidRPr="00651737">
        <w:rPr>
          <w:color w:val="000000"/>
        </w:rPr>
        <w:t xml:space="preserve"> России. </w:t>
      </w:r>
    </w:p>
    <w:p w:rsidR="00D539CE" w:rsidRPr="00651737" w:rsidRDefault="00D539CE" w:rsidP="00D539CE">
      <w:pPr>
        <w:shd w:val="clear" w:color="auto" w:fill="FFFFFF"/>
        <w:ind w:firstLine="426"/>
        <w:jc w:val="both"/>
        <w:rPr>
          <w:color w:val="000000"/>
        </w:rPr>
      </w:pPr>
      <w:r w:rsidRPr="00651737">
        <w:rPr>
          <w:color w:val="000000"/>
        </w:rPr>
        <w:t>Конкретизировали планирование по новым признакам ед</w:t>
      </w:r>
      <w:r w:rsidR="00302E2C">
        <w:rPr>
          <w:color w:val="000000"/>
        </w:rPr>
        <w:t xml:space="preserve">инственного </w:t>
      </w:r>
      <w:r w:rsidRPr="00651737">
        <w:rPr>
          <w:color w:val="000000"/>
        </w:rPr>
        <w:t xml:space="preserve">поставщика, убрали ряд дублирующих полей в реестре контрактов в части указания НДС, усовершенствовали функционал ЕИС и автоматическую проверку сведений об участниках на ЭТП комиссией о закупках. </w:t>
      </w:r>
    </w:p>
    <w:p w:rsidR="000A762B" w:rsidRDefault="00D61930" w:rsidP="000A762B">
      <w:pPr>
        <w:autoSpaceDE w:val="0"/>
        <w:autoSpaceDN w:val="0"/>
        <w:adjustRightInd w:val="0"/>
        <w:jc w:val="both"/>
        <w:rPr>
          <w:shd w:val="clear" w:color="auto" w:fill="FFFFFF"/>
        </w:rPr>
      </w:pPr>
      <w:r>
        <w:rPr>
          <w:rFonts w:ascii="Arial" w:hAnsi="Arial" w:cs="Arial"/>
          <w:color w:val="333333"/>
          <w:sz w:val="23"/>
          <w:szCs w:val="23"/>
          <w:shd w:val="clear" w:color="auto" w:fill="FFFFFF"/>
        </w:rPr>
        <w:t xml:space="preserve">         </w:t>
      </w:r>
      <w:r w:rsidRPr="000A762B">
        <w:rPr>
          <w:shd w:val="clear" w:color="auto" w:fill="FFFFFF"/>
        </w:rPr>
        <w:t xml:space="preserve">В соответствии с изменениями в Закон о контрактной системе, вступающими в силу </w:t>
      </w:r>
      <w:r w:rsidRPr="00DA2A94">
        <w:rPr>
          <w:b/>
          <w:shd w:val="clear" w:color="auto" w:fill="FFFFFF"/>
        </w:rPr>
        <w:t>с 1 января 2022 года</w:t>
      </w:r>
      <w:r w:rsidRPr="000A762B">
        <w:rPr>
          <w:shd w:val="clear" w:color="auto" w:fill="FFFFFF"/>
        </w:rPr>
        <w:t xml:space="preserve">  была введена в эксплуатацию версия </w:t>
      </w:r>
      <w:r w:rsidRPr="000A762B">
        <w:rPr>
          <w:b/>
          <w:shd w:val="clear" w:color="auto" w:fill="FFFFFF"/>
        </w:rPr>
        <w:t>12.0 ЕИС</w:t>
      </w:r>
      <w:r w:rsidRPr="000A762B">
        <w:rPr>
          <w:shd w:val="clear" w:color="auto" w:fill="FFFFFF"/>
        </w:rPr>
        <w:t xml:space="preserve"> в сфере закупок. </w:t>
      </w:r>
      <w:r w:rsidR="000A762B">
        <w:rPr>
          <w:shd w:val="clear" w:color="auto" w:fill="FFFFFF"/>
        </w:rPr>
        <w:t xml:space="preserve">   </w:t>
      </w:r>
    </w:p>
    <w:p w:rsidR="00E42EA0" w:rsidRPr="000A762B" w:rsidRDefault="000A762B" w:rsidP="000A762B">
      <w:pPr>
        <w:autoSpaceDE w:val="0"/>
        <w:autoSpaceDN w:val="0"/>
        <w:adjustRightInd w:val="0"/>
        <w:jc w:val="both"/>
        <w:rPr>
          <w:shd w:val="clear" w:color="auto" w:fill="FFFFFF"/>
        </w:rPr>
      </w:pPr>
      <w:r>
        <w:rPr>
          <w:shd w:val="clear" w:color="auto" w:fill="FFFFFF"/>
        </w:rPr>
        <w:t xml:space="preserve">        </w:t>
      </w:r>
      <w:r w:rsidR="00D61930" w:rsidRPr="000A762B">
        <w:rPr>
          <w:shd w:val="clear" w:color="auto" w:fill="FFFFFF"/>
        </w:rPr>
        <w:t>Доработка функционала связана со вступлением в силу оптимизационного пакета</w:t>
      </w:r>
      <w:r w:rsidR="001E346D" w:rsidRPr="000A762B">
        <w:rPr>
          <w:shd w:val="clear" w:color="auto" w:fill="FFFFFF"/>
        </w:rPr>
        <w:t>.</w:t>
      </w:r>
    </w:p>
    <w:p w:rsidR="00D61930" w:rsidRPr="000A762B" w:rsidRDefault="000A762B" w:rsidP="000A762B">
      <w:pPr>
        <w:jc w:val="both"/>
        <w:rPr>
          <w:shd w:val="clear" w:color="auto" w:fill="FFFFFF"/>
        </w:rPr>
      </w:pPr>
      <w:r>
        <w:rPr>
          <w:shd w:val="clear" w:color="auto" w:fill="FFFFFF"/>
        </w:rPr>
        <w:t xml:space="preserve">         </w:t>
      </w:r>
      <w:r w:rsidR="00D61930" w:rsidRPr="000A762B">
        <w:rPr>
          <w:shd w:val="clear" w:color="auto" w:fill="FFFFFF"/>
        </w:rPr>
        <w:t>В версии 12.0 ЕИС реализованы новые возможности, предусмотренные</w:t>
      </w:r>
      <w:r>
        <w:rPr>
          <w:shd w:val="clear" w:color="auto" w:fill="FFFFFF"/>
        </w:rPr>
        <w:t xml:space="preserve"> </w:t>
      </w:r>
      <w:r w:rsidR="00D61930" w:rsidRPr="000A762B">
        <w:rPr>
          <w:shd w:val="clear" w:color="auto" w:fill="FFFFFF"/>
        </w:rPr>
        <w:t xml:space="preserve">          </w:t>
      </w:r>
      <w:r w:rsidR="0067611E">
        <w:rPr>
          <w:shd w:val="clear" w:color="auto" w:fill="FFFFFF"/>
        </w:rPr>
        <w:t>Законом</w:t>
      </w:r>
      <w:hyperlink r:id="rId19" w:anchor="fz44" w:history="1">
        <w:r w:rsidR="0067611E">
          <w:rPr>
            <w:rStyle w:val="a5"/>
            <w:color w:val="auto"/>
            <w:u w:val="none"/>
            <w:bdr w:val="none" w:sz="0" w:space="0" w:color="auto" w:frame="1"/>
            <w:shd w:val="clear" w:color="auto" w:fill="FFFFFF"/>
          </w:rPr>
          <w:t xml:space="preserve"> </w:t>
        </w:r>
        <w:r w:rsidR="00D61930" w:rsidRPr="000A762B">
          <w:rPr>
            <w:rStyle w:val="a5"/>
            <w:color w:val="auto"/>
            <w:u w:val="none"/>
            <w:bdr w:val="none" w:sz="0" w:space="0" w:color="auto" w:frame="1"/>
            <w:shd w:val="clear" w:color="auto" w:fill="FFFFFF"/>
          </w:rPr>
          <w:t xml:space="preserve"> № 44-ФЗ в редакции Федерального закона от 02.07.2021 № 360-ФЗ «О внесении изменений в отдельные законодательные акты Российской Федерации» </w:t>
        </w:r>
      </w:hyperlink>
      <w:r w:rsidR="00D61930" w:rsidRPr="000A762B">
        <w:t>.</w:t>
      </w:r>
    </w:p>
    <w:p w:rsidR="001E346D" w:rsidRPr="000A762B" w:rsidRDefault="001E346D" w:rsidP="000A762B">
      <w:pPr>
        <w:shd w:val="clear" w:color="auto" w:fill="FFFFFF"/>
        <w:ind w:firstLine="567"/>
        <w:jc w:val="both"/>
        <w:textAlignment w:val="baseline"/>
      </w:pPr>
      <w:r w:rsidRPr="000A762B">
        <w:t>Напомним, что с</w:t>
      </w:r>
      <w:r w:rsidRPr="001E346D">
        <w:t xml:space="preserve"> 01.01.2022 вступ</w:t>
      </w:r>
      <w:r w:rsidRPr="000A762B">
        <w:t>или</w:t>
      </w:r>
      <w:r w:rsidRPr="001E346D">
        <w:t xml:space="preserve"> в силу существенные изменения Закона № 44-ФЗ, направленные на оптимизацию и автоматизацию закупочного процесса. </w:t>
      </w:r>
      <w:r w:rsidRPr="000A762B">
        <w:t xml:space="preserve">  </w:t>
      </w:r>
    </w:p>
    <w:p w:rsidR="000A762B" w:rsidRDefault="001E346D" w:rsidP="000A762B">
      <w:pPr>
        <w:shd w:val="clear" w:color="auto" w:fill="FFFFFF"/>
        <w:ind w:firstLine="567"/>
        <w:jc w:val="both"/>
        <w:textAlignment w:val="baseline"/>
      </w:pPr>
      <w:r w:rsidRPr="000A762B">
        <w:t xml:space="preserve"> </w:t>
      </w:r>
      <w:r w:rsidRPr="001E346D">
        <w:t>В частности, предусматривается совершенствование порядка определения поставщика, в соответствии с которым:</w:t>
      </w:r>
    </w:p>
    <w:p w:rsidR="000A762B" w:rsidRDefault="000A762B" w:rsidP="00456F59">
      <w:pPr>
        <w:pStyle w:val="ab"/>
        <w:numPr>
          <w:ilvl w:val="0"/>
          <w:numId w:val="28"/>
        </w:numPr>
        <w:shd w:val="clear" w:color="auto" w:fill="FFFFFF"/>
        <w:ind w:left="0" w:firstLine="567"/>
        <w:textAlignment w:val="baseline"/>
        <w:rPr>
          <w:rFonts w:ascii="Times New Roman" w:hAnsi="Times New Roman" w:cs="Times New Roman"/>
        </w:rPr>
      </w:pPr>
      <w:r w:rsidRPr="000A762B">
        <w:rPr>
          <w:rFonts w:ascii="Times New Roman" w:hAnsi="Times New Roman" w:cs="Times New Roman"/>
        </w:rPr>
        <w:t xml:space="preserve"> </w:t>
      </w:r>
      <w:r w:rsidR="001E346D" w:rsidRPr="000A762B">
        <w:rPr>
          <w:rFonts w:ascii="Times New Roman" w:hAnsi="Times New Roman" w:cs="Times New Roman"/>
        </w:rPr>
        <w:t>сокращено количество открытых конкурентных способов с 11 до 3. Исключены бумажные способы, запрос предложений, конкурс с ограниченным участием, двухэтапный конкурс. С 01.01.2022 заказчики смогут проводить закупки путем электронного конкурса, электронного аукциона, электронного запроса котировок, а также осуществлять зак</w:t>
      </w:r>
      <w:r w:rsidRPr="000A762B">
        <w:rPr>
          <w:rFonts w:ascii="Times New Roman" w:hAnsi="Times New Roman" w:cs="Times New Roman"/>
        </w:rPr>
        <w:t>упки у единственного поставщика;</w:t>
      </w:r>
    </w:p>
    <w:p w:rsidR="000A762B" w:rsidRDefault="001E346D" w:rsidP="00456F59">
      <w:pPr>
        <w:pStyle w:val="ab"/>
        <w:numPr>
          <w:ilvl w:val="0"/>
          <w:numId w:val="28"/>
        </w:numPr>
        <w:shd w:val="clear" w:color="auto" w:fill="FFFFFF"/>
        <w:ind w:left="0" w:firstLine="567"/>
        <w:textAlignment w:val="baseline"/>
        <w:rPr>
          <w:rFonts w:ascii="Times New Roman" w:hAnsi="Times New Roman" w:cs="Times New Roman"/>
        </w:rPr>
      </w:pPr>
      <w:r w:rsidRPr="000A762B">
        <w:rPr>
          <w:rFonts w:ascii="Times New Roman" w:hAnsi="Times New Roman" w:cs="Times New Roman"/>
        </w:rPr>
        <w:t> извещение об осуществлении закупки будет состоять из структурированной информации и прилагаемых документов в соответствии с частями 1 и 2 статьи 42 Закона № 44-ФЗ. При этом в соответствии с частью 4 статьи 5 Закона № 44-ФЗ приоритет будет иметь информация, содержащаяся в ЕИС</w:t>
      </w:r>
      <w:r w:rsidR="000A762B">
        <w:rPr>
          <w:rFonts w:ascii="Times New Roman" w:hAnsi="Times New Roman" w:cs="Times New Roman"/>
        </w:rPr>
        <w:t xml:space="preserve"> (структурированная информация);</w:t>
      </w:r>
    </w:p>
    <w:p w:rsidR="0067611E" w:rsidRPr="0067611E" w:rsidRDefault="000A762B" w:rsidP="007D5B07">
      <w:pPr>
        <w:pStyle w:val="ab"/>
        <w:numPr>
          <w:ilvl w:val="0"/>
          <w:numId w:val="28"/>
        </w:numPr>
        <w:shd w:val="clear" w:color="auto" w:fill="FFFFFF"/>
        <w:ind w:left="0" w:firstLine="567"/>
        <w:textAlignment w:val="baseline"/>
        <w:rPr>
          <w:color w:val="000000"/>
          <w:sz w:val="21"/>
          <w:szCs w:val="21"/>
        </w:rPr>
      </w:pPr>
      <w:r>
        <w:rPr>
          <w:rFonts w:ascii="Times New Roman" w:hAnsi="Times New Roman" w:cs="Times New Roman"/>
        </w:rPr>
        <w:t xml:space="preserve"> </w:t>
      </w:r>
      <w:r w:rsidR="001E346D" w:rsidRPr="000A762B">
        <w:rPr>
          <w:rFonts w:ascii="Times New Roman" w:hAnsi="Times New Roman" w:cs="Times New Roman"/>
        </w:rPr>
        <w:t>установлены единые требования к содержанию извещения об осуществлении закупки, сроку его размещения в ЕИС, внесения в него изменений, а также единые требования к составу и содержан</w:t>
      </w:r>
      <w:r>
        <w:rPr>
          <w:rFonts w:ascii="Times New Roman" w:hAnsi="Times New Roman" w:cs="Times New Roman"/>
        </w:rPr>
        <w:t>ию заявок на участие в закупках;</w:t>
      </w:r>
    </w:p>
    <w:p w:rsidR="00E42EA0" w:rsidRPr="0067611E" w:rsidRDefault="0067611E" w:rsidP="007D5B07">
      <w:pPr>
        <w:pStyle w:val="ab"/>
        <w:numPr>
          <w:ilvl w:val="0"/>
          <w:numId w:val="28"/>
        </w:numPr>
        <w:shd w:val="clear" w:color="auto" w:fill="FFFFFF"/>
        <w:ind w:left="0" w:firstLine="567"/>
        <w:textAlignment w:val="baseline"/>
        <w:rPr>
          <w:rFonts w:ascii="Times New Roman" w:hAnsi="Times New Roman" w:cs="Times New Roman"/>
          <w:color w:val="000000"/>
          <w:sz w:val="21"/>
          <w:szCs w:val="21"/>
        </w:rPr>
      </w:pPr>
      <w:r>
        <w:t xml:space="preserve"> </w:t>
      </w:r>
      <w:r w:rsidR="001E346D" w:rsidRPr="0067611E">
        <w:rPr>
          <w:rFonts w:ascii="Times New Roman" w:hAnsi="Times New Roman" w:cs="Times New Roman"/>
        </w:rPr>
        <w:t xml:space="preserve">установлены новые требования к участникам закупок, определяющие условия допуска к участию в конкурентных закупках с начальной (максимальной) ценой контракта свыше 20 </w:t>
      </w:r>
      <w:proofErr w:type="gramStart"/>
      <w:r w:rsidR="001E346D" w:rsidRPr="0067611E">
        <w:rPr>
          <w:rFonts w:ascii="Times New Roman" w:hAnsi="Times New Roman" w:cs="Times New Roman"/>
        </w:rPr>
        <w:t>млн</w:t>
      </w:r>
      <w:proofErr w:type="gramEnd"/>
      <w:r w:rsidR="001E346D" w:rsidRPr="0067611E">
        <w:rPr>
          <w:rFonts w:ascii="Times New Roman" w:hAnsi="Times New Roman" w:cs="Times New Roman"/>
        </w:rPr>
        <w:t xml:space="preserve"> рублей и необходимость установки в таких закупках одного из дополнительных требований к участникам в соответствии с частями 2 и 2.1 статьи 31 Закона № 44-ФЗ.</w:t>
      </w:r>
      <w:bookmarkStart w:id="4" w:name=".D0.9F.D0.BE.D1.80.D1.82.D0.B0.D0.BB_.D0"/>
      <w:bookmarkEnd w:id="4"/>
      <w:r w:rsidR="007D5B07" w:rsidRPr="0067611E">
        <w:rPr>
          <w:rFonts w:ascii="Times New Roman" w:hAnsi="Times New Roman" w:cs="Times New Roman"/>
          <w:color w:val="000000"/>
          <w:sz w:val="21"/>
          <w:szCs w:val="21"/>
        </w:rPr>
        <w:t xml:space="preserve"> </w:t>
      </w:r>
    </w:p>
    <w:p w:rsidR="007D5B07" w:rsidRDefault="007D5B07" w:rsidP="00387ADA">
      <w:pPr>
        <w:rPr>
          <w:rFonts w:ascii="Arial" w:hAnsi="Arial" w:cs="Arial"/>
          <w:vanish/>
          <w:color w:val="000000"/>
          <w:sz w:val="21"/>
          <w:szCs w:val="21"/>
        </w:rPr>
      </w:pPr>
    </w:p>
    <w:p w:rsidR="00552285" w:rsidRDefault="00552285" w:rsidP="00E42EA0">
      <w:pPr>
        <w:pStyle w:val="ad"/>
        <w:shd w:val="clear" w:color="auto" w:fill="FFFFFF"/>
        <w:spacing w:before="0" w:beforeAutospacing="0" w:after="0" w:afterAutospacing="0"/>
        <w:jc w:val="both"/>
        <w:rPr>
          <w:rFonts w:ascii="Arial" w:hAnsi="Arial" w:cs="Arial"/>
          <w:color w:val="000000"/>
          <w:sz w:val="21"/>
          <w:szCs w:val="21"/>
        </w:rPr>
      </w:pPr>
    </w:p>
    <w:p w:rsidR="008574DF" w:rsidRPr="00BB5A6E" w:rsidRDefault="007349C1" w:rsidP="000B1716">
      <w:pPr>
        <w:spacing w:line="264" w:lineRule="auto"/>
        <w:jc w:val="both"/>
      </w:pPr>
      <w:r w:rsidRPr="00BB5A6E">
        <w:rPr>
          <w:b/>
        </w:rPr>
        <w:t>3. П</w:t>
      </w:r>
      <w:r w:rsidR="00387ADA">
        <w:rPr>
          <w:b/>
        </w:rPr>
        <w:t>ланирование закупок</w:t>
      </w:r>
      <w:r w:rsidR="00336F79" w:rsidRPr="00BB5A6E">
        <w:t xml:space="preserve"> </w:t>
      </w:r>
    </w:p>
    <w:p w:rsidR="0063400E" w:rsidRPr="0063400E" w:rsidRDefault="0063400E" w:rsidP="0063400E">
      <w:pPr>
        <w:ind w:firstLine="425"/>
        <w:jc w:val="both"/>
        <w:rPr>
          <w:b/>
        </w:rPr>
      </w:pPr>
      <w:r w:rsidRPr="0063400E">
        <w:t xml:space="preserve">Базовый принцип контрактной системы — </w:t>
      </w:r>
      <w:r w:rsidRPr="0063400E">
        <w:rPr>
          <w:b/>
        </w:rPr>
        <w:t>планирование.</w:t>
      </w:r>
    </w:p>
    <w:p w:rsidR="006A51E9" w:rsidRDefault="00086C86" w:rsidP="00086C86">
      <w:pPr>
        <w:ind w:firstLine="425"/>
        <w:jc w:val="both"/>
      </w:pPr>
      <w:r w:rsidRPr="00E51041">
        <w:rPr>
          <w:b/>
        </w:rPr>
        <w:t xml:space="preserve">Планирование </w:t>
      </w:r>
      <w:r w:rsidR="00E51041">
        <w:rPr>
          <w:b/>
        </w:rPr>
        <w:t xml:space="preserve"> </w:t>
      </w:r>
      <w:r w:rsidRPr="0093643C">
        <w:t>является начальным элементом осуществления закупок товаров, работ и услуг для государственных и муниципальных нужд.</w:t>
      </w:r>
      <w:r w:rsidRPr="000E797D">
        <w:t xml:space="preserve"> </w:t>
      </w:r>
    </w:p>
    <w:p w:rsidR="00F93255" w:rsidRPr="00F93255" w:rsidRDefault="00F93255" w:rsidP="00086C86">
      <w:pPr>
        <w:ind w:firstLine="425"/>
        <w:jc w:val="both"/>
      </w:pPr>
      <w:r w:rsidRPr="00F93255">
        <w:t>Планирование закупок товаров, работ, услуг является одним из инструментов повышения эффективности расходования бюджетных средств и основой обеспечения государственных, муниципальных нужд.</w:t>
      </w:r>
    </w:p>
    <w:p w:rsidR="00E52457" w:rsidRDefault="006A51E9" w:rsidP="00086C86">
      <w:pPr>
        <w:ind w:firstLine="425"/>
        <w:jc w:val="both"/>
        <w:rPr>
          <w:rFonts w:eastAsia="Calibri"/>
        </w:rPr>
      </w:pPr>
      <w:r>
        <w:rPr>
          <w:rFonts w:eastAsia="Calibri"/>
        </w:rPr>
        <w:t xml:space="preserve">Закон №44-ФЗ устанавливает комплекс требований к планированию закупок. </w:t>
      </w:r>
      <w:r w:rsidR="00E52457">
        <w:rPr>
          <w:rFonts w:eastAsia="Calibri"/>
        </w:rPr>
        <w:t xml:space="preserve">  </w:t>
      </w:r>
    </w:p>
    <w:p w:rsidR="00086C86" w:rsidRPr="00DB0BF8" w:rsidRDefault="00086C86" w:rsidP="00086C86">
      <w:pPr>
        <w:ind w:firstLine="425"/>
        <w:jc w:val="both"/>
        <w:rPr>
          <w:rFonts w:ascii="Arial" w:hAnsi="Arial" w:cs="Arial"/>
          <w:b/>
          <w:sz w:val="21"/>
          <w:szCs w:val="21"/>
        </w:rPr>
      </w:pPr>
      <w:r>
        <w:t>П</w:t>
      </w:r>
      <w:r w:rsidRPr="000E797D">
        <w:t xml:space="preserve">ланирование </w:t>
      </w:r>
      <w:r>
        <w:t xml:space="preserve">должно быть </w:t>
      </w:r>
      <w:r w:rsidRPr="000E797D">
        <w:t>направлено, прежде всего</w:t>
      </w:r>
      <w:r>
        <w:t>,</w:t>
      </w:r>
      <w:r w:rsidRPr="000E797D">
        <w:t xml:space="preserve"> на повышение эффективности использования финансовых ресурсов и результативности закупок, обеспечение гласности и прозрачности закупок, а также предотвращение коррупции и других злоупотреблений в сфере закупок для обеспечения государственных и муниципальных нужд</w:t>
      </w:r>
      <w:r w:rsidRPr="00DB0BF8">
        <w:rPr>
          <w:rFonts w:ascii="Arial" w:hAnsi="Arial" w:cs="Arial"/>
          <w:b/>
          <w:sz w:val="21"/>
          <w:szCs w:val="21"/>
        </w:rPr>
        <w:t>.</w:t>
      </w:r>
    </w:p>
    <w:p w:rsidR="00F73698" w:rsidRDefault="00F73698" w:rsidP="00247068">
      <w:pPr>
        <w:autoSpaceDE w:val="0"/>
        <w:autoSpaceDN w:val="0"/>
        <w:adjustRightInd w:val="0"/>
        <w:jc w:val="both"/>
        <w:rPr>
          <w:rFonts w:eastAsia="Calibri"/>
        </w:rPr>
      </w:pPr>
      <w:r>
        <w:rPr>
          <w:rFonts w:eastAsia="Calibri"/>
        </w:rPr>
        <w:lastRenderedPageBreak/>
        <w:t xml:space="preserve">     </w:t>
      </w:r>
      <w:r w:rsidR="0053279E">
        <w:rPr>
          <w:rFonts w:eastAsia="Calibri"/>
        </w:rPr>
        <w:t xml:space="preserve"> </w:t>
      </w:r>
      <w:r>
        <w:rPr>
          <w:rFonts w:eastAsia="Calibri"/>
        </w:rPr>
        <w:t xml:space="preserve">В соответствии с частью 1 статьи 16 Закона №44-ФЗ планирование закупок </w:t>
      </w:r>
      <w:r w:rsidR="007A316B">
        <w:rPr>
          <w:rFonts w:eastAsia="Calibri"/>
        </w:rPr>
        <w:t>в 20</w:t>
      </w:r>
      <w:r w:rsidR="0063400E">
        <w:rPr>
          <w:rFonts w:eastAsia="Calibri"/>
        </w:rPr>
        <w:t>22</w:t>
      </w:r>
      <w:r w:rsidR="007A316B">
        <w:rPr>
          <w:rFonts w:eastAsia="Calibri"/>
        </w:rPr>
        <w:t xml:space="preserve"> году </w:t>
      </w:r>
      <w:r>
        <w:rPr>
          <w:rFonts w:eastAsia="Calibri"/>
        </w:rPr>
        <w:t>осуществлялось посредством формирования, утверждения и ведения:</w:t>
      </w:r>
    </w:p>
    <w:p w:rsidR="0063400E" w:rsidRPr="0063400E" w:rsidRDefault="00F93255" w:rsidP="00456F59">
      <w:pPr>
        <w:numPr>
          <w:ilvl w:val="0"/>
          <w:numId w:val="12"/>
        </w:numPr>
        <w:autoSpaceDE w:val="0"/>
        <w:autoSpaceDN w:val="0"/>
        <w:adjustRightInd w:val="0"/>
        <w:ind w:left="0" w:firstLine="425"/>
        <w:jc w:val="both"/>
      </w:pPr>
      <w:r w:rsidRPr="0063400E">
        <w:rPr>
          <w:rFonts w:eastAsia="Calibri"/>
        </w:rPr>
        <w:t>П</w:t>
      </w:r>
      <w:r w:rsidR="00D51096" w:rsidRPr="0063400E">
        <w:rPr>
          <w:rFonts w:eastAsia="Calibri"/>
        </w:rPr>
        <w:t>ланов-графиков. Закупки, не предусмотренные планами-графиками, не могут быть осуществлены.</w:t>
      </w:r>
    </w:p>
    <w:p w:rsidR="005F27D1" w:rsidRPr="005F27D1" w:rsidRDefault="00247068" w:rsidP="005F27D1">
      <w:pPr>
        <w:pStyle w:val="ad"/>
        <w:spacing w:before="0" w:beforeAutospacing="0" w:after="0" w:afterAutospacing="0"/>
        <w:jc w:val="both"/>
        <w:rPr>
          <w:rFonts w:eastAsia="Calibri"/>
        </w:rPr>
      </w:pPr>
      <w:r>
        <w:t xml:space="preserve">    </w:t>
      </w:r>
      <w:r w:rsidR="008E5BA7">
        <w:t xml:space="preserve"> </w:t>
      </w:r>
      <w:r>
        <w:t xml:space="preserve">  </w:t>
      </w:r>
      <w:r w:rsidR="00F878D7" w:rsidRPr="0063400E">
        <w:t xml:space="preserve">Государственная закупка может осуществляться </w:t>
      </w:r>
      <w:r w:rsidR="00F878D7" w:rsidRPr="005F27D1">
        <w:rPr>
          <w:b/>
        </w:rPr>
        <w:t>только в том случае</w:t>
      </w:r>
      <w:r w:rsidR="00F878D7" w:rsidRPr="0063400E">
        <w:t>, если она запланирована и отражена в плане-графике (ч. 1 ст. 16 Закона № 44-ФЗ).</w:t>
      </w:r>
      <w:r w:rsidR="005F27D1">
        <w:t xml:space="preserve"> </w:t>
      </w:r>
      <w:r w:rsidR="005F27D1" w:rsidRPr="005F27D1">
        <w:rPr>
          <w:rFonts w:eastAsia="Calibri"/>
        </w:rPr>
        <w:t>В план-график включаются сведения обо всех закупках заказчика.</w:t>
      </w:r>
    </w:p>
    <w:p w:rsidR="00F878D7" w:rsidRPr="005F27D1" w:rsidRDefault="005F27D1" w:rsidP="005F27D1">
      <w:pPr>
        <w:pStyle w:val="ad"/>
        <w:spacing w:before="0" w:beforeAutospacing="0" w:after="0" w:afterAutospacing="0"/>
        <w:jc w:val="both"/>
      </w:pPr>
      <w:r w:rsidRPr="005F27D1">
        <w:t xml:space="preserve">       </w:t>
      </w:r>
      <w:r w:rsidR="00F878D7" w:rsidRPr="005F27D1">
        <w:t>Разместить в ЕИС извещение заказчик может только в том случае, если в плане-графике эта позиция проработана и отражена.</w:t>
      </w:r>
    </w:p>
    <w:p w:rsidR="00F878D7" w:rsidRPr="005F27D1" w:rsidRDefault="005F27D1" w:rsidP="005F27D1">
      <w:pPr>
        <w:pStyle w:val="ad"/>
        <w:spacing w:before="0" w:beforeAutospacing="0" w:after="0" w:afterAutospacing="0"/>
        <w:jc w:val="both"/>
        <w:rPr>
          <w:rFonts w:eastAsia="Calibri"/>
        </w:rPr>
      </w:pPr>
      <w:r>
        <w:rPr>
          <w:rFonts w:eastAsia="Calibri"/>
          <w:b/>
          <w:bCs/>
        </w:rPr>
        <w:t xml:space="preserve">        </w:t>
      </w:r>
      <w:r w:rsidR="00F878D7" w:rsidRPr="005F27D1">
        <w:rPr>
          <w:rFonts w:eastAsia="Calibri"/>
          <w:b/>
          <w:bCs/>
        </w:rPr>
        <w:t>Исключение </w:t>
      </w:r>
      <w:r w:rsidR="00F878D7" w:rsidRPr="005F27D1">
        <w:rPr>
          <w:rFonts w:eastAsia="Calibri"/>
        </w:rPr>
        <w:t>— закупки для обеспечения федеральных нужд, составляющих государственную тайну. Имеются в виду закрытые закупки. Информация о таких закупках включается в отдельное приложение к плану, которое не размещается в ЕИС (п. 21, 25 Порядка № 1279).</w:t>
      </w:r>
    </w:p>
    <w:p w:rsidR="00B43134" w:rsidRPr="00B43134" w:rsidRDefault="00B43134" w:rsidP="00B43134">
      <w:pPr>
        <w:pStyle w:val="ad"/>
        <w:spacing w:before="0" w:beforeAutospacing="0" w:after="0" w:afterAutospacing="0"/>
        <w:ind w:firstLine="426"/>
        <w:jc w:val="both"/>
        <w:rPr>
          <w:color w:val="2E2E2E"/>
        </w:rPr>
      </w:pPr>
      <w:r w:rsidRPr="00B43134">
        <w:rPr>
          <w:b/>
          <w:color w:val="2E2E2E"/>
        </w:rPr>
        <w:t>Обоснованной</w:t>
      </w:r>
      <w:r>
        <w:rPr>
          <w:color w:val="2E2E2E"/>
        </w:rPr>
        <w:t xml:space="preserve"> считается </w:t>
      </w:r>
      <w:r w:rsidRPr="00B43134">
        <w:rPr>
          <w:color w:val="2E2E2E"/>
        </w:rPr>
        <w:t xml:space="preserve"> закупка, которая соответствует:</w:t>
      </w:r>
    </w:p>
    <w:p w:rsidR="00B43134" w:rsidRPr="00C82730" w:rsidRDefault="00B43134" w:rsidP="00456F59">
      <w:pPr>
        <w:numPr>
          <w:ilvl w:val="0"/>
          <w:numId w:val="29"/>
        </w:numPr>
        <w:ind w:left="0" w:firstLine="426"/>
        <w:jc w:val="both"/>
        <w:rPr>
          <w:rFonts w:eastAsia="Calibri"/>
        </w:rPr>
      </w:pPr>
      <w:r w:rsidRPr="00C82730">
        <w:rPr>
          <w:rFonts w:eastAsia="Calibri"/>
        </w:rPr>
        <w:t>правилам нормирования закупок (они работают с точки зрения затрат, которые может позволить себе заказчик, и с точки зрения качественных параметров закупки);</w:t>
      </w:r>
    </w:p>
    <w:p w:rsidR="00B43134" w:rsidRPr="00C82730" w:rsidRDefault="00B43134" w:rsidP="00456F59">
      <w:pPr>
        <w:numPr>
          <w:ilvl w:val="0"/>
          <w:numId w:val="29"/>
        </w:numPr>
        <w:ind w:left="0" w:firstLine="426"/>
        <w:jc w:val="both"/>
        <w:rPr>
          <w:rFonts w:eastAsia="Calibri"/>
        </w:rPr>
      </w:pPr>
      <w:r w:rsidRPr="00C82730">
        <w:rPr>
          <w:rFonts w:eastAsia="Calibri"/>
        </w:rPr>
        <w:t>правилам формирования НМЦК, цены контракта с единственным поставщиком, начальной суммы цен единиц товара, работы, услуги (это жесткие положения самой контрактной системы).</w:t>
      </w:r>
    </w:p>
    <w:p w:rsidR="00B43134" w:rsidRPr="00B43134" w:rsidRDefault="00B43134" w:rsidP="00B43134">
      <w:pPr>
        <w:pStyle w:val="ad"/>
        <w:spacing w:before="0" w:beforeAutospacing="0" w:after="0" w:afterAutospacing="0"/>
        <w:ind w:firstLine="425"/>
        <w:jc w:val="both"/>
        <w:rPr>
          <w:color w:val="2E2E2E"/>
        </w:rPr>
      </w:pPr>
      <w:r w:rsidRPr="00C82730">
        <w:rPr>
          <w:rFonts w:eastAsia="Calibri"/>
        </w:rPr>
        <w:t xml:space="preserve">На первое место вышла </w:t>
      </w:r>
      <w:r w:rsidRPr="000A4FE7">
        <w:rPr>
          <w:rFonts w:eastAsia="Calibri"/>
          <w:i/>
        </w:rPr>
        <w:t>экономическая</w:t>
      </w:r>
      <w:r w:rsidRPr="00C82730">
        <w:rPr>
          <w:rFonts w:eastAsia="Calibri"/>
        </w:rPr>
        <w:t xml:space="preserve"> составляющая: обоснованной считается та закупка, по которой сформирована НМЦК, — для законодателей это условие важнее, чем дополнительные факторы</w:t>
      </w:r>
      <w:r w:rsidRPr="00B43134">
        <w:rPr>
          <w:color w:val="2E2E2E"/>
        </w:rPr>
        <w:t>.</w:t>
      </w:r>
    </w:p>
    <w:p w:rsidR="0067611E" w:rsidRDefault="0053279E" w:rsidP="0053279E">
      <w:pPr>
        <w:autoSpaceDE w:val="0"/>
        <w:autoSpaceDN w:val="0"/>
        <w:adjustRightInd w:val="0"/>
        <w:jc w:val="both"/>
        <w:rPr>
          <w:rFonts w:eastAsia="Calibri"/>
        </w:rPr>
      </w:pPr>
      <w:r>
        <w:rPr>
          <w:rFonts w:eastAsia="Calibri"/>
        </w:rPr>
        <w:t xml:space="preserve">      </w:t>
      </w:r>
      <w:r w:rsidR="008479BF">
        <w:rPr>
          <w:rFonts w:eastAsia="Calibri"/>
        </w:rPr>
        <w:t>П</w:t>
      </w:r>
      <w:r w:rsidR="00A820D2">
        <w:rPr>
          <w:rFonts w:eastAsia="Calibri"/>
        </w:rPr>
        <w:t>лан-график подлеж</w:t>
      </w:r>
      <w:r w:rsidR="009F3E71">
        <w:rPr>
          <w:rFonts w:eastAsia="Calibri"/>
        </w:rPr>
        <w:t>и</w:t>
      </w:r>
      <w:r w:rsidR="00A820D2">
        <w:rPr>
          <w:rFonts w:eastAsia="Calibri"/>
        </w:rPr>
        <w:t xml:space="preserve">т размещению в </w:t>
      </w:r>
      <w:r w:rsidR="00332052">
        <w:rPr>
          <w:rFonts w:eastAsia="Calibri"/>
        </w:rPr>
        <w:t>Е</w:t>
      </w:r>
      <w:r>
        <w:rPr>
          <w:rFonts w:eastAsia="Calibri"/>
        </w:rPr>
        <w:t xml:space="preserve">диной информационной системе </w:t>
      </w:r>
      <w:r w:rsidR="008479BF">
        <w:rPr>
          <w:rFonts w:eastAsia="Calibri"/>
        </w:rPr>
        <w:t xml:space="preserve"> (ЕИС), что является  реализацией одного из принципов контрактной системы, определенного статьей 7 Закона №44-ФЗ</w:t>
      </w:r>
      <w:r w:rsidR="00194E48">
        <w:rPr>
          <w:rFonts w:eastAsia="Calibri"/>
        </w:rPr>
        <w:t xml:space="preserve">: открытости и прозрачности информации о контрактной системе в сфере закупок. </w:t>
      </w:r>
    </w:p>
    <w:p w:rsidR="00956124" w:rsidRDefault="0067611E" w:rsidP="0053279E">
      <w:pPr>
        <w:autoSpaceDE w:val="0"/>
        <w:autoSpaceDN w:val="0"/>
        <w:adjustRightInd w:val="0"/>
        <w:jc w:val="both"/>
        <w:rPr>
          <w:rFonts w:eastAsia="Calibri"/>
        </w:rPr>
      </w:pPr>
      <w:r>
        <w:rPr>
          <w:rFonts w:eastAsia="Calibri"/>
        </w:rPr>
        <w:t xml:space="preserve">     </w:t>
      </w:r>
      <w:r w:rsidR="0053279E">
        <w:rPr>
          <w:rFonts w:eastAsia="Calibri"/>
        </w:rPr>
        <w:t xml:space="preserve"> Напомним, что информация, содержащаяся  в ЕИС, является общедоступной и представляется безвозмездно (сведения, составляющие государственную тайну, в ЕИС не размещаются) (ч. 4 ст. 4 Закона №44-ФЗ)</w:t>
      </w:r>
      <w:r w:rsidR="008C7081">
        <w:rPr>
          <w:rFonts w:eastAsia="Calibri"/>
        </w:rPr>
        <w:t>.</w:t>
      </w:r>
    </w:p>
    <w:p w:rsidR="008C7081" w:rsidRDefault="008C7081" w:rsidP="008C7081">
      <w:pPr>
        <w:jc w:val="both"/>
      </w:pPr>
      <w:r>
        <w:rPr>
          <w:rFonts w:eastAsia="Calibri"/>
        </w:rPr>
        <w:t xml:space="preserve">     </w:t>
      </w:r>
      <w:r w:rsidR="00166736">
        <w:rPr>
          <w:rFonts w:eastAsia="Calibri"/>
        </w:rPr>
        <w:t xml:space="preserve"> </w:t>
      </w:r>
      <w:r>
        <w:rPr>
          <w:rFonts w:eastAsia="Calibri"/>
        </w:rPr>
        <w:t>Р</w:t>
      </w:r>
      <w:r>
        <w:t>азмещение в ЕИС  планов-графиков несет в себе функцию оповещения участников закупки о предстоящих закупках. Такое информирование позволяет участникам закупки заранее подготовиться к участию в предстоящих процедурах определения поставщика (подрядчика, исполнителя). Такая подготовка может заключаться в развертывании или расширении производства товаров, подготовке к выполнению работ или оказанию услуг, приобретение которых планируется заказчиком, либо оптимизации процессов производства таких товаров, выполнения таких работ или оказания таких услуг в целях снижения себестоимости и, соответственно, цены и так далее. Это само по себе также может служить повышению эффективности закупок, а путем расширения круга заинтересованных лиц - и в пресечении злоупотреблений.</w:t>
      </w:r>
    </w:p>
    <w:p w:rsidR="00332052" w:rsidRPr="00DD3A7D" w:rsidRDefault="00332052" w:rsidP="00332052">
      <w:pPr>
        <w:ind w:firstLine="425"/>
        <w:jc w:val="both"/>
      </w:pPr>
      <w:r>
        <w:rPr>
          <w:rFonts w:eastAsia="Calibri"/>
        </w:rPr>
        <w:t xml:space="preserve"> Правительством Российской Федерации устанавливаются</w:t>
      </w:r>
      <w:r w:rsidRPr="00274A92">
        <w:rPr>
          <w:rFonts w:eastAsia="Calibri"/>
        </w:rPr>
        <w:t>:</w:t>
      </w:r>
      <w:r w:rsidRPr="00274A92">
        <w:rPr>
          <w:b/>
          <w:sz w:val="20"/>
          <w:szCs w:val="20"/>
        </w:rPr>
        <w:t xml:space="preserve"> </w:t>
      </w:r>
      <w:r>
        <w:rPr>
          <w:b/>
          <w:sz w:val="20"/>
          <w:szCs w:val="20"/>
        </w:rPr>
        <w:t>(</w:t>
      </w:r>
      <w:r w:rsidRPr="00DD3A7D">
        <w:rPr>
          <w:rFonts w:eastAsia="Calibri"/>
        </w:rPr>
        <w:t xml:space="preserve">Постановление Правительства РФ </w:t>
      </w:r>
      <w:r w:rsidRPr="00332052">
        <w:rPr>
          <w:rFonts w:eastAsia="Calibri"/>
          <w:b/>
        </w:rPr>
        <w:t>от 30.09.2019 N 1279</w:t>
      </w:r>
      <w:r w:rsidRPr="00DD3A7D">
        <w:rPr>
          <w:rFonts w:eastAsia="Calibri"/>
        </w:rPr>
        <w:t xml:space="preserve"> </w:t>
      </w:r>
      <w:r>
        <w:rPr>
          <w:rFonts w:eastAsia="Calibri"/>
        </w:rPr>
        <w:t>«</w:t>
      </w:r>
      <w:r w:rsidRPr="00DD3A7D">
        <w:rPr>
          <w:rFonts w:eastAsia="Calibri"/>
        </w:rPr>
        <w:t>Об установлении порядка формирования</w:t>
      </w:r>
      <w:proofErr w:type="gramStart"/>
      <w:r w:rsidRPr="00DD3A7D">
        <w:rPr>
          <w:rFonts w:eastAsia="Calibri"/>
        </w:rPr>
        <w:t xml:space="preserve"> ,</w:t>
      </w:r>
      <w:proofErr w:type="gramEnd"/>
      <w:r w:rsidRPr="00DD3A7D">
        <w:rPr>
          <w:rFonts w:eastAsia="Calibri"/>
        </w:rPr>
        <w:t xml:space="preserve"> утверждения планов-графиков закупок, внесения изменений в такие планы-графики, размещения планов-графиков закупок в ЕИС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Pr>
          <w:rFonts w:eastAsia="Calibri"/>
        </w:rPr>
        <w:t>»</w:t>
      </w:r>
      <w:r w:rsidRPr="00DD3A7D">
        <w:rPr>
          <w:rFonts w:eastAsia="Calibri"/>
        </w:rPr>
        <w:t xml:space="preserve"> (с учетом изменений)</w:t>
      </w:r>
      <w:r w:rsidR="0067611E">
        <w:rPr>
          <w:rFonts w:eastAsia="Calibri"/>
        </w:rPr>
        <w:t xml:space="preserve"> </w:t>
      </w:r>
      <w:r w:rsidRPr="00DD3A7D">
        <w:rPr>
          <w:rFonts w:eastAsia="Calibri"/>
        </w:rPr>
        <w:t>(</w:t>
      </w:r>
      <w:r w:rsidR="0067611E">
        <w:rPr>
          <w:rFonts w:eastAsia="Calibri"/>
        </w:rPr>
        <w:t>д</w:t>
      </w:r>
      <w:r w:rsidRPr="00DD3A7D">
        <w:rPr>
          <w:rFonts w:eastAsia="Calibri"/>
        </w:rPr>
        <w:t xml:space="preserve">алее – </w:t>
      </w:r>
      <w:r w:rsidRPr="00DD3A7D">
        <w:rPr>
          <w:rFonts w:eastAsia="Calibri"/>
          <w:b/>
        </w:rPr>
        <w:t>Порядок №1279</w:t>
      </w:r>
      <w:r w:rsidRPr="00DD3A7D">
        <w:rPr>
          <w:rFonts w:eastAsia="Calibri"/>
        </w:rPr>
        <w:t>)</w:t>
      </w:r>
    </w:p>
    <w:p w:rsidR="00332052" w:rsidRDefault="00332052" w:rsidP="00332052">
      <w:pPr>
        <w:autoSpaceDE w:val="0"/>
        <w:autoSpaceDN w:val="0"/>
        <w:adjustRightInd w:val="0"/>
        <w:ind w:firstLine="426"/>
        <w:jc w:val="both"/>
        <w:rPr>
          <w:rFonts w:eastAsia="Calibri"/>
        </w:rPr>
      </w:pPr>
      <w:r>
        <w:rPr>
          <w:rFonts w:eastAsia="Calibri"/>
        </w:rPr>
        <w:t>1) требования к форме планов-графиков;</w:t>
      </w:r>
    </w:p>
    <w:p w:rsidR="00332052" w:rsidRDefault="00332052" w:rsidP="00332052">
      <w:pPr>
        <w:autoSpaceDE w:val="0"/>
        <w:autoSpaceDN w:val="0"/>
        <w:adjustRightInd w:val="0"/>
        <w:ind w:firstLine="426"/>
        <w:jc w:val="both"/>
        <w:rPr>
          <w:rFonts w:eastAsia="Calibri"/>
        </w:rPr>
      </w:pPr>
      <w:r>
        <w:rPr>
          <w:rFonts w:eastAsia="Calibri"/>
        </w:rPr>
        <w:t>2) порядок формирования, утверждения планов-графиков, внесения изменений в такие планы-графики;</w:t>
      </w:r>
    </w:p>
    <w:p w:rsidR="00332052" w:rsidRDefault="00332052" w:rsidP="00332052">
      <w:pPr>
        <w:autoSpaceDE w:val="0"/>
        <w:autoSpaceDN w:val="0"/>
        <w:adjustRightInd w:val="0"/>
        <w:ind w:firstLine="426"/>
        <w:jc w:val="both"/>
        <w:rPr>
          <w:rFonts w:eastAsia="Calibri"/>
        </w:rPr>
      </w:pPr>
      <w:r>
        <w:rPr>
          <w:rFonts w:eastAsia="Calibri"/>
        </w:rPr>
        <w:t xml:space="preserve">3) </w:t>
      </w:r>
      <w:hyperlink r:id="rId20" w:history="1">
        <w:r w:rsidRPr="0096594C">
          <w:rPr>
            <w:rFonts w:eastAsia="Calibri"/>
            <w:color w:val="000000"/>
          </w:rPr>
          <w:t>порядок</w:t>
        </w:r>
      </w:hyperlink>
      <w:r w:rsidRPr="0096594C">
        <w:rPr>
          <w:rFonts w:eastAsia="Calibri"/>
          <w:color w:val="000000"/>
        </w:rPr>
        <w:t xml:space="preserve"> р</w:t>
      </w:r>
      <w:r>
        <w:rPr>
          <w:rFonts w:eastAsia="Calibri"/>
        </w:rPr>
        <w:t>азмещения планов-графиков в единой информационной системе.</w:t>
      </w:r>
    </w:p>
    <w:p w:rsidR="00332052" w:rsidRDefault="00332052" w:rsidP="00332052">
      <w:pPr>
        <w:autoSpaceDE w:val="0"/>
        <w:autoSpaceDN w:val="0"/>
        <w:adjustRightInd w:val="0"/>
        <w:jc w:val="both"/>
        <w:rPr>
          <w:rFonts w:eastAsia="Calibri"/>
          <w:bCs/>
        </w:rPr>
      </w:pPr>
      <w:r w:rsidRPr="00464A1A">
        <w:lastRenderedPageBreak/>
        <w:t xml:space="preserve">    </w:t>
      </w:r>
      <w:r w:rsidRPr="00464A1A">
        <w:rPr>
          <w:rFonts w:eastAsia="Calibri"/>
          <w:bCs/>
        </w:rPr>
        <w:t xml:space="preserve"> </w:t>
      </w:r>
      <w:r>
        <w:rPr>
          <w:rFonts w:eastAsia="Calibri"/>
          <w:bCs/>
        </w:rPr>
        <w:t xml:space="preserve"> </w:t>
      </w:r>
      <w:r w:rsidR="004808AD">
        <w:rPr>
          <w:rFonts w:eastAsia="Calibri"/>
          <w:bCs/>
        </w:rPr>
        <w:t xml:space="preserve"> </w:t>
      </w:r>
      <w:r>
        <w:rPr>
          <w:rFonts w:eastAsia="Calibri"/>
          <w:bCs/>
        </w:rPr>
        <w:t xml:space="preserve">Руководствоваться необходимо той редакцией  Порядка №1279, которая действует на момент, когда утверждается план - график. </w:t>
      </w:r>
    </w:p>
    <w:p w:rsidR="00332052" w:rsidRDefault="004808AD" w:rsidP="00332052">
      <w:pPr>
        <w:autoSpaceDE w:val="0"/>
        <w:autoSpaceDN w:val="0"/>
        <w:adjustRightInd w:val="0"/>
        <w:jc w:val="both"/>
        <w:rPr>
          <w:rFonts w:eastAsia="Calibri"/>
          <w:bCs/>
        </w:rPr>
      </w:pPr>
      <w:r>
        <w:rPr>
          <w:rFonts w:eastAsia="Calibri"/>
          <w:bCs/>
        </w:rPr>
        <w:t xml:space="preserve">       </w:t>
      </w:r>
      <w:r w:rsidR="00332052" w:rsidRPr="00464A1A">
        <w:rPr>
          <w:rFonts w:eastAsia="Calibri"/>
          <w:bCs/>
        </w:rPr>
        <w:t xml:space="preserve">План-график формируется </w:t>
      </w:r>
      <w:r>
        <w:rPr>
          <w:rFonts w:eastAsia="Calibri"/>
          <w:bCs/>
        </w:rPr>
        <w:t xml:space="preserve"> исключительно в </w:t>
      </w:r>
      <w:r w:rsidR="00332052" w:rsidRPr="00464A1A">
        <w:rPr>
          <w:rFonts w:eastAsia="Calibri"/>
          <w:bCs/>
        </w:rPr>
        <w:t xml:space="preserve">форме электронного документа (за исключением </w:t>
      </w:r>
      <w:r w:rsidR="00332052">
        <w:rPr>
          <w:rFonts w:eastAsia="Calibri"/>
        </w:rPr>
        <w:t xml:space="preserve">закупок товаров, работ, услуг, необходимых для обеспечения федеральных нужд, если </w:t>
      </w:r>
      <w:hyperlink r:id="rId21" w:history="1">
        <w:r w:rsidR="00332052" w:rsidRPr="0096594C">
          <w:rPr>
            <w:rFonts w:eastAsia="Calibri"/>
            <w:color w:val="000000"/>
          </w:rPr>
          <w:t>сведения</w:t>
        </w:r>
      </w:hyperlink>
      <w:r w:rsidR="00332052" w:rsidRPr="0096594C">
        <w:rPr>
          <w:rFonts w:eastAsia="Calibri"/>
          <w:color w:val="000000"/>
        </w:rPr>
        <w:t xml:space="preserve"> о</w:t>
      </w:r>
      <w:r w:rsidR="00332052">
        <w:rPr>
          <w:rFonts w:eastAsia="Calibri"/>
        </w:rPr>
        <w:t xml:space="preserve"> таких нуждах составляют государственную тайну)</w:t>
      </w:r>
      <w:r w:rsidR="00332052" w:rsidRPr="00464A1A">
        <w:rPr>
          <w:rFonts w:eastAsia="Calibri"/>
          <w:bCs/>
        </w:rPr>
        <w:t xml:space="preserve">, предусмотренного </w:t>
      </w:r>
      <w:hyperlink r:id="rId22" w:history="1">
        <w:r w:rsidR="00332052" w:rsidRPr="0096594C">
          <w:rPr>
            <w:rFonts w:eastAsia="Calibri"/>
            <w:bCs/>
            <w:color w:val="000000"/>
          </w:rPr>
          <w:t>пунктом 25</w:t>
        </w:r>
      </w:hyperlink>
      <w:r w:rsidR="00332052" w:rsidRPr="00464A1A">
        <w:rPr>
          <w:rFonts w:eastAsia="Calibri"/>
          <w:bCs/>
        </w:rPr>
        <w:t xml:space="preserve">  </w:t>
      </w:r>
      <w:r w:rsidR="00332052">
        <w:rPr>
          <w:rFonts w:eastAsia="Calibri"/>
          <w:bCs/>
        </w:rPr>
        <w:t>Порядка №1279</w:t>
      </w:r>
      <w:r w:rsidR="00332052" w:rsidRPr="00464A1A">
        <w:rPr>
          <w:rFonts w:eastAsia="Calibri"/>
          <w:bCs/>
        </w:rPr>
        <w:t xml:space="preserve">) по форме согласно </w:t>
      </w:r>
      <w:hyperlink r:id="rId23" w:history="1">
        <w:r w:rsidR="00332052" w:rsidRPr="0096594C">
          <w:rPr>
            <w:rFonts w:eastAsia="Calibri"/>
            <w:bCs/>
            <w:color w:val="000000"/>
          </w:rPr>
          <w:t>приложению</w:t>
        </w:r>
      </w:hyperlink>
      <w:r w:rsidR="00332052" w:rsidRPr="0096594C">
        <w:rPr>
          <w:rFonts w:eastAsia="Calibri"/>
          <w:bCs/>
          <w:color w:val="000000"/>
        </w:rPr>
        <w:t xml:space="preserve"> </w:t>
      </w:r>
      <w:r w:rsidR="00332052" w:rsidRPr="00464A1A">
        <w:rPr>
          <w:rFonts w:eastAsia="Calibri"/>
          <w:bCs/>
        </w:rPr>
        <w:t>и утверждается посредством подписания усиленной квалифицированной электронной подписью лица, имеющего право действовать от имени заказчика.</w:t>
      </w:r>
      <w:r w:rsidR="00332052">
        <w:rPr>
          <w:rFonts w:eastAsia="Calibri"/>
          <w:bCs/>
        </w:rPr>
        <w:t xml:space="preserve"> </w:t>
      </w:r>
    </w:p>
    <w:p w:rsidR="0044590C" w:rsidRPr="000520EB" w:rsidRDefault="0044590C" w:rsidP="0044590C">
      <w:pPr>
        <w:ind w:firstLine="426"/>
        <w:jc w:val="both"/>
        <w:rPr>
          <w:b/>
        </w:rPr>
      </w:pPr>
      <w:r w:rsidRPr="005C320F">
        <w:t xml:space="preserve">При </w:t>
      </w:r>
      <w:r>
        <w:t>планировании закупок товаров, работ</w:t>
      </w:r>
      <w:proofErr w:type="gramStart"/>
      <w:r>
        <w:t xml:space="preserve"> ,</w:t>
      </w:r>
      <w:proofErr w:type="gramEnd"/>
      <w:r>
        <w:t xml:space="preserve"> услуг </w:t>
      </w:r>
      <w:r w:rsidRPr="005C320F">
        <w:t xml:space="preserve"> на 2022 год и плановый период 2023 и 2024 годов </w:t>
      </w:r>
      <w:r w:rsidRPr="005C320F">
        <w:rPr>
          <w:bCs/>
        </w:rPr>
        <w:t>необходимо руководствоваться</w:t>
      </w:r>
      <w:r w:rsidRPr="005C320F">
        <w:t xml:space="preserve"> Приказ</w:t>
      </w:r>
      <w:r>
        <w:t>ом</w:t>
      </w:r>
      <w:r w:rsidRPr="005C320F">
        <w:t xml:space="preserve"> Министерства финансов РФ</w:t>
      </w:r>
      <w:r>
        <w:t xml:space="preserve"> </w:t>
      </w:r>
      <w:hyperlink r:id="rId24" w:anchor="/document/99/560411832/XA00M1S2LR/" w:history="1">
        <w:r w:rsidRPr="0044590C">
          <w:rPr>
            <w:b/>
          </w:rPr>
          <w:t>от 6 июня 2019 г. № 85н</w:t>
        </w:r>
        <w:r w:rsidRPr="0044590C">
          <w:rPr>
            <w:rStyle w:val="a5"/>
            <w:b/>
            <w:color w:val="auto"/>
            <w:u w:val="none"/>
          </w:rPr>
          <w:t xml:space="preserve">  «</w:t>
        </w:r>
        <w:r w:rsidRPr="0044590C">
          <w:rPr>
            <w:rStyle w:val="a5"/>
            <w:color w:val="auto"/>
            <w:u w:val="none"/>
          </w:rPr>
          <w:t>О Порядке формирования и применения кодов бюджетной классификации Российской Федерации, их структуре и принципах назначения</w:t>
        </w:r>
      </w:hyperlink>
      <w:r w:rsidRPr="0044590C">
        <w:t>»</w:t>
      </w:r>
      <w:r>
        <w:t xml:space="preserve"> </w:t>
      </w:r>
      <w:r w:rsidRPr="0044590C">
        <w:t>(с учетом внесенных изменений)</w:t>
      </w:r>
      <w:r w:rsidRPr="000520EB">
        <w:t>.</w:t>
      </w:r>
    </w:p>
    <w:p w:rsidR="00AF7A2A" w:rsidRDefault="00AF7A2A" w:rsidP="00CC427D">
      <w:pPr>
        <w:autoSpaceDE w:val="0"/>
        <w:autoSpaceDN w:val="0"/>
        <w:adjustRightInd w:val="0"/>
        <w:spacing w:line="120" w:lineRule="auto"/>
        <w:jc w:val="both"/>
        <w:outlineLvl w:val="0"/>
      </w:pPr>
    </w:p>
    <w:p w:rsidR="005C1766" w:rsidRPr="008B2D8A" w:rsidRDefault="005C1766" w:rsidP="00974125">
      <w:pPr>
        <w:spacing w:line="264" w:lineRule="auto"/>
        <w:jc w:val="both"/>
      </w:pPr>
      <w:r w:rsidRPr="008B2D8A">
        <w:rPr>
          <w:b/>
        </w:rPr>
        <w:t>3.1. П</w:t>
      </w:r>
      <w:r w:rsidR="00A62C7B">
        <w:rPr>
          <w:b/>
        </w:rPr>
        <w:t>ланы</w:t>
      </w:r>
      <w:r w:rsidR="00CB353C" w:rsidRPr="008B2D8A">
        <w:rPr>
          <w:b/>
        </w:rPr>
        <w:t xml:space="preserve"> </w:t>
      </w:r>
      <w:r w:rsidR="00A62C7B">
        <w:rPr>
          <w:b/>
        </w:rPr>
        <w:t>–</w:t>
      </w:r>
      <w:r w:rsidRPr="008B2D8A">
        <w:rPr>
          <w:b/>
        </w:rPr>
        <w:t xml:space="preserve"> </w:t>
      </w:r>
      <w:r w:rsidR="00A62C7B">
        <w:rPr>
          <w:b/>
        </w:rPr>
        <w:t>графики закупок</w:t>
      </w:r>
      <w:r w:rsidRPr="008B2D8A">
        <w:t xml:space="preserve"> </w:t>
      </w:r>
    </w:p>
    <w:p w:rsidR="006D24BE" w:rsidRDefault="006D24BE" w:rsidP="00974125">
      <w:pPr>
        <w:shd w:val="clear" w:color="auto" w:fill="FFFFFF"/>
        <w:spacing w:line="120" w:lineRule="auto"/>
        <w:ind w:firstLine="426"/>
        <w:jc w:val="both"/>
        <w:textAlignment w:val="baseline"/>
        <w:rPr>
          <w:rFonts w:ascii="IBM Plex Sans" w:hAnsi="IBM Plex Sans"/>
          <w:i/>
          <w:iCs/>
          <w:color w:val="444444"/>
          <w:bdr w:val="none" w:sz="0" w:space="0" w:color="auto" w:frame="1"/>
        </w:rPr>
      </w:pPr>
      <w:r>
        <w:rPr>
          <w:rFonts w:ascii="IBM Plex Sans" w:hAnsi="IBM Plex Sans"/>
          <w:i/>
          <w:iCs/>
          <w:color w:val="444444"/>
          <w:bdr w:val="none" w:sz="0" w:space="0" w:color="auto" w:frame="1"/>
        </w:rPr>
        <w:t xml:space="preserve">       </w:t>
      </w:r>
    </w:p>
    <w:p w:rsidR="006D24BE" w:rsidRPr="00274A92" w:rsidRDefault="006D24BE" w:rsidP="00974125">
      <w:pPr>
        <w:shd w:val="clear" w:color="auto" w:fill="FFFFFF"/>
        <w:ind w:firstLine="426"/>
        <w:jc w:val="both"/>
        <w:textAlignment w:val="baseline"/>
        <w:rPr>
          <w:iCs/>
        </w:rPr>
      </w:pPr>
      <w:r w:rsidRPr="00403CFA">
        <w:rPr>
          <w:iCs/>
          <w:color w:val="000000"/>
        </w:rPr>
        <w:t xml:space="preserve">В </w:t>
      </w:r>
      <w:r w:rsidRPr="00274A92">
        <w:rPr>
          <w:iCs/>
        </w:rPr>
        <w:t xml:space="preserve">соответствии с </w:t>
      </w:r>
      <w:r w:rsidRPr="00274A92">
        <w:rPr>
          <w:rStyle w:val="af"/>
          <w:rFonts w:cs="Times New Roman CYR"/>
          <w:b/>
          <w:color w:val="auto"/>
        </w:rPr>
        <w:t>частью 2 статьи 72</w:t>
      </w:r>
      <w:r w:rsidRPr="00274A92">
        <w:rPr>
          <w:iCs/>
        </w:rPr>
        <w:t xml:space="preserve"> Бюджетного Кодекса РФ государственные контракты заключаются в соответствии с Планом-графиком закупок товаров, работ, услуг для обеспечения государственных нужд, сформированным и утвержденным в порядке, установленном Законом о контрактной системе. </w:t>
      </w:r>
    </w:p>
    <w:p w:rsidR="00166736" w:rsidRDefault="00166736" w:rsidP="00166736">
      <w:pPr>
        <w:autoSpaceDE w:val="0"/>
        <w:autoSpaceDN w:val="0"/>
        <w:adjustRightInd w:val="0"/>
        <w:jc w:val="both"/>
        <w:rPr>
          <w:rFonts w:eastAsia="Calibri"/>
        </w:rPr>
      </w:pPr>
      <w:r w:rsidRPr="00274A92">
        <w:rPr>
          <w:rFonts w:eastAsia="Calibri"/>
        </w:rPr>
        <w:t xml:space="preserve">       План-график включает информацию о закупках, </w:t>
      </w:r>
      <w:proofErr w:type="gramStart"/>
      <w:r w:rsidRPr="00274A92">
        <w:rPr>
          <w:rFonts w:eastAsia="Calibri"/>
        </w:rPr>
        <w:t>извещения</w:t>
      </w:r>
      <w:proofErr w:type="gramEnd"/>
      <w:r w:rsidRPr="00274A92">
        <w:rPr>
          <w:rFonts w:eastAsia="Calibri"/>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C82730" w:rsidRDefault="00C82730" w:rsidP="00C82730">
      <w:pPr>
        <w:autoSpaceDE w:val="0"/>
        <w:autoSpaceDN w:val="0"/>
        <w:adjustRightInd w:val="0"/>
        <w:jc w:val="both"/>
        <w:rPr>
          <w:rFonts w:eastAsia="Calibri"/>
        </w:rPr>
      </w:pPr>
      <w:r>
        <w:rPr>
          <w:rFonts w:eastAsia="Calibri"/>
        </w:rPr>
        <w:t xml:space="preserve">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r:id="rId25" w:history="1">
        <w:r w:rsidRPr="00C82730">
          <w:rPr>
            <w:rFonts w:eastAsia="Calibri"/>
          </w:rPr>
          <w:t>части 2</w:t>
        </w:r>
      </w:hyperlink>
      <w:r w:rsidRPr="00C82730">
        <w:rPr>
          <w:rFonts w:eastAsia="Calibri"/>
        </w:rPr>
        <w:t xml:space="preserve"> </w:t>
      </w:r>
      <w:r>
        <w:rPr>
          <w:rFonts w:eastAsia="Calibri"/>
        </w:rPr>
        <w:t>статьи 16 Закона №44- ФЗ информация вносится в планы-графики закупок на весь срок планируемых закупок.</w:t>
      </w:r>
    </w:p>
    <w:p w:rsidR="00316C30" w:rsidRPr="00274A92" w:rsidRDefault="00316C30" w:rsidP="00316C30">
      <w:pPr>
        <w:autoSpaceDE w:val="0"/>
        <w:autoSpaceDN w:val="0"/>
        <w:adjustRightInd w:val="0"/>
        <w:jc w:val="both"/>
        <w:rPr>
          <w:rFonts w:eastAsia="Calibri"/>
        </w:rPr>
      </w:pPr>
      <w:r w:rsidRPr="00274A92">
        <w:rPr>
          <w:rFonts w:eastAsia="Calibri"/>
          <w:bCs/>
        </w:rPr>
        <w:t xml:space="preserve">      </w:t>
      </w:r>
      <w:r w:rsidR="00166736" w:rsidRPr="00274A92">
        <w:rPr>
          <w:rFonts w:eastAsia="Calibri"/>
          <w:bCs/>
        </w:rPr>
        <w:t>План-график формируется на срок</w:t>
      </w:r>
      <w:proofErr w:type="gramStart"/>
      <w:r w:rsidR="00166736" w:rsidRPr="00274A92">
        <w:rPr>
          <w:rFonts w:eastAsia="Calibri"/>
          <w:bCs/>
        </w:rPr>
        <w:t xml:space="preserve"> ,</w:t>
      </w:r>
      <w:proofErr w:type="gramEnd"/>
      <w:r w:rsidR="00166736" w:rsidRPr="00274A92">
        <w:rPr>
          <w:rFonts w:eastAsia="Calibri"/>
          <w:bCs/>
        </w:rPr>
        <w:t xml:space="preserve"> соответствующий сроку действия закона о  бюджете </w:t>
      </w:r>
      <w:r w:rsidRPr="00274A92">
        <w:t xml:space="preserve">(муниципального правового акта) за счет которого финансируются закупки </w:t>
      </w:r>
      <w:r w:rsidRPr="00274A92">
        <w:rPr>
          <w:rFonts w:eastAsia="Calibri"/>
          <w:bCs/>
        </w:rPr>
        <w:t>на очередной финансовый год и плановый период</w:t>
      </w:r>
      <w:r w:rsidRPr="00274A92">
        <w:t>, (</w:t>
      </w:r>
      <w:hyperlink r:id="rId26" w:history="1">
        <w:r w:rsidRPr="00274A92">
          <w:rPr>
            <w:rStyle w:val="af"/>
            <w:rFonts w:cs="Times New Roman CYR"/>
            <w:b/>
            <w:color w:val="auto"/>
          </w:rPr>
          <w:t>ч. 5 ст. 16</w:t>
        </w:r>
      </w:hyperlink>
      <w:r w:rsidRPr="00274A92">
        <w:t xml:space="preserve"> Закона N 44-ФЗ, </w:t>
      </w:r>
      <w:hyperlink r:id="rId27" w:history="1">
        <w:r w:rsidRPr="00274A92">
          <w:rPr>
            <w:rStyle w:val="af"/>
            <w:rFonts w:cs="Times New Roman CYR"/>
            <w:b/>
            <w:color w:val="auto"/>
          </w:rPr>
          <w:t>п. 4</w:t>
        </w:r>
      </w:hyperlink>
      <w:r w:rsidRPr="00274A92">
        <w:t xml:space="preserve"> Порядка N 1279).</w:t>
      </w:r>
    </w:p>
    <w:p w:rsidR="0042112C" w:rsidRDefault="009D43A5" w:rsidP="009D43A5">
      <w:pPr>
        <w:autoSpaceDE w:val="0"/>
        <w:autoSpaceDN w:val="0"/>
        <w:adjustRightInd w:val="0"/>
        <w:jc w:val="both"/>
        <w:rPr>
          <w:rFonts w:eastAsia="Calibri"/>
          <w:color w:val="000000"/>
        </w:rPr>
      </w:pPr>
      <w:r w:rsidRPr="00274A92">
        <w:rPr>
          <w:rFonts w:eastAsia="Calibri"/>
        </w:rPr>
        <w:t xml:space="preserve">       План-график формируется в соответствии с требованиями статьи 16  Закона №44-ФЗ  в процессе составления и рассмотрения проектов бюджетов бюджетной</w:t>
      </w:r>
      <w:r>
        <w:rPr>
          <w:rFonts w:eastAsia="Calibri"/>
        </w:rPr>
        <w:t xml:space="preserve"> системы Российской Федерации с учетом положений бюджетного законодательства РФ и утверждается  </w:t>
      </w:r>
      <w:r w:rsidR="0042112C" w:rsidRPr="0042112C">
        <w:rPr>
          <w:rFonts w:eastAsia="Calibri"/>
          <w:color w:val="000000"/>
        </w:rPr>
        <w:t>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roofErr w:type="gramStart"/>
      <w:r>
        <w:rPr>
          <w:rFonts w:eastAsia="Calibri"/>
          <w:color w:val="000000"/>
        </w:rPr>
        <w:t xml:space="preserve"> </w:t>
      </w:r>
      <w:r w:rsidR="0042112C" w:rsidRPr="0042112C">
        <w:rPr>
          <w:rFonts w:eastAsia="Calibri"/>
          <w:color w:val="000000"/>
        </w:rPr>
        <w:t>.</w:t>
      </w:r>
      <w:proofErr w:type="gramEnd"/>
      <w:r w:rsidR="0042112C" w:rsidRPr="0042112C">
        <w:rPr>
          <w:rFonts w:eastAsia="Calibri"/>
          <w:color w:val="000000"/>
        </w:rPr>
        <w:t xml:space="preserve"> </w:t>
      </w:r>
    </w:p>
    <w:p w:rsidR="006D24BE" w:rsidRPr="00316C30" w:rsidRDefault="00316C30" w:rsidP="00316C30">
      <w:pPr>
        <w:pStyle w:val="ConsPlusNormal"/>
        <w:jc w:val="both"/>
        <w:rPr>
          <w:rFonts w:ascii="Times New Roman" w:hAnsi="Times New Roman" w:cs="Times New Roman"/>
          <w:sz w:val="24"/>
          <w:szCs w:val="24"/>
        </w:rPr>
      </w:pPr>
      <w:r w:rsidRPr="0096594C">
        <w:rPr>
          <w:rFonts w:ascii="Times New Roman" w:hAnsi="Times New Roman" w:cs="Times New Roman"/>
          <w:color w:val="000000"/>
          <w:sz w:val="24"/>
          <w:szCs w:val="24"/>
        </w:rPr>
        <w:t xml:space="preserve">       </w:t>
      </w:r>
      <w:hyperlink r:id="rId28" w:history="1">
        <w:r w:rsidRPr="0096594C">
          <w:rPr>
            <w:rFonts w:ascii="Times New Roman" w:hAnsi="Times New Roman" w:cs="Times New Roman"/>
            <w:color w:val="000000"/>
            <w:sz w:val="24"/>
            <w:szCs w:val="24"/>
          </w:rPr>
          <w:t>Порядок</w:t>
        </w:r>
      </w:hyperlink>
      <w:r w:rsidRPr="0096594C">
        <w:rPr>
          <w:rFonts w:ascii="Times New Roman" w:hAnsi="Times New Roman" w:cs="Times New Roman"/>
          <w:color w:val="000000"/>
          <w:sz w:val="24"/>
          <w:szCs w:val="24"/>
        </w:rPr>
        <w:t xml:space="preserve"> формирования, утверждения, внесения изменений и размещения в ЕИС планов-графиков закупок,  как отмечалось  выше, утвержден Постановлением Правительства РФ от 30.09.2019 N 1279. </w:t>
      </w:r>
      <w:r w:rsidR="00FC3715" w:rsidRPr="00316C30">
        <w:rPr>
          <w:rFonts w:ascii="Times New Roman" w:hAnsi="Times New Roman" w:cs="Times New Roman"/>
          <w:sz w:val="24"/>
          <w:szCs w:val="24"/>
        </w:rPr>
        <w:t>Форма документа теперь едина для всех заказчиков.</w:t>
      </w:r>
    </w:p>
    <w:p w:rsidR="00D542C2" w:rsidRDefault="006929CF" w:rsidP="00D542C2">
      <w:pPr>
        <w:autoSpaceDE w:val="0"/>
        <w:autoSpaceDN w:val="0"/>
        <w:adjustRightInd w:val="0"/>
        <w:ind w:firstLine="426"/>
        <w:jc w:val="both"/>
      </w:pPr>
      <w:r w:rsidRPr="000A4FE7">
        <w:rPr>
          <w:b/>
          <w:bCs/>
        </w:rPr>
        <w:t>Как рассчитать СГОЗ для планирования</w:t>
      </w:r>
      <w:r>
        <w:t xml:space="preserve">. </w:t>
      </w:r>
      <w:r w:rsidR="00D542C2" w:rsidRPr="00D542C2">
        <w:t>Перед тем как заполнять план-график</w:t>
      </w:r>
      <w:proofErr w:type="gramStart"/>
      <w:r w:rsidR="00D542C2">
        <w:t xml:space="preserve"> </w:t>
      </w:r>
      <w:r w:rsidR="00D542C2" w:rsidRPr="00D542C2">
        <w:t>,</w:t>
      </w:r>
      <w:proofErr w:type="gramEnd"/>
      <w:r w:rsidR="00D542C2" w:rsidRPr="00D542C2">
        <w:t xml:space="preserve"> </w:t>
      </w:r>
      <w:r w:rsidR="00D542C2">
        <w:t xml:space="preserve">необходимо </w:t>
      </w:r>
      <w:r w:rsidR="00D542C2" w:rsidRPr="00D542C2">
        <w:t>рассчита</w:t>
      </w:r>
      <w:r w:rsidR="00D542C2">
        <w:t>ть</w:t>
      </w:r>
      <w:r w:rsidR="00D542C2" w:rsidRPr="00D542C2">
        <w:t xml:space="preserve"> совокупный годовой объем закупок </w:t>
      </w:r>
      <w:r w:rsidR="00D542C2">
        <w:t xml:space="preserve"> </w:t>
      </w:r>
      <w:r w:rsidR="00D542C2" w:rsidRPr="00D542C2">
        <w:rPr>
          <w:b/>
        </w:rPr>
        <w:t>(СГОЗ)</w:t>
      </w:r>
      <w:r w:rsidR="00D542C2" w:rsidRPr="00D542C2">
        <w:t xml:space="preserve"> </w:t>
      </w:r>
      <w:r w:rsidR="00D542C2">
        <w:t xml:space="preserve"> </w:t>
      </w:r>
      <w:r w:rsidR="00D542C2" w:rsidRPr="00D542C2">
        <w:t xml:space="preserve">на финансовый год, </w:t>
      </w:r>
      <w:r w:rsidR="00D542C2" w:rsidRPr="00AD79B0">
        <w:rPr>
          <w:rFonts w:eastAsia="Calibri"/>
          <w:color w:val="000000"/>
        </w:rPr>
        <w:t xml:space="preserve"> который согласно пункту 16 статьи 3 Закона № 44-ФЗ является утвержденным на соответствующий финансовый год общий объемом финансового обеспечения для осуществления заказчиком закупок в соответствии с Законом № 44-ФЗ, в том числе для оплаты контрактов, заключенных до начала указанного финансового года и подлежащих опла</w:t>
      </w:r>
      <w:r w:rsidR="00D542C2">
        <w:rPr>
          <w:rFonts w:eastAsia="Calibri"/>
          <w:color w:val="000000"/>
        </w:rPr>
        <w:t xml:space="preserve">те в указанном финансовом году, он </w:t>
      </w:r>
      <w:r w:rsidR="00D542C2" w:rsidRPr="00D542C2">
        <w:t> будет основой для других данных.</w:t>
      </w:r>
    </w:p>
    <w:p w:rsidR="006929CF" w:rsidRDefault="00D542C2" w:rsidP="000A4FE7">
      <w:pPr>
        <w:pStyle w:val="ad"/>
        <w:shd w:val="clear" w:color="auto" w:fill="FFFFFF"/>
        <w:spacing w:before="0" w:beforeAutospacing="0" w:after="0" w:afterAutospacing="0"/>
        <w:ind w:firstLine="426"/>
        <w:jc w:val="both"/>
      </w:pPr>
      <w:r>
        <w:rPr>
          <w:shd w:val="clear" w:color="auto" w:fill="FFFFFF"/>
        </w:rPr>
        <w:lastRenderedPageBreak/>
        <w:t xml:space="preserve">  </w:t>
      </w:r>
      <w:r w:rsidR="000A4FE7" w:rsidRPr="000A4FE7">
        <w:t>В рамках расчета СГОЗ заказчикам необходимо определить объем закупок у СМП и СОНО (</w:t>
      </w:r>
      <w:hyperlink r:id="rId29" w:anchor="XA00MD82NS" w:tgtFrame="_blank" w:history="1">
        <w:r w:rsidR="000A4FE7" w:rsidRPr="000A4FE7">
          <w:rPr>
            <w:rStyle w:val="a5"/>
            <w:color w:val="auto"/>
          </w:rPr>
          <w:t>ст. 30 Закона № 44-ФЗ</w:t>
        </w:r>
      </w:hyperlink>
      <w:r w:rsidR="000A4FE7" w:rsidRPr="000A4FE7">
        <w:t>), рассчитать лимиты закупок у единственного поставщика (</w:t>
      </w:r>
      <w:proofErr w:type="spellStart"/>
      <w:r w:rsidR="000A4FE7" w:rsidRPr="000A4FE7">
        <w:t>пп</w:t>
      </w:r>
      <w:proofErr w:type="spellEnd"/>
      <w:r w:rsidR="000A4FE7" w:rsidRPr="000A4FE7">
        <w:t>. </w:t>
      </w:r>
      <w:hyperlink r:id="rId30" w:anchor="ZAP1UVK3AE" w:tgtFrame="_blank" w:history="1">
        <w:r w:rsidR="000A4FE7" w:rsidRPr="000A4FE7">
          <w:rPr>
            <w:rStyle w:val="a5"/>
            <w:color w:val="auto"/>
          </w:rPr>
          <w:t>4</w:t>
        </w:r>
      </w:hyperlink>
      <w:r w:rsidR="000A4FE7" w:rsidRPr="000A4FE7">
        <w:t> и </w:t>
      </w:r>
      <w:hyperlink r:id="rId31" w:anchor="ZAP1VIK3D5" w:tgtFrame="_blank" w:history="1">
        <w:r w:rsidR="000A4FE7" w:rsidRPr="000A4FE7">
          <w:rPr>
            <w:rStyle w:val="a5"/>
            <w:color w:val="auto"/>
          </w:rPr>
          <w:t>5</w:t>
        </w:r>
      </w:hyperlink>
      <w:r w:rsidR="000A4FE7" w:rsidRPr="000A4FE7">
        <w:t xml:space="preserve"> ч. 1 ст. 93 Закона № 44-ФЗ) и определить лимиты закупок путем запроса котировок. </w:t>
      </w:r>
    </w:p>
    <w:p w:rsidR="000A4FE7" w:rsidRPr="000A4FE7" w:rsidRDefault="000A4FE7" w:rsidP="000A4FE7">
      <w:pPr>
        <w:pStyle w:val="ad"/>
        <w:shd w:val="clear" w:color="auto" w:fill="FFFFFF"/>
        <w:spacing w:before="0" w:beforeAutospacing="0" w:after="0" w:afterAutospacing="0"/>
        <w:ind w:firstLine="426"/>
        <w:jc w:val="both"/>
      </w:pPr>
      <w:r w:rsidRPr="000A4FE7">
        <w:t>От СГОЗ зависит, создавать контрактную службу или нет. Если СГОЗ превышает</w:t>
      </w:r>
      <w:r w:rsidR="006929CF">
        <w:t xml:space="preserve">    </w:t>
      </w:r>
      <w:r w:rsidRPr="000A4FE7">
        <w:t>100 млн</w:t>
      </w:r>
      <w:r w:rsidR="006929CF">
        <w:t>.</w:t>
      </w:r>
      <w:r w:rsidRPr="000A4FE7">
        <w:t xml:space="preserve"> руб., заказчик обязан создать контрактную службу. Если СГОЗ меньше </w:t>
      </w:r>
      <w:r w:rsidR="006929CF">
        <w:t xml:space="preserve">           </w:t>
      </w:r>
      <w:r w:rsidRPr="000A4FE7">
        <w:t>100 млн</w:t>
      </w:r>
      <w:r w:rsidR="006929CF">
        <w:t>.</w:t>
      </w:r>
      <w:r w:rsidRPr="000A4FE7">
        <w:t xml:space="preserve"> руб., достаточно назначить контрактного управляющего (</w:t>
      </w:r>
      <w:hyperlink r:id="rId32" w:anchor="ZAP20CK3FE" w:tgtFrame="_blank" w:history="1">
        <w:r w:rsidRPr="000A4FE7">
          <w:rPr>
            <w:rStyle w:val="a5"/>
            <w:color w:val="auto"/>
          </w:rPr>
          <w:t>ч. 1 ст. 38 Закона № 44-ФЗ</w:t>
        </w:r>
      </w:hyperlink>
      <w:r w:rsidRPr="000A4FE7">
        <w:t>).</w:t>
      </w:r>
    </w:p>
    <w:p w:rsidR="00D542C2" w:rsidRDefault="000A4FE7" w:rsidP="00225262">
      <w:pPr>
        <w:pStyle w:val="ad"/>
        <w:shd w:val="clear" w:color="auto" w:fill="FFFFFF"/>
        <w:spacing w:before="0" w:beforeAutospacing="0" w:after="0" w:afterAutospacing="0"/>
        <w:ind w:firstLine="426"/>
        <w:jc w:val="both"/>
        <w:rPr>
          <w:shd w:val="clear" w:color="auto" w:fill="FFFFFF"/>
        </w:rPr>
      </w:pPr>
      <w:r w:rsidRPr="000A4FE7">
        <w:t xml:space="preserve">В совокупный годовой объем закупок включают только деньги на закупки по Закону № 44-ФЗ. В СГОЗ учитывают закупки за счет двух источников финансирования — бюджетные средства и средства от деятельности, которая приносит доход. При расчете СГОЗ не нужно учитывать финансирование, которое идет на закупки по Закону № 223-ФЗ. </w:t>
      </w:r>
      <w:r w:rsidR="006929CF">
        <w:rPr>
          <w:shd w:val="clear" w:color="auto" w:fill="FFFFFF"/>
        </w:rPr>
        <w:t xml:space="preserve"> </w:t>
      </w:r>
      <w:r w:rsidR="00017437">
        <w:rPr>
          <w:shd w:val="clear" w:color="auto" w:fill="FFFFFF"/>
        </w:rPr>
        <w:t>В</w:t>
      </w:r>
      <w:r w:rsidR="00ED3885" w:rsidRPr="00D542C2">
        <w:rPr>
          <w:shd w:val="clear" w:color="auto" w:fill="FFFFFF"/>
        </w:rPr>
        <w:t xml:space="preserve"> новой форме </w:t>
      </w:r>
      <w:r w:rsidR="00D542C2" w:rsidRPr="00D542C2">
        <w:rPr>
          <w:shd w:val="clear" w:color="auto" w:fill="FFFFFF"/>
        </w:rPr>
        <w:t xml:space="preserve">планов-графиков </w:t>
      </w:r>
      <w:r w:rsidR="00D542C2">
        <w:rPr>
          <w:shd w:val="clear" w:color="auto" w:fill="FFFFFF"/>
        </w:rPr>
        <w:t>справочное значение СГО</w:t>
      </w:r>
      <w:r w:rsidR="00017437">
        <w:rPr>
          <w:shd w:val="clear" w:color="auto" w:fill="FFFFFF"/>
        </w:rPr>
        <w:t xml:space="preserve"> н</w:t>
      </w:r>
      <w:r w:rsidR="00017437" w:rsidRPr="00D542C2">
        <w:rPr>
          <w:shd w:val="clear" w:color="auto" w:fill="FFFFFF"/>
        </w:rPr>
        <w:t>е требуется указывать</w:t>
      </w:r>
      <w:r w:rsidR="00D542C2">
        <w:rPr>
          <w:shd w:val="clear" w:color="auto" w:fill="FFFFFF"/>
        </w:rPr>
        <w:t>.</w:t>
      </w:r>
      <w:r w:rsidR="00ED3885" w:rsidRPr="00D542C2">
        <w:rPr>
          <w:shd w:val="clear" w:color="auto" w:fill="FFFFFF"/>
        </w:rPr>
        <w:t xml:space="preserve"> </w:t>
      </w:r>
    </w:p>
    <w:p w:rsidR="00D542C2" w:rsidRDefault="00D542C2" w:rsidP="00D542C2">
      <w:pPr>
        <w:shd w:val="clear" w:color="auto" w:fill="FFFFFF"/>
        <w:jc w:val="both"/>
        <w:textAlignment w:val="baseline"/>
        <w:rPr>
          <w:shd w:val="clear" w:color="auto" w:fill="FFFFFF"/>
        </w:rPr>
      </w:pPr>
      <w:r>
        <w:rPr>
          <w:shd w:val="clear" w:color="auto" w:fill="FFFFFF"/>
        </w:rPr>
        <w:t xml:space="preserve">      </w:t>
      </w:r>
      <w:r w:rsidR="00ED3885" w:rsidRPr="00D542C2">
        <w:rPr>
          <w:shd w:val="clear" w:color="auto" w:fill="FFFFFF"/>
        </w:rPr>
        <w:t>Вместо этого необходимо внести общую сумму, выделенную на закупочную деятельность, и указать отдельные ее составляющие в виде кодов бюджетной классификации (КБК) и кодов вида расходов (КВР).</w:t>
      </w:r>
    </w:p>
    <w:p w:rsidR="006929CF" w:rsidRPr="000A4FE7" w:rsidRDefault="006929CF" w:rsidP="006929CF">
      <w:pPr>
        <w:pStyle w:val="ad"/>
        <w:shd w:val="clear" w:color="auto" w:fill="FFFFFF"/>
        <w:spacing w:before="0" w:beforeAutospacing="0" w:after="0" w:afterAutospacing="0"/>
        <w:ind w:firstLine="426"/>
        <w:jc w:val="both"/>
      </w:pPr>
      <w:r w:rsidRPr="006929CF">
        <w:rPr>
          <w:b/>
        </w:rPr>
        <w:t>Объем финансового обеспечения</w:t>
      </w:r>
      <w:r w:rsidRPr="000A4FE7">
        <w:t> — это лим</w:t>
      </w:r>
      <w:r>
        <w:t>иты бюджетных обязательств на текущий год</w:t>
      </w:r>
      <w:r w:rsidRPr="000A4FE7">
        <w:t>. Для бюджетных учреждений и унитарных предприятий объем обеспечения приведен в плане финансово-хозяйственной деятельности (</w:t>
      </w:r>
      <w:hyperlink r:id="rId33" w:tgtFrame="_blank" w:history="1">
        <w:r w:rsidRPr="000A4FE7">
          <w:rPr>
            <w:rStyle w:val="a5"/>
            <w:color w:val="auto"/>
          </w:rPr>
          <w:t>письмо Минэкономразвития от 22.07.2016 № Д28и-1880</w:t>
        </w:r>
      </w:hyperlink>
      <w:r w:rsidRPr="000A4FE7">
        <w:t>). Деньги на контракты, которые заключ</w:t>
      </w:r>
      <w:r>
        <w:t xml:space="preserve">аются и оплачиваются </w:t>
      </w:r>
      <w:r w:rsidRPr="000A4FE7">
        <w:t>в текущем году, полностью учитыва</w:t>
      </w:r>
      <w:r>
        <w:t xml:space="preserve">ются </w:t>
      </w:r>
      <w:r w:rsidRPr="000A4FE7">
        <w:t xml:space="preserve">в СГОЗ. В переходящих контрактах в СГОЗ </w:t>
      </w:r>
      <w:r>
        <w:t xml:space="preserve">необходимо брать  </w:t>
      </w:r>
      <w:r w:rsidRPr="000A4FE7">
        <w:t>только средства, которые опла</w:t>
      </w:r>
      <w:r>
        <w:t xml:space="preserve">чиваются только </w:t>
      </w:r>
      <w:r w:rsidRPr="000A4FE7">
        <w:t xml:space="preserve"> в текущем году.</w:t>
      </w:r>
    </w:p>
    <w:p w:rsidR="00AD476B" w:rsidRDefault="00AD476B" w:rsidP="00974125">
      <w:pPr>
        <w:autoSpaceDE w:val="0"/>
        <w:autoSpaceDN w:val="0"/>
        <w:adjustRightInd w:val="0"/>
        <w:ind w:firstLine="426"/>
        <w:jc w:val="both"/>
        <w:rPr>
          <w:rFonts w:eastAsia="Calibri"/>
        </w:rPr>
      </w:pPr>
      <w:r>
        <w:rPr>
          <w:rFonts w:eastAsia="Calibri"/>
          <w:color w:val="000000"/>
        </w:rPr>
        <w:t xml:space="preserve">Согласно данным ЕИС </w:t>
      </w:r>
      <w:r w:rsidRPr="00DE6A4B">
        <w:rPr>
          <w:rFonts w:eastAsia="Calibri"/>
          <w:b/>
          <w:color w:val="000000"/>
        </w:rPr>
        <w:t>в</w:t>
      </w:r>
      <w:r w:rsidR="00AD79B0" w:rsidRPr="00DE6A4B">
        <w:rPr>
          <w:rFonts w:eastAsia="Calibri"/>
          <w:b/>
          <w:color w:val="000000"/>
        </w:rPr>
        <w:t xml:space="preserve"> </w:t>
      </w:r>
      <w:r w:rsidR="00AD79B0" w:rsidRPr="00DE6A4B">
        <w:rPr>
          <w:rFonts w:eastAsia="Calibri"/>
          <w:b/>
        </w:rPr>
        <w:t>20</w:t>
      </w:r>
      <w:r w:rsidR="00A463FC">
        <w:rPr>
          <w:rFonts w:eastAsia="Calibri"/>
          <w:b/>
        </w:rPr>
        <w:t>22</w:t>
      </w:r>
      <w:r w:rsidR="00AD79B0" w:rsidRPr="00DE6A4B">
        <w:rPr>
          <w:rFonts w:eastAsia="Calibri"/>
          <w:b/>
        </w:rPr>
        <w:t xml:space="preserve"> году</w:t>
      </w:r>
      <w:r w:rsidR="00AD79B0" w:rsidRPr="00AD79B0">
        <w:rPr>
          <w:rFonts w:eastAsia="Calibri"/>
        </w:rPr>
        <w:t xml:space="preserve"> </w:t>
      </w:r>
      <w:r>
        <w:rPr>
          <w:rFonts w:eastAsia="Calibri"/>
        </w:rPr>
        <w:t xml:space="preserve">всеми  заказчиками размещено </w:t>
      </w:r>
      <w:r w:rsidR="00B05080" w:rsidRPr="00B05080">
        <w:rPr>
          <w:rFonts w:eastAsia="Calibri"/>
          <w:b/>
        </w:rPr>
        <w:t>4</w:t>
      </w:r>
      <w:r w:rsidR="00A463FC">
        <w:rPr>
          <w:rFonts w:eastAsia="Calibri"/>
          <w:b/>
        </w:rPr>
        <w:t>82</w:t>
      </w:r>
      <w:r w:rsidR="00B05080" w:rsidRPr="00B05080">
        <w:rPr>
          <w:rFonts w:eastAsia="Calibri"/>
          <w:b/>
        </w:rPr>
        <w:t xml:space="preserve"> </w:t>
      </w:r>
      <w:r w:rsidRPr="00B05080">
        <w:rPr>
          <w:rFonts w:eastAsia="Calibri"/>
          <w:b/>
        </w:rPr>
        <w:t>версий</w:t>
      </w:r>
      <w:r>
        <w:rPr>
          <w:rFonts w:eastAsia="Calibri"/>
        </w:rPr>
        <w:t xml:space="preserve"> Планов-графиков</w:t>
      </w:r>
      <w:r w:rsidR="00024B6A">
        <w:rPr>
          <w:rFonts w:eastAsia="Calibri"/>
        </w:rPr>
        <w:t xml:space="preserve"> на 20</w:t>
      </w:r>
      <w:r w:rsidR="00C55321">
        <w:rPr>
          <w:rFonts w:eastAsia="Calibri"/>
        </w:rPr>
        <w:t>22</w:t>
      </w:r>
      <w:r w:rsidR="00024B6A">
        <w:rPr>
          <w:rFonts w:eastAsia="Calibri"/>
        </w:rPr>
        <w:t xml:space="preserve"> финансовый год и плановый период 20</w:t>
      </w:r>
      <w:r w:rsidR="00C55321">
        <w:rPr>
          <w:rFonts w:eastAsia="Calibri"/>
        </w:rPr>
        <w:t xml:space="preserve">23 </w:t>
      </w:r>
      <w:r w:rsidR="00024B6A">
        <w:rPr>
          <w:rFonts w:eastAsia="Calibri"/>
        </w:rPr>
        <w:t>и 20</w:t>
      </w:r>
      <w:r w:rsidR="00C55321">
        <w:rPr>
          <w:rFonts w:eastAsia="Calibri"/>
        </w:rPr>
        <w:t>24</w:t>
      </w:r>
      <w:r w:rsidR="00024B6A">
        <w:rPr>
          <w:rFonts w:eastAsia="Calibri"/>
        </w:rPr>
        <w:t xml:space="preserve"> годов</w:t>
      </w:r>
      <w:r>
        <w:rPr>
          <w:rFonts w:eastAsia="Calibri"/>
        </w:rPr>
        <w:t xml:space="preserve">. </w:t>
      </w:r>
      <w:r w:rsidR="00F81886">
        <w:rPr>
          <w:rFonts w:eastAsia="Calibri"/>
        </w:rPr>
        <w:t xml:space="preserve">За аналогичный период </w:t>
      </w:r>
      <w:r w:rsidR="00024B6A">
        <w:rPr>
          <w:rFonts w:eastAsia="Calibri"/>
        </w:rPr>
        <w:t xml:space="preserve"> </w:t>
      </w:r>
      <w:r w:rsidR="00F81886">
        <w:rPr>
          <w:rFonts w:eastAsia="Calibri"/>
        </w:rPr>
        <w:t>20</w:t>
      </w:r>
      <w:r w:rsidR="00C55321">
        <w:rPr>
          <w:rFonts w:eastAsia="Calibri"/>
        </w:rPr>
        <w:t>22</w:t>
      </w:r>
      <w:r w:rsidR="00F81886">
        <w:rPr>
          <w:rFonts w:eastAsia="Calibri"/>
        </w:rPr>
        <w:t xml:space="preserve"> года заказчиками было размещено </w:t>
      </w:r>
      <w:r w:rsidR="00BA5B4A">
        <w:rPr>
          <w:rFonts w:eastAsia="Calibri"/>
        </w:rPr>
        <w:t xml:space="preserve">меньшее </w:t>
      </w:r>
      <w:r w:rsidR="00F81886">
        <w:rPr>
          <w:rFonts w:eastAsia="Calibri"/>
        </w:rPr>
        <w:t xml:space="preserve"> количество </w:t>
      </w:r>
      <w:r w:rsidR="00911A49">
        <w:rPr>
          <w:rFonts w:eastAsia="Calibri"/>
        </w:rPr>
        <w:t xml:space="preserve">версий – </w:t>
      </w:r>
      <w:r w:rsidR="00B97228">
        <w:rPr>
          <w:rFonts w:eastAsia="Calibri"/>
        </w:rPr>
        <w:t xml:space="preserve"> </w:t>
      </w:r>
      <w:r w:rsidR="00DE6A4B">
        <w:rPr>
          <w:rFonts w:eastAsia="Calibri"/>
        </w:rPr>
        <w:t>4</w:t>
      </w:r>
      <w:r w:rsidR="00BA5B4A">
        <w:rPr>
          <w:rFonts w:eastAsia="Calibri"/>
        </w:rPr>
        <w:t>32</w:t>
      </w:r>
      <w:r w:rsidR="00911A49">
        <w:rPr>
          <w:rFonts w:eastAsia="Calibri"/>
        </w:rPr>
        <w:t xml:space="preserve">. </w:t>
      </w:r>
    </w:p>
    <w:p w:rsidR="00491BB6" w:rsidRDefault="00491BB6" w:rsidP="002720C9">
      <w:pPr>
        <w:autoSpaceDE w:val="0"/>
        <w:autoSpaceDN w:val="0"/>
        <w:adjustRightInd w:val="0"/>
        <w:ind w:firstLine="425"/>
        <w:jc w:val="both"/>
      </w:pPr>
      <w:r>
        <w:t>Как следует из содержащейся</w:t>
      </w:r>
      <w:r w:rsidR="00F75094">
        <w:t xml:space="preserve"> </w:t>
      </w:r>
      <w:r w:rsidR="001A2FA3">
        <w:t xml:space="preserve"> </w:t>
      </w:r>
      <w:r w:rsidR="00F75094">
        <w:t xml:space="preserve">в Единой информационной системе информации планов – графиков закупок, содержащихся закупки </w:t>
      </w:r>
      <w:r w:rsidR="0002328E">
        <w:t>отчетного периода, осуществлялось заказчиками, как в отчетном периоде, так и заблаговременно до его наступления.</w:t>
      </w:r>
      <w:r>
        <w:t xml:space="preserve"> </w:t>
      </w:r>
    </w:p>
    <w:p w:rsidR="00491BB6" w:rsidRDefault="0002328E" w:rsidP="002720C9">
      <w:pPr>
        <w:autoSpaceDE w:val="0"/>
        <w:autoSpaceDN w:val="0"/>
        <w:adjustRightInd w:val="0"/>
        <w:ind w:firstLine="425"/>
        <w:jc w:val="both"/>
      </w:pPr>
      <w:r>
        <w:t xml:space="preserve">При этом  в отчетном периоде  размещено  </w:t>
      </w:r>
      <w:r>
        <w:rPr>
          <w:b/>
        </w:rPr>
        <w:t>9</w:t>
      </w:r>
      <w:r w:rsidR="000B0F94">
        <w:rPr>
          <w:b/>
        </w:rPr>
        <w:t>9,8</w:t>
      </w:r>
      <w:r w:rsidRPr="0002328E">
        <w:rPr>
          <w:b/>
        </w:rPr>
        <w:t xml:space="preserve">% </w:t>
      </w:r>
      <w:r>
        <w:rPr>
          <w:b/>
        </w:rPr>
        <w:t xml:space="preserve"> </w:t>
      </w:r>
      <w:r w:rsidRPr="0002328E">
        <w:t>планов – графиков</w:t>
      </w:r>
      <w:r>
        <w:t xml:space="preserve"> закупок, закупки которых запланировано осуществить в 2022 году.</w:t>
      </w:r>
    </w:p>
    <w:p w:rsidR="00AD79B0" w:rsidRDefault="00911A49" w:rsidP="002720C9">
      <w:pPr>
        <w:autoSpaceDE w:val="0"/>
        <w:autoSpaceDN w:val="0"/>
        <w:adjustRightInd w:val="0"/>
        <w:ind w:firstLine="425"/>
        <w:jc w:val="both"/>
        <w:rPr>
          <w:rFonts w:eastAsia="Calibri"/>
        </w:rPr>
      </w:pPr>
      <w:r>
        <w:t>В соответствии с планами-графиками о</w:t>
      </w:r>
      <w:r w:rsidR="00F93255" w:rsidRPr="00B05080">
        <w:t xml:space="preserve">бщий объем финансового обеспечения, размещенный </w:t>
      </w:r>
      <w:r w:rsidR="00B05080">
        <w:t xml:space="preserve">всеми </w:t>
      </w:r>
      <w:r w:rsidR="00F93255" w:rsidRPr="00B05080">
        <w:t>заказчиками в планах-графиках закупок на 20</w:t>
      </w:r>
      <w:r w:rsidR="00BA5B4A">
        <w:t>22</w:t>
      </w:r>
      <w:r w:rsidR="00F93255" w:rsidRPr="00B05080">
        <w:t xml:space="preserve"> год</w:t>
      </w:r>
      <w:r w:rsidR="00024B6A">
        <w:t xml:space="preserve"> </w:t>
      </w:r>
      <w:r w:rsidR="00024B6A">
        <w:rPr>
          <w:rFonts w:eastAsia="Calibri"/>
        </w:rPr>
        <w:t xml:space="preserve">и плановый период </w:t>
      </w:r>
      <w:r w:rsidR="00B5069E">
        <w:rPr>
          <w:rFonts w:eastAsia="Calibri"/>
        </w:rPr>
        <w:t xml:space="preserve"> </w:t>
      </w:r>
      <w:r w:rsidR="00024B6A">
        <w:rPr>
          <w:rFonts w:eastAsia="Calibri"/>
        </w:rPr>
        <w:t>20</w:t>
      </w:r>
      <w:r w:rsidR="00BA5B4A">
        <w:rPr>
          <w:rFonts w:eastAsia="Calibri"/>
        </w:rPr>
        <w:t xml:space="preserve">23 </w:t>
      </w:r>
      <w:r w:rsidR="00024B6A">
        <w:rPr>
          <w:rFonts w:eastAsia="Calibri"/>
        </w:rPr>
        <w:t>и 20</w:t>
      </w:r>
      <w:r w:rsidR="00BA5B4A">
        <w:rPr>
          <w:rFonts w:eastAsia="Calibri"/>
        </w:rPr>
        <w:t>24</w:t>
      </w:r>
      <w:r w:rsidR="00024B6A">
        <w:rPr>
          <w:rFonts w:eastAsia="Calibri"/>
        </w:rPr>
        <w:t xml:space="preserve"> годов</w:t>
      </w:r>
      <w:r w:rsidR="00F93255" w:rsidRPr="00B05080">
        <w:t>, состав</w:t>
      </w:r>
      <w:r w:rsidR="00B05080">
        <w:t>ил</w:t>
      </w:r>
      <w:r w:rsidR="00F93255" w:rsidRPr="00B05080">
        <w:t xml:space="preserve"> </w:t>
      </w:r>
      <w:r w:rsidR="00B05080">
        <w:t xml:space="preserve"> </w:t>
      </w:r>
      <w:r w:rsidR="00CB2467">
        <w:rPr>
          <w:b/>
        </w:rPr>
        <w:t>1 268 756,0</w:t>
      </w:r>
      <w:r w:rsidR="00A53443">
        <w:rPr>
          <w:b/>
        </w:rPr>
        <w:t xml:space="preserve"> т</w:t>
      </w:r>
      <w:r w:rsidR="00B05080" w:rsidRPr="00B05080">
        <w:rPr>
          <w:b/>
        </w:rPr>
        <w:t>ыс. руб</w:t>
      </w:r>
      <w:r w:rsidR="00F81886">
        <w:rPr>
          <w:b/>
        </w:rPr>
        <w:t>.</w:t>
      </w:r>
      <w:r w:rsidR="00566D34">
        <w:rPr>
          <w:rFonts w:eastAsia="Calibri"/>
        </w:rPr>
        <w:t>,</w:t>
      </w:r>
      <w:r w:rsidR="00AD79B0" w:rsidRPr="00AD79B0">
        <w:rPr>
          <w:rFonts w:eastAsia="Calibri"/>
        </w:rPr>
        <w:t xml:space="preserve"> что на </w:t>
      </w:r>
      <w:r>
        <w:rPr>
          <w:rFonts w:eastAsia="Calibri"/>
        </w:rPr>
        <w:t xml:space="preserve"> </w:t>
      </w:r>
      <w:r w:rsidR="00CB2467">
        <w:rPr>
          <w:rFonts w:eastAsia="Calibri"/>
          <w:b/>
        </w:rPr>
        <w:t>110,9</w:t>
      </w:r>
      <w:r w:rsidR="00AD79B0" w:rsidRPr="00911A49">
        <w:rPr>
          <w:rFonts w:eastAsia="Calibri"/>
          <w:b/>
          <w:bCs/>
        </w:rPr>
        <w:t>%</w:t>
      </w:r>
      <w:r w:rsidR="00AD79B0" w:rsidRPr="00AD79B0">
        <w:rPr>
          <w:rFonts w:eastAsia="Calibri"/>
          <w:b/>
          <w:bCs/>
        </w:rPr>
        <w:t xml:space="preserve"> </w:t>
      </w:r>
      <w:r w:rsidR="00CB2467">
        <w:rPr>
          <w:rFonts w:eastAsia="Calibri"/>
        </w:rPr>
        <w:t>больше</w:t>
      </w:r>
      <w:r w:rsidR="00AD79B0" w:rsidRPr="00AD79B0">
        <w:rPr>
          <w:rFonts w:eastAsia="Calibri"/>
        </w:rPr>
        <w:t>, чем в планах-графиках, размещенных в 20</w:t>
      </w:r>
      <w:r w:rsidR="00CB2467">
        <w:rPr>
          <w:rFonts w:eastAsia="Calibri"/>
        </w:rPr>
        <w:t>21</w:t>
      </w:r>
      <w:r>
        <w:rPr>
          <w:rFonts w:eastAsia="Calibri"/>
        </w:rPr>
        <w:t xml:space="preserve"> году</w:t>
      </w:r>
      <w:proofErr w:type="gramStart"/>
      <w:r w:rsidR="00A53443">
        <w:rPr>
          <w:rFonts w:eastAsia="Calibri"/>
        </w:rPr>
        <w:t xml:space="preserve"> </w:t>
      </w:r>
      <w:r>
        <w:rPr>
          <w:rFonts w:eastAsia="Calibri"/>
        </w:rPr>
        <w:t>,</w:t>
      </w:r>
      <w:proofErr w:type="gramEnd"/>
      <w:r>
        <w:rPr>
          <w:rFonts w:eastAsia="Calibri"/>
        </w:rPr>
        <w:t xml:space="preserve"> в абсолютном выражении  </w:t>
      </w:r>
      <w:r w:rsidR="00CB2467">
        <w:rPr>
          <w:rFonts w:eastAsia="Calibri"/>
        </w:rPr>
        <w:t>рост</w:t>
      </w:r>
      <w:r>
        <w:rPr>
          <w:rFonts w:eastAsia="Calibri"/>
        </w:rPr>
        <w:t xml:space="preserve"> составил </w:t>
      </w:r>
      <w:r w:rsidR="00880126">
        <w:rPr>
          <w:rFonts w:eastAsia="Calibri"/>
        </w:rPr>
        <w:t xml:space="preserve">   </w:t>
      </w:r>
      <w:r>
        <w:rPr>
          <w:rFonts w:eastAsia="Calibri"/>
        </w:rPr>
        <w:t xml:space="preserve"> </w:t>
      </w:r>
      <w:r w:rsidR="00DE6A4B">
        <w:rPr>
          <w:rFonts w:eastAsia="Calibri"/>
          <w:b/>
        </w:rPr>
        <w:t>6</w:t>
      </w:r>
      <w:r w:rsidR="00CB2467">
        <w:rPr>
          <w:rFonts w:eastAsia="Calibri"/>
          <w:b/>
        </w:rPr>
        <w:t>67 104,3</w:t>
      </w:r>
      <w:r w:rsidR="00A53443">
        <w:rPr>
          <w:rFonts w:eastAsia="Calibri"/>
          <w:b/>
        </w:rPr>
        <w:t xml:space="preserve"> </w:t>
      </w:r>
      <w:r w:rsidRPr="00911A49">
        <w:rPr>
          <w:rFonts w:eastAsia="Calibri"/>
          <w:b/>
        </w:rPr>
        <w:t>тыс. руб</w:t>
      </w:r>
      <w:r>
        <w:rPr>
          <w:rFonts w:eastAsia="Calibri"/>
        </w:rPr>
        <w:t>. (Для сравнения – в 20</w:t>
      </w:r>
      <w:r w:rsidR="00CB2467">
        <w:rPr>
          <w:rFonts w:eastAsia="Calibri"/>
        </w:rPr>
        <w:t>21</w:t>
      </w:r>
      <w:r>
        <w:rPr>
          <w:rFonts w:eastAsia="Calibri"/>
        </w:rPr>
        <w:t xml:space="preserve"> году  </w:t>
      </w:r>
      <w:r>
        <w:t>о</w:t>
      </w:r>
      <w:r w:rsidRPr="00B05080">
        <w:t>бщий объем финансового обеспечения</w:t>
      </w:r>
      <w:r w:rsidRPr="00315045">
        <w:rPr>
          <w:rFonts w:eastAsia="Calibri"/>
          <w:b/>
        </w:rPr>
        <w:t xml:space="preserve"> </w:t>
      </w:r>
      <w:r>
        <w:rPr>
          <w:rFonts w:eastAsia="Calibri"/>
          <w:b/>
        </w:rPr>
        <w:t xml:space="preserve"> </w:t>
      </w:r>
      <w:r w:rsidRPr="002720C9">
        <w:rPr>
          <w:rFonts w:eastAsia="Calibri"/>
        </w:rPr>
        <w:t xml:space="preserve">составлял </w:t>
      </w:r>
      <w:r w:rsidR="00B4470C">
        <w:rPr>
          <w:rFonts w:eastAsia="Calibri"/>
        </w:rPr>
        <w:t xml:space="preserve"> </w:t>
      </w:r>
      <w:r w:rsidR="00CB2467">
        <w:rPr>
          <w:rFonts w:eastAsia="Calibri"/>
        </w:rPr>
        <w:t>601 651,7</w:t>
      </w:r>
      <w:r w:rsidR="00A53443">
        <w:rPr>
          <w:rFonts w:eastAsia="Calibri"/>
        </w:rPr>
        <w:t xml:space="preserve"> </w:t>
      </w:r>
      <w:r w:rsidRPr="002720C9">
        <w:rPr>
          <w:rFonts w:eastAsia="Calibri"/>
        </w:rPr>
        <w:t>тыс. руб.</w:t>
      </w:r>
      <w:r w:rsidR="00AD79B0" w:rsidRPr="002720C9">
        <w:rPr>
          <w:rFonts w:eastAsia="Calibri"/>
        </w:rPr>
        <w:t>)</w:t>
      </w:r>
      <w:proofErr w:type="gramStart"/>
      <w:r w:rsidR="00102A81">
        <w:rPr>
          <w:rFonts w:eastAsia="Calibri"/>
        </w:rPr>
        <w:t xml:space="preserve"> </w:t>
      </w:r>
      <w:r w:rsidR="00AD79B0" w:rsidRPr="002720C9">
        <w:rPr>
          <w:rFonts w:eastAsia="Calibri"/>
        </w:rPr>
        <w:t>.</w:t>
      </w:r>
      <w:proofErr w:type="gramEnd"/>
      <w:r w:rsidR="00AD79B0" w:rsidRPr="002720C9">
        <w:rPr>
          <w:rFonts w:eastAsia="Calibri"/>
        </w:rPr>
        <w:t xml:space="preserve"> </w:t>
      </w:r>
    </w:p>
    <w:p w:rsidR="00DE6A4B" w:rsidRPr="004E5725" w:rsidRDefault="00DE6A4B" w:rsidP="00225262">
      <w:pPr>
        <w:autoSpaceDE w:val="0"/>
        <w:autoSpaceDN w:val="0"/>
        <w:adjustRightInd w:val="0"/>
        <w:ind w:firstLine="425"/>
        <w:jc w:val="both"/>
        <w:rPr>
          <w:rFonts w:eastAsia="Calibri"/>
          <w:i/>
        </w:rPr>
      </w:pPr>
      <w:r w:rsidRPr="003A45F9">
        <w:rPr>
          <w:rFonts w:eastAsia="Calibri"/>
          <w:i/>
        </w:rPr>
        <w:t xml:space="preserve">Причины значительного  </w:t>
      </w:r>
      <w:r w:rsidR="00B453D1">
        <w:rPr>
          <w:rFonts w:eastAsia="Calibri"/>
          <w:i/>
        </w:rPr>
        <w:t>увеличения</w:t>
      </w:r>
      <w:r w:rsidRPr="003A45F9">
        <w:rPr>
          <w:rFonts w:eastAsia="Calibri"/>
          <w:i/>
        </w:rPr>
        <w:t xml:space="preserve">  стоимостного объема закупок  </w:t>
      </w:r>
      <w:r w:rsidR="00AE0E17">
        <w:rPr>
          <w:rFonts w:eastAsia="Calibri"/>
          <w:i/>
        </w:rPr>
        <w:t xml:space="preserve">могут быть </w:t>
      </w:r>
      <w:r w:rsidRPr="003A45F9">
        <w:rPr>
          <w:rFonts w:eastAsia="Calibri"/>
          <w:i/>
        </w:rPr>
        <w:t xml:space="preserve">связаны с началом </w:t>
      </w:r>
      <w:r w:rsidRPr="004E5725">
        <w:rPr>
          <w:i/>
        </w:rPr>
        <w:t>осуществления в 20</w:t>
      </w:r>
      <w:r w:rsidR="00B453D1">
        <w:rPr>
          <w:i/>
        </w:rPr>
        <w:t>22</w:t>
      </w:r>
      <w:r w:rsidRPr="004E5725">
        <w:rPr>
          <w:i/>
        </w:rPr>
        <w:t xml:space="preserve"> год</w:t>
      </w:r>
      <w:r w:rsidR="00BB139E">
        <w:rPr>
          <w:i/>
        </w:rPr>
        <w:t xml:space="preserve">у </w:t>
      </w:r>
      <w:r w:rsidRPr="004E5725">
        <w:rPr>
          <w:i/>
        </w:rPr>
        <w:t xml:space="preserve"> </w:t>
      </w:r>
      <w:r w:rsidR="00AE0E17" w:rsidRPr="004E5725">
        <w:rPr>
          <w:i/>
        </w:rPr>
        <w:t>капиталоемких закупок</w:t>
      </w:r>
      <w:r w:rsidR="004E5725" w:rsidRPr="004E5725">
        <w:rPr>
          <w:i/>
        </w:rPr>
        <w:t xml:space="preserve"> </w:t>
      </w:r>
      <w:r w:rsidR="004E5725" w:rsidRPr="004E5725">
        <w:rPr>
          <w:rFonts w:eastAsia="Calibri"/>
          <w:i/>
          <w:color w:val="000000"/>
        </w:rPr>
        <w:t>в рамках текущей деятельности заказчиков для решения стратегических задач, важнейших вопросов со</w:t>
      </w:r>
      <w:r w:rsidR="00D42BA8">
        <w:rPr>
          <w:rFonts w:eastAsia="Calibri"/>
          <w:i/>
          <w:color w:val="000000"/>
        </w:rPr>
        <w:t>циально-экономического развития</w:t>
      </w:r>
      <w:r w:rsidRPr="004E5725">
        <w:rPr>
          <w:i/>
        </w:rPr>
        <w:t>, а  также  с активной фазой реализации национальных и федеральных проектов в предыдущем периоде.</w:t>
      </w:r>
      <w:r w:rsidRPr="004E5725">
        <w:rPr>
          <w:rFonts w:eastAsia="Calibri"/>
          <w:i/>
        </w:rPr>
        <w:t xml:space="preserve"> </w:t>
      </w:r>
    </w:p>
    <w:p w:rsidR="00AE0E17" w:rsidRDefault="002720C9" w:rsidP="00AE0E17">
      <w:pPr>
        <w:ind w:firstLine="426"/>
        <w:jc w:val="both"/>
      </w:pPr>
      <w:r w:rsidRPr="002720C9">
        <w:t>Размер годового объема финансового обеспечения в соответствии с планами</w:t>
      </w:r>
      <w:r w:rsidR="00C24CE7">
        <w:t xml:space="preserve"> </w:t>
      </w:r>
      <w:proofErr w:type="gramStart"/>
      <w:r w:rsidRPr="002720C9">
        <w:t>-г</w:t>
      </w:r>
      <w:proofErr w:type="gramEnd"/>
      <w:r w:rsidRPr="002720C9">
        <w:t xml:space="preserve">рафиками </w:t>
      </w:r>
      <w:r w:rsidR="00B4470C">
        <w:t xml:space="preserve"> </w:t>
      </w:r>
      <w:r w:rsidRPr="002720C9">
        <w:t>для осуществления</w:t>
      </w:r>
      <w:r w:rsidR="00AE0E17">
        <w:t xml:space="preserve"> </w:t>
      </w:r>
      <w:r w:rsidR="00BB139E">
        <w:t xml:space="preserve"> </w:t>
      </w:r>
      <w:r w:rsidR="00AE0E17" w:rsidRPr="00AE0E17">
        <w:rPr>
          <w:b/>
        </w:rPr>
        <w:t xml:space="preserve">особых </w:t>
      </w:r>
      <w:r w:rsidRPr="00AE0E17">
        <w:rPr>
          <w:b/>
        </w:rPr>
        <w:t>закупок</w:t>
      </w:r>
      <w:r w:rsidR="00AE0E17">
        <w:t xml:space="preserve"> </w:t>
      </w:r>
      <w:r w:rsidR="00AE0E17" w:rsidRPr="00591FB1">
        <w:t xml:space="preserve"> </w:t>
      </w:r>
      <w:r w:rsidR="00AE0E17" w:rsidRPr="002720C9">
        <w:t xml:space="preserve">составил </w:t>
      </w:r>
      <w:r w:rsidR="00AE0E17">
        <w:t xml:space="preserve"> </w:t>
      </w:r>
      <w:r w:rsidR="00AE0E17" w:rsidRPr="00AE0E17">
        <w:rPr>
          <w:b/>
        </w:rPr>
        <w:t>1</w:t>
      </w:r>
      <w:r w:rsidR="00F7470C">
        <w:rPr>
          <w:b/>
        </w:rPr>
        <w:t>88 354,8</w:t>
      </w:r>
      <w:r w:rsidR="00AE0E17" w:rsidRPr="00AE0E17">
        <w:rPr>
          <w:b/>
        </w:rPr>
        <w:t xml:space="preserve"> тыс</w:t>
      </w:r>
      <w:r w:rsidR="00AE0E17" w:rsidRPr="00F076BD">
        <w:rPr>
          <w:b/>
        </w:rPr>
        <w:t>. руб</w:t>
      </w:r>
      <w:r w:rsidR="00AE0E17">
        <w:t>.</w:t>
      </w:r>
      <w:r w:rsidR="00AE0E17" w:rsidRPr="002720C9">
        <w:t xml:space="preserve"> (</w:t>
      </w:r>
      <w:r w:rsidR="00F7470C">
        <w:rPr>
          <w:b/>
        </w:rPr>
        <w:t>14,8</w:t>
      </w:r>
      <w:r w:rsidR="00AE0E17" w:rsidRPr="00AE0E17">
        <w:rPr>
          <w:b/>
        </w:rPr>
        <w:t>%</w:t>
      </w:r>
      <w:r w:rsidR="00AE0E17" w:rsidRPr="002720C9">
        <w:t xml:space="preserve"> от общего объема запланированных закупок)</w:t>
      </w:r>
      <w:r w:rsidR="00AE0E17">
        <w:t>.</w:t>
      </w:r>
      <w:r w:rsidR="00AE0E17" w:rsidRPr="002720C9">
        <w:t xml:space="preserve"> (</w:t>
      </w:r>
      <w:r w:rsidR="00AE0E17">
        <w:t xml:space="preserve">Для сравнения - </w:t>
      </w:r>
      <w:r w:rsidR="00AE0E17" w:rsidRPr="002720C9">
        <w:t xml:space="preserve">за </w:t>
      </w:r>
      <w:r w:rsidR="00AE0E17">
        <w:t xml:space="preserve"> </w:t>
      </w:r>
      <w:r w:rsidR="00AE0E17" w:rsidRPr="002720C9">
        <w:t>20</w:t>
      </w:r>
      <w:r w:rsidR="00C90127">
        <w:t xml:space="preserve">21 </w:t>
      </w:r>
      <w:r w:rsidR="00AE0E17" w:rsidRPr="002720C9">
        <w:t xml:space="preserve">год объем таких закупок составлял </w:t>
      </w:r>
      <w:r w:rsidR="00AE0E17">
        <w:t xml:space="preserve"> </w:t>
      </w:r>
      <w:r w:rsidR="00D37F4F">
        <w:t>149 179,1</w:t>
      </w:r>
      <w:r w:rsidR="00AE0E17">
        <w:t xml:space="preserve"> тыс. руб.</w:t>
      </w:r>
      <w:r w:rsidR="00AE0E17" w:rsidRPr="002720C9">
        <w:t>)</w:t>
      </w:r>
    </w:p>
    <w:p w:rsidR="00D56259" w:rsidRPr="00AE0E17" w:rsidRDefault="00D56259" w:rsidP="00FD43FE">
      <w:pPr>
        <w:spacing w:line="120" w:lineRule="auto"/>
        <w:ind w:firstLine="567"/>
        <w:jc w:val="both"/>
      </w:pPr>
    </w:p>
    <w:p w:rsidR="00BB139E" w:rsidRDefault="008A6525" w:rsidP="00BB139E">
      <w:pPr>
        <w:ind w:firstLine="567"/>
        <w:jc w:val="center"/>
        <w:rPr>
          <w:i/>
        </w:rPr>
      </w:pPr>
      <w:r w:rsidRPr="002F6E09">
        <w:rPr>
          <w:i/>
        </w:rPr>
        <w:t>Информация о количестве планов</w:t>
      </w:r>
      <w:r>
        <w:rPr>
          <w:i/>
        </w:rPr>
        <w:t xml:space="preserve"> - графиков</w:t>
      </w:r>
      <w:r w:rsidRPr="002F6E09">
        <w:rPr>
          <w:i/>
        </w:rPr>
        <w:t>, размещенных поселениями в 20</w:t>
      </w:r>
      <w:r w:rsidR="00F7470C">
        <w:rPr>
          <w:i/>
        </w:rPr>
        <w:t>22</w:t>
      </w:r>
      <w:r w:rsidRPr="002F6E09">
        <w:rPr>
          <w:i/>
        </w:rPr>
        <w:t xml:space="preserve"> году в ЕИС и </w:t>
      </w:r>
      <w:r w:rsidR="00024B6A">
        <w:rPr>
          <w:i/>
        </w:rPr>
        <w:t xml:space="preserve">общем объеме финансового обеспечения, размещенным </w:t>
      </w:r>
      <w:r w:rsidRPr="002F6E09">
        <w:rPr>
          <w:i/>
        </w:rPr>
        <w:t xml:space="preserve"> в  планах</w:t>
      </w:r>
      <w:r>
        <w:rPr>
          <w:i/>
        </w:rPr>
        <w:t xml:space="preserve"> – графиках </w:t>
      </w:r>
      <w:r w:rsidRPr="002F6E09">
        <w:rPr>
          <w:i/>
        </w:rPr>
        <w:t>закупках, представлен</w:t>
      </w:r>
      <w:r w:rsidR="00F61713">
        <w:rPr>
          <w:i/>
        </w:rPr>
        <w:t>а</w:t>
      </w:r>
      <w:r w:rsidRPr="002F6E09">
        <w:rPr>
          <w:i/>
        </w:rPr>
        <w:t xml:space="preserve"> в </w:t>
      </w:r>
      <w:r>
        <w:rPr>
          <w:i/>
        </w:rPr>
        <w:t xml:space="preserve"> </w:t>
      </w:r>
      <w:r w:rsidRPr="002F6E09">
        <w:rPr>
          <w:i/>
        </w:rPr>
        <w:t xml:space="preserve">Таблице </w:t>
      </w:r>
      <w:r w:rsidR="00024B6A">
        <w:rPr>
          <w:i/>
        </w:rPr>
        <w:t>1</w:t>
      </w:r>
      <w:r w:rsidR="00603EE5">
        <w:rPr>
          <w:i/>
        </w:rPr>
        <w:t xml:space="preserve">  </w:t>
      </w:r>
      <w:r w:rsidR="00024B6A">
        <w:rPr>
          <w:i/>
        </w:rPr>
        <w:t xml:space="preserve">                                        </w:t>
      </w:r>
    </w:p>
    <w:p w:rsidR="008A6525" w:rsidRPr="00BB139E" w:rsidRDefault="008A6525" w:rsidP="00BB139E">
      <w:pPr>
        <w:rPr>
          <w:i/>
        </w:rPr>
      </w:pPr>
      <w:r w:rsidRPr="008A6525">
        <w:rPr>
          <w:b/>
          <w:sz w:val="20"/>
          <w:szCs w:val="20"/>
        </w:rPr>
        <w:t xml:space="preserve">Таблица </w:t>
      </w:r>
      <w:r w:rsidR="00024B6A">
        <w:rPr>
          <w:b/>
          <w:sz w:val="20"/>
          <w:szCs w:val="20"/>
        </w:rPr>
        <w:t>1</w:t>
      </w:r>
      <w:r w:rsidR="00BB139E">
        <w:rPr>
          <w:b/>
          <w:sz w:val="20"/>
          <w:szCs w:val="20"/>
        </w:rPr>
        <w:t xml:space="preserve">                                                                                                                                                        тыс. руб.</w:t>
      </w:r>
    </w:p>
    <w:tbl>
      <w:tblPr>
        <w:tblpPr w:leftFromText="180" w:rightFromText="180" w:vertAnchor="text" w:horzAnchor="margin" w:tblpXSpec="center" w:tblpY="254"/>
        <w:tblW w:w="9329" w:type="dxa"/>
        <w:tblLayout w:type="fixed"/>
        <w:tblLook w:val="00A0" w:firstRow="1" w:lastRow="0" w:firstColumn="1" w:lastColumn="0" w:noHBand="0" w:noVBand="0"/>
      </w:tblPr>
      <w:tblGrid>
        <w:gridCol w:w="454"/>
        <w:gridCol w:w="3260"/>
        <w:gridCol w:w="2977"/>
        <w:gridCol w:w="2638"/>
      </w:tblGrid>
      <w:tr w:rsidR="008A6525" w:rsidRPr="00C80AAE" w:rsidTr="000C1CF3">
        <w:trPr>
          <w:trHeight w:val="253"/>
          <w:tblHeader/>
        </w:trPr>
        <w:tc>
          <w:tcPr>
            <w:tcW w:w="454" w:type="dxa"/>
            <w:vMerge w:val="restart"/>
            <w:tcBorders>
              <w:top w:val="single" w:sz="8" w:space="0" w:color="auto"/>
              <w:left w:val="single" w:sz="8" w:space="0" w:color="auto"/>
              <w:bottom w:val="single" w:sz="8" w:space="0" w:color="000000"/>
              <w:right w:val="single" w:sz="4" w:space="0" w:color="auto"/>
            </w:tcBorders>
            <w:shd w:val="clear" w:color="auto" w:fill="EEECE1" w:themeFill="background2"/>
            <w:tcMar>
              <w:top w:w="0" w:type="dxa"/>
              <w:left w:w="28" w:type="dxa"/>
              <w:bottom w:w="0" w:type="dxa"/>
              <w:right w:w="28" w:type="dxa"/>
            </w:tcMar>
          </w:tcPr>
          <w:p w:rsidR="008A6525" w:rsidRDefault="008A6525" w:rsidP="00106C48">
            <w:pPr>
              <w:pStyle w:val="Default"/>
              <w:ind w:left="66" w:firstLine="34"/>
              <w:jc w:val="center"/>
              <w:rPr>
                <w:rFonts w:ascii="Times New Roman" w:hAnsi="Times New Roman" w:cs="Times New Roman"/>
                <w:b/>
                <w:bCs/>
                <w:sz w:val="20"/>
                <w:szCs w:val="20"/>
              </w:rPr>
            </w:pPr>
          </w:p>
          <w:p w:rsidR="008A6525" w:rsidRPr="007708C9" w:rsidRDefault="008A6525" w:rsidP="00106C48">
            <w:pPr>
              <w:pStyle w:val="Default"/>
              <w:jc w:val="center"/>
              <w:rPr>
                <w:rFonts w:ascii="Times New Roman" w:eastAsia="Times New Roman" w:hAnsi="Times New Roman" w:cs="Times New Roman"/>
                <w:color w:val="auto"/>
                <w:sz w:val="16"/>
                <w:szCs w:val="16"/>
              </w:rPr>
            </w:pPr>
            <w:r w:rsidRPr="007708C9">
              <w:rPr>
                <w:rFonts w:ascii="Times New Roman" w:hAnsi="Times New Roman" w:cs="Times New Roman"/>
                <w:b/>
                <w:bCs/>
                <w:sz w:val="16"/>
                <w:szCs w:val="16"/>
              </w:rPr>
              <w:t>№</w:t>
            </w:r>
            <w:proofErr w:type="spellStart"/>
            <w:r w:rsidRPr="007708C9">
              <w:rPr>
                <w:rFonts w:ascii="Times New Roman" w:hAnsi="Times New Roman" w:cs="Times New Roman"/>
                <w:b/>
                <w:bCs/>
                <w:sz w:val="16"/>
                <w:szCs w:val="16"/>
              </w:rPr>
              <w:t>пп</w:t>
            </w:r>
            <w:proofErr w:type="spellEnd"/>
          </w:p>
        </w:tc>
        <w:tc>
          <w:tcPr>
            <w:tcW w:w="3260" w:type="dxa"/>
            <w:vMerge w:val="restart"/>
            <w:tcBorders>
              <w:top w:val="single" w:sz="4" w:space="0" w:color="auto"/>
              <w:left w:val="single" w:sz="4" w:space="0" w:color="auto"/>
              <w:bottom w:val="single" w:sz="8" w:space="0" w:color="000000"/>
              <w:right w:val="single" w:sz="4" w:space="0" w:color="auto"/>
            </w:tcBorders>
            <w:shd w:val="clear" w:color="auto" w:fill="EEECE1" w:themeFill="background2"/>
          </w:tcPr>
          <w:p w:rsidR="008A6525" w:rsidRPr="00F63AEA" w:rsidRDefault="008A6525" w:rsidP="00106C48">
            <w:pPr>
              <w:pStyle w:val="Default"/>
              <w:jc w:val="center"/>
              <w:rPr>
                <w:rFonts w:ascii="Times New Roman" w:eastAsia="Times New Roman" w:hAnsi="Times New Roman" w:cs="Times New Roman"/>
                <w:color w:val="auto"/>
                <w:sz w:val="18"/>
                <w:szCs w:val="18"/>
              </w:rPr>
            </w:pPr>
            <w:r w:rsidRPr="00F63AEA">
              <w:rPr>
                <w:rFonts w:ascii="Times New Roman" w:hAnsi="Times New Roman" w:cs="Times New Roman"/>
                <w:b/>
                <w:bCs/>
                <w:sz w:val="18"/>
                <w:szCs w:val="18"/>
              </w:rPr>
              <w:t>Заказчик</w:t>
            </w:r>
          </w:p>
        </w:tc>
        <w:tc>
          <w:tcPr>
            <w:tcW w:w="2977" w:type="dxa"/>
            <w:vMerge w:val="restart"/>
            <w:tcBorders>
              <w:top w:val="single" w:sz="8" w:space="0" w:color="auto"/>
              <w:left w:val="nil"/>
              <w:right w:val="single" w:sz="4" w:space="0" w:color="auto"/>
            </w:tcBorders>
            <w:shd w:val="clear" w:color="auto" w:fill="EEECE1" w:themeFill="background2"/>
            <w:tcMar>
              <w:top w:w="0" w:type="dxa"/>
              <w:left w:w="28" w:type="dxa"/>
              <w:bottom w:w="0" w:type="dxa"/>
              <w:right w:w="28" w:type="dxa"/>
            </w:tcMar>
          </w:tcPr>
          <w:p w:rsidR="008A6525" w:rsidRPr="00F63AEA" w:rsidRDefault="00024B6A" w:rsidP="00BB139E">
            <w:pPr>
              <w:jc w:val="center"/>
              <w:rPr>
                <w:rFonts w:eastAsia="Calibri"/>
                <w:b/>
                <w:bCs/>
                <w:color w:val="000000"/>
                <w:sz w:val="18"/>
                <w:szCs w:val="18"/>
              </w:rPr>
            </w:pPr>
            <w:r>
              <w:rPr>
                <w:rFonts w:eastAsia="Calibri"/>
                <w:b/>
                <w:bCs/>
                <w:color w:val="000000"/>
                <w:sz w:val="18"/>
                <w:szCs w:val="18"/>
              </w:rPr>
              <w:t>Общий объем финансового обеспечения в соответствии с планом-графиком на 20</w:t>
            </w:r>
            <w:r w:rsidR="000C1CF3">
              <w:rPr>
                <w:rFonts w:eastAsia="Calibri"/>
                <w:b/>
                <w:bCs/>
                <w:color w:val="000000"/>
                <w:sz w:val="18"/>
                <w:szCs w:val="18"/>
              </w:rPr>
              <w:t>22</w:t>
            </w:r>
            <w:r>
              <w:rPr>
                <w:rFonts w:eastAsia="Calibri"/>
                <w:b/>
                <w:bCs/>
                <w:color w:val="000000"/>
                <w:sz w:val="18"/>
                <w:szCs w:val="18"/>
              </w:rPr>
              <w:t xml:space="preserve"> год</w:t>
            </w:r>
            <w:r w:rsidR="00B97228">
              <w:rPr>
                <w:rFonts w:eastAsia="Calibri"/>
                <w:b/>
                <w:bCs/>
                <w:color w:val="000000"/>
                <w:sz w:val="18"/>
                <w:szCs w:val="18"/>
              </w:rPr>
              <w:t xml:space="preserve"> и плановый период 20</w:t>
            </w:r>
            <w:r w:rsidR="000C1CF3">
              <w:rPr>
                <w:rFonts w:eastAsia="Calibri"/>
                <w:b/>
                <w:bCs/>
                <w:color w:val="000000"/>
                <w:sz w:val="18"/>
                <w:szCs w:val="18"/>
              </w:rPr>
              <w:t>23</w:t>
            </w:r>
            <w:r w:rsidR="00B97228">
              <w:rPr>
                <w:rFonts w:eastAsia="Calibri"/>
                <w:b/>
                <w:bCs/>
                <w:color w:val="000000"/>
                <w:sz w:val="18"/>
                <w:szCs w:val="18"/>
              </w:rPr>
              <w:t>-20</w:t>
            </w:r>
            <w:r w:rsidR="000C1CF3">
              <w:rPr>
                <w:rFonts w:eastAsia="Calibri"/>
                <w:b/>
                <w:bCs/>
                <w:color w:val="000000"/>
                <w:sz w:val="18"/>
                <w:szCs w:val="18"/>
              </w:rPr>
              <w:t>24</w:t>
            </w:r>
            <w:r w:rsidR="00B97228">
              <w:rPr>
                <w:rFonts w:eastAsia="Calibri"/>
                <w:b/>
                <w:bCs/>
                <w:color w:val="000000"/>
                <w:sz w:val="18"/>
                <w:szCs w:val="18"/>
              </w:rPr>
              <w:t xml:space="preserve"> г.</w:t>
            </w:r>
          </w:p>
        </w:tc>
        <w:tc>
          <w:tcPr>
            <w:tcW w:w="2638" w:type="dxa"/>
            <w:vMerge w:val="restart"/>
            <w:tcBorders>
              <w:top w:val="single" w:sz="8" w:space="0" w:color="auto"/>
              <w:left w:val="nil"/>
              <w:right w:val="single" w:sz="4" w:space="0" w:color="auto"/>
            </w:tcBorders>
            <w:shd w:val="clear" w:color="auto" w:fill="EEECE1" w:themeFill="background2"/>
          </w:tcPr>
          <w:p w:rsidR="008A6525" w:rsidRPr="00F63AEA" w:rsidRDefault="008A6525" w:rsidP="00106C48">
            <w:pPr>
              <w:jc w:val="center"/>
              <w:rPr>
                <w:rFonts w:eastAsia="Calibri"/>
                <w:b/>
                <w:bCs/>
                <w:color w:val="000000"/>
                <w:sz w:val="18"/>
                <w:szCs w:val="18"/>
              </w:rPr>
            </w:pPr>
            <w:r w:rsidRPr="00F63AEA">
              <w:rPr>
                <w:rFonts w:eastAsia="Calibri"/>
                <w:b/>
                <w:bCs/>
                <w:color w:val="000000"/>
                <w:sz w:val="18"/>
                <w:szCs w:val="18"/>
              </w:rPr>
              <w:t>Количество версий Планов</w:t>
            </w:r>
            <w:r w:rsidR="00C610D8" w:rsidRPr="00F63AEA">
              <w:rPr>
                <w:rFonts w:eastAsia="Calibri"/>
                <w:b/>
                <w:bCs/>
                <w:color w:val="000000"/>
                <w:sz w:val="18"/>
                <w:szCs w:val="18"/>
              </w:rPr>
              <w:t>-графиков</w:t>
            </w:r>
          </w:p>
        </w:tc>
      </w:tr>
      <w:tr w:rsidR="008A6525" w:rsidRPr="002B7FA2" w:rsidTr="000C1CF3">
        <w:trPr>
          <w:trHeight w:val="207"/>
          <w:tblHeader/>
        </w:trPr>
        <w:tc>
          <w:tcPr>
            <w:tcW w:w="454" w:type="dxa"/>
            <w:vMerge/>
            <w:tcBorders>
              <w:top w:val="single" w:sz="8" w:space="0" w:color="auto"/>
              <w:left w:val="single" w:sz="8" w:space="0" w:color="auto"/>
              <w:bottom w:val="single" w:sz="4" w:space="0" w:color="auto"/>
              <w:right w:val="single" w:sz="4" w:space="0" w:color="auto"/>
            </w:tcBorders>
            <w:shd w:val="clear" w:color="auto" w:fill="EEECE1" w:themeFill="background2"/>
            <w:vAlign w:val="center"/>
          </w:tcPr>
          <w:p w:rsidR="008A6525" w:rsidRPr="002B7FA2" w:rsidRDefault="008A6525" w:rsidP="00106C48">
            <w:pPr>
              <w:rPr>
                <w:b/>
                <w:bCs/>
                <w:sz w:val="18"/>
                <w:szCs w:val="20"/>
              </w:rPr>
            </w:pPr>
          </w:p>
        </w:tc>
        <w:tc>
          <w:tcPr>
            <w:tcW w:w="3260"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tcPr>
          <w:p w:rsidR="008A6525" w:rsidRPr="002B7FA2" w:rsidRDefault="008A6525" w:rsidP="00106C48">
            <w:pPr>
              <w:rPr>
                <w:b/>
                <w:bCs/>
                <w:sz w:val="18"/>
                <w:szCs w:val="20"/>
              </w:rPr>
            </w:pPr>
          </w:p>
        </w:tc>
        <w:tc>
          <w:tcPr>
            <w:tcW w:w="2977" w:type="dxa"/>
            <w:vMerge/>
            <w:tcBorders>
              <w:left w:val="nil"/>
              <w:bottom w:val="single" w:sz="4" w:space="0" w:color="auto"/>
              <w:right w:val="single" w:sz="4" w:space="0" w:color="auto"/>
            </w:tcBorders>
            <w:shd w:val="clear" w:color="auto" w:fill="EEECE1" w:themeFill="background2"/>
            <w:tcMar>
              <w:top w:w="0" w:type="dxa"/>
              <w:left w:w="28" w:type="dxa"/>
              <w:bottom w:w="0" w:type="dxa"/>
              <w:right w:w="28" w:type="dxa"/>
            </w:tcMar>
            <w:vAlign w:val="center"/>
          </w:tcPr>
          <w:p w:rsidR="008A6525" w:rsidRPr="002B7FA2" w:rsidRDefault="008A6525" w:rsidP="00106C48">
            <w:pPr>
              <w:jc w:val="center"/>
              <w:rPr>
                <w:b/>
                <w:bCs/>
                <w:sz w:val="18"/>
                <w:szCs w:val="20"/>
              </w:rPr>
            </w:pPr>
          </w:p>
        </w:tc>
        <w:tc>
          <w:tcPr>
            <w:tcW w:w="2638" w:type="dxa"/>
            <w:vMerge/>
            <w:tcBorders>
              <w:left w:val="nil"/>
              <w:bottom w:val="single" w:sz="4" w:space="0" w:color="auto"/>
              <w:right w:val="single" w:sz="4" w:space="0" w:color="auto"/>
            </w:tcBorders>
            <w:shd w:val="clear" w:color="auto" w:fill="EEECE1" w:themeFill="background2"/>
            <w:vAlign w:val="center"/>
          </w:tcPr>
          <w:p w:rsidR="008A6525" w:rsidRPr="002B7FA2" w:rsidRDefault="008A6525" w:rsidP="00106C48">
            <w:pPr>
              <w:jc w:val="center"/>
              <w:rPr>
                <w:b/>
                <w:bCs/>
                <w:sz w:val="18"/>
                <w:szCs w:val="20"/>
              </w:rPr>
            </w:pPr>
          </w:p>
        </w:tc>
      </w:tr>
      <w:tr w:rsidR="008A6525" w:rsidRPr="00D154DB" w:rsidTr="00596C6B">
        <w:trPr>
          <w:trHeight w:val="89"/>
          <w:tblHeader/>
        </w:trPr>
        <w:tc>
          <w:tcPr>
            <w:tcW w:w="454"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8A6525" w:rsidRPr="00D154DB" w:rsidRDefault="008A6525" w:rsidP="00106C48">
            <w:pPr>
              <w:jc w:val="center"/>
              <w:rPr>
                <w:b/>
                <w:sz w:val="18"/>
                <w:szCs w:val="20"/>
              </w:rPr>
            </w:pPr>
          </w:p>
        </w:tc>
        <w:tc>
          <w:tcPr>
            <w:tcW w:w="3260" w:type="dxa"/>
            <w:tcBorders>
              <w:top w:val="nil"/>
              <w:left w:val="single" w:sz="4" w:space="0" w:color="auto"/>
              <w:bottom w:val="single" w:sz="8" w:space="0" w:color="auto"/>
              <w:right w:val="single" w:sz="4" w:space="0" w:color="auto"/>
            </w:tcBorders>
            <w:vAlign w:val="center"/>
          </w:tcPr>
          <w:p w:rsidR="008A6525" w:rsidRPr="00D154DB" w:rsidRDefault="008A6525" w:rsidP="00106C48">
            <w:pPr>
              <w:jc w:val="center"/>
              <w:rPr>
                <w:b/>
                <w:sz w:val="18"/>
                <w:szCs w:val="20"/>
              </w:rPr>
            </w:pPr>
            <w:r w:rsidRPr="00D154DB">
              <w:rPr>
                <w:b/>
                <w:sz w:val="18"/>
                <w:szCs w:val="20"/>
              </w:rPr>
              <w:t>1</w:t>
            </w:r>
          </w:p>
        </w:tc>
        <w:tc>
          <w:tcPr>
            <w:tcW w:w="2977" w:type="dxa"/>
            <w:tcBorders>
              <w:top w:val="nil"/>
              <w:left w:val="nil"/>
              <w:bottom w:val="single" w:sz="8" w:space="0" w:color="auto"/>
              <w:right w:val="single" w:sz="4" w:space="0" w:color="auto"/>
            </w:tcBorders>
            <w:tcMar>
              <w:top w:w="0" w:type="dxa"/>
              <w:left w:w="28" w:type="dxa"/>
              <w:bottom w:w="0" w:type="dxa"/>
              <w:right w:w="28" w:type="dxa"/>
            </w:tcMar>
            <w:vAlign w:val="center"/>
          </w:tcPr>
          <w:p w:rsidR="008A6525" w:rsidRPr="00D154DB" w:rsidRDefault="008A6525" w:rsidP="00106C48">
            <w:pPr>
              <w:jc w:val="center"/>
              <w:rPr>
                <w:b/>
                <w:sz w:val="18"/>
                <w:szCs w:val="20"/>
              </w:rPr>
            </w:pPr>
            <w:r w:rsidRPr="00D154DB">
              <w:rPr>
                <w:b/>
                <w:sz w:val="18"/>
                <w:szCs w:val="20"/>
              </w:rPr>
              <w:t>2</w:t>
            </w:r>
          </w:p>
        </w:tc>
        <w:tc>
          <w:tcPr>
            <w:tcW w:w="2638" w:type="dxa"/>
            <w:tcBorders>
              <w:top w:val="nil"/>
              <w:left w:val="nil"/>
              <w:bottom w:val="single" w:sz="8" w:space="0" w:color="auto"/>
              <w:right w:val="single" w:sz="4" w:space="0" w:color="auto"/>
            </w:tcBorders>
            <w:vAlign w:val="center"/>
          </w:tcPr>
          <w:p w:rsidR="008A6525" w:rsidRPr="00D154DB" w:rsidRDefault="008A6525" w:rsidP="00106C48">
            <w:pPr>
              <w:jc w:val="center"/>
              <w:rPr>
                <w:b/>
                <w:sz w:val="18"/>
                <w:szCs w:val="20"/>
              </w:rPr>
            </w:pPr>
            <w:r>
              <w:rPr>
                <w:b/>
                <w:sz w:val="18"/>
                <w:szCs w:val="20"/>
              </w:rPr>
              <w:t>3</w:t>
            </w:r>
          </w:p>
        </w:tc>
      </w:tr>
      <w:tr w:rsidR="008A6525" w:rsidRPr="007708C9" w:rsidTr="00596C6B">
        <w:trPr>
          <w:trHeight w:val="375"/>
        </w:trPr>
        <w:tc>
          <w:tcPr>
            <w:tcW w:w="454" w:type="dxa"/>
            <w:tcBorders>
              <w:top w:val="single" w:sz="4" w:space="0" w:color="auto"/>
              <w:left w:val="single" w:sz="8" w:space="0" w:color="auto"/>
              <w:bottom w:val="single" w:sz="4" w:space="0" w:color="auto"/>
              <w:right w:val="single" w:sz="4" w:space="0" w:color="auto"/>
            </w:tcBorders>
            <w:noWrap/>
            <w:vAlign w:val="bottom"/>
          </w:tcPr>
          <w:p w:rsidR="008A6525" w:rsidRPr="00505F8F" w:rsidRDefault="008A6525" w:rsidP="00106C48">
            <w:pPr>
              <w:rPr>
                <w:sz w:val="16"/>
                <w:szCs w:val="16"/>
              </w:rPr>
            </w:pPr>
          </w:p>
          <w:p w:rsidR="008A6525" w:rsidRPr="00505F8F" w:rsidRDefault="008A6525" w:rsidP="00106C48">
            <w:pPr>
              <w:rPr>
                <w:sz w:val="16"/>
                <w:szCs w:val="16"/>
              </w:rPr>
            </w:pPr>
            <w:r w:rsidRPr="00505F8F">
              <w:rPr>
                <w:sz w:val="16"/>
                <w:szCs w:val="16"/>
              </w:rPr>
              <w:t>1</w:t>
            </w:r>
          </w:p>
        </w:tc>
        <w:tc>
          <w:tcPr>
            <w:tcW w:w="3260" w:type="dxa"/>
            <w:tcBorders>
              <w:top w:val="single" w:sz="4" w:space="0" w:color="auto"/>
              <w:left w:val="single" w:sz="4" w:space="0" w:color="auto"/>
              <w:bottom w:val="single" w:sz="4" w:space="0" w:color="auto"/>
              <w:right w:val="single" w:sz="4" w:space="0" w:color="auto"/>
            </w:tcBorders>
            <w:vAlign w:val="bottom"/>
          </w:tcPr>
          <w:p w:rsidR="008A6525" w:rsidRPr="003D0B27" w:rsidRDefault="008A6525" w:rsidP="00106C48">
            <w:pPr>
              <w:rPr>
                <w:sz w:val="18"/>
                <w:szCs w:val="18"/>
              </w:rPr>
            </w:pPr>
            <w:r w:rsidRPr="003D0B27">
              <w:rPr>
                <w:sz w:val="18"/>
                <w:szCs w:val="18"/>
              </w:rPr>
              <w:t xml:space="preserve">Администрация МО </w:t>
            </w:r>
            <w:proofErr w:type="spellStart"/>
            <w:r w:rsidRPr="003D0B27">
              <w:rPr>
                <w:sz w:val="18"/>
                <w:szCs w:val="18"/>
              </w:rPr>
              <w:t>Громовское</w:t>
            </w:r>
            <w:proofErr w:type="spellEnd"/>
            <w:r w:rsidRPr="003D0B27">
              <w:rPr>
                <w:sz w:val="18"/>
                <w:szCs w:val="18"/>
              </w:rPr>
              <w:t xml:space="preserve"> сельское поселение</w:t>
            </w:r>
          </w:p>
        </w:tc>
        <w:tc>
          <w:tcPr>
            <w:tcW w:w="2977"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8A6525" w:rsidRPr="005C1FF8" w:rsidRDefault="00AA3884" w:rsidP="00F95E7D">
            <w:pPr>
              <w:jc w:val="center"/>
              <w:rPr>
                <w:sz w:val="20"/>
                <w:szCs w:val="20"/>
              </w:rPr>
            </w:pPr>
            <w:r>
              <w:rPr>
                <w:sz w:val="20"/>
                <w:szCs w:val="20"/>
              </w:rPr>
              <w:t>54 365,5</w:t>
            </w:r>
          </w:p>
        </w:tc>
        <w:tc>
          <w:tcPr>
            <w:tcW w:w="2638" w:type="dxa"/>
            <w:tcBorders>
              <w:top w:val="single" w:sz="4" w:space="0" w:color="auto"/>
              <w:left w:val="nil"/>
              <w:bottom w:val="single" w:sz="4" w:space="0" w:color="auto"/>
              <w:right w:val="single" w:sz="4" w:space="0" w:color="auto"/>
            </w:tcBorders>
            <w:vAlign w:val="center"/>
          </w:tcPr>
          <w:p w:rsidR="008A6525" w:rsidRPr="005C1FF8" w:rsidRDefault="00AA3884" w:rsidP="00F95E7D">
            <w:pPr>
              <w:jc w:val="center"/>
              <w:rPr>
                <w:sz w:val="20"/>
                <w:szCs w:val="20"/>
              </w:rPr>
            </w:pPr>
            <w:r>
              <w:rPr>
                <w:sz w:val="20"/>
                <w:szCs w:val="20"/>
              </w:rPr>
              <w:t>32</w:t>
            </w:r>
          </w:p>
        </w:tc>
      </w:tr>
      <w:tr w:rsidR="008A6525" w:rsidRPr="007708C9" w:rsidTr="00596C6B">
        <w:trPr>
          <w:trHeight w:val="429"/>
        </w:trPr>
        <w:tc>
          <w:tcPr>
            <w:tcW w:w="454" w:type="dxa"/>
            <w:tcBorders>
              <w:top w:val="nil"/>
              <w:left w:val="single" w:sz="8" w:space="0" w:color="auto"/>
              <w:bottom w:val="single" w:sz="4" w:space="0" w:color="auto"/>
              <w:right w:val="single" w:sz="4" w:space="0" w:color="auto"/>
            </w:tcBorders>
            <w:noWrap/>
            <w:vAlign w:val="bottom"/>
          </w:tcPr>
          <w:p w:rsidR="008A6525" w:rsidRPr="00505F8F" w:rsidRDefault="008A6525" w:rsidP="00106C48">
            <w:pPr>
              <w:rPr>
                <w:sz w:val="16"/>
                <w:szCs w:val="16"/>
              </w:rPr>
            </w:pPr>
            <w:r w:rsidRPr="00505F8F">
              <w:rPr>
                <w:sz w:val="16"/>
                <w:szCs w:val="16"/>
              </w:rPr>
              <w:t>2</w:t>
            </w:r>
          </w:p>
        </w:tc>
        <w:tc>
          <w:tcPr>
            <w:tcW w:w="3260" w:type="dxa"/>
            <w:tcBorders>
              <w:top w:val="nil"/>
              <w:left w:val="single" w:sz="4" w:space="0" w:color="auto"/>
              <w:bottom w:val="single" w:sz="4" w:space="0" w:color="auto"/>
              <w:right w:val="single" w:sz="4" w:space="0" w:color="auto"/>
            </w:tcBorders>
            <w:vAlign w:val="bottom"/>
          </w:tcPr>
          <w:p w:rsidR="008A6525" w:rsidRPr="003D0B27" w:rsidRDefault="008A6525" w:rsidP="00106C48">
            <w:pPr>
              <w:rPr>
                <w:sz w:val="18"/>
                <w:szCs w:val="18"/>
              </w:rPr>
            </w:pPr>
            <w:r w:rsidRPr="003D0B27">
              <w:rPr>
                <w:sz w:val="18"/>
                <w:szCs w:val="18"/>
              </w:rPr>
              <w:t>Администрация МО Запорожское сельское поселение</w:t>
            </w:r>
          </w:p>
        </w:tc>
        <w:tc>
          <w:tcPr>
            <w:tcW w:w="2977"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8A6525" w:rsidRPr="005C1FF8" w:rsidRDefault="00AA3884" w:rsidP="00F95E7D">
            <w:pPr>
              <w:jc w:val="center"/>
              <w:rPr>
                <w:sz w:val="20"/>
                <w:szCs w:val="20"/>
              </w:rPr>
            </w:pPr>
            <w:r>
              <w:rPr>
                <w:sz w:val="20"/>
                <w:szCs w:val="20"/>
              </w:rPr>
              <w:t>97 379,6</w:t>
            </w:r>
          </w:p>
        </w:tc>
        <w:tc>
          <w:tcPr>
            <w:tcW w:w="2638" w:type="dxa"/>
            <w:tcBorders>
              <w:top w:val="nil"/>
              <w:left w:val="nil"/>
              <w:bottom w:val="single" w:sz="4" w:space="0" w:color="auto"/>
              <w:right w:val="single" w:sz="4" w:space="0" w:color="auto"/>
            </w:tcBorders>
            <w:vAlign w:val="center"/>
          </w:tcPr>
          <w:p w:rsidR="008A6525" w:rsidRPr="005C1FF8" w:rsidRDefault="00AA3884" w:rsidP="00F95E7D">
            <w:pPr>
              <w:jc w:val="center"/>
              <w:rPr>
                <w:sz w:val="20"/>
                <w:szCs w:val="20"/>
              </w:rPr>
            </w:pPr>
            <w:r>
              <w:rPr>
                <w:sz w:val="20"/>
                <w:szCs w:val="20"/>
              </w:rPr>
              <w:t>13</w:t>
            </w:r>
          </w:p>
        </w:tc>
      </w:tr>
      <w:tr w:rsidR="008A6525" w:rsidRPr="007708C9" w:rsidTr="00596C6B">
        <w:trPr>
          <w:trHeight w:val="421"/>
        </w:trPr>
        <w:tc>
          <w:tcPr>
            <w:tcW w:w="454" w:type="dxa"/>
            <w:tcBorders>
              <w:top w:val="single" w:sz="4" w:space="0" w:color="auto"/>
              <w:left w:val="single" w:sz="8" w:space="0" w:color="auto"/>
              <w:bottom w:val="single" w:sz="4" w:space="0" w:color="auto"/>
              <w:right w:val="single" w:sz="4" w:space="0" w:color="auto"/>
            </w:tcBorders>
            <w:noWrap/>
            <w:vAlign w:val="bottom"/>
          </w:tcPr>
          <w:p w:rsidR="008A6525" w:rsidRPr="00505F8F" w:rsidRDefault="008A6525" w:rsidP="00106C48">
            <w:pPr>
              <w:rPr>
                <w:sz w:val="16"/>
                <w:szCs w:val="16"/>
              </w:rPr>
            </w:pPr>
            <w:r w:rsidRPr="00505F8F">
              <w:rPr>
                <w:sz w:val="16"/>
                <w:szCs w:val="16"/>
              </w:rPr>
              <w:t>3</w:t>
            </w:r>
          </w:p>
        </w:tc>
        <w:tc>
          <w:tcPr>
            <w:tcW w:w="3260" w:type="dxa"/>
            <w:tcBorders>
              <w:top w:val="single" w:sz="4" w:space="0" w:color="auto"/>
              <w:left w:val="single" w:sz="4" w:space="0" w:color="auto"/>
              <w:bottom w:val="single" w:sz="4" w:space="0" w:color="auto"/>
              <w:right w:val="single" w:sz="4" w:space="0" w:color="auto"/>
            </w:tcBorders>
            <w:vAlign w:val="bottom"/>
          </w:tcPr>
          <w:p w:rsidR="008A6525" w:rsidRPr="003D0B27" w:rsidRDefault="008A6525" w:rsidP="00106C48">
            <w:pPr>
              <w:rPr>
                <w:sz w:val="18"/>
                <w:szCs w:val="18"/>
              </w:rPr>
            </w:pPr>
            <w:r w:rsidRPr="003D0B27">
              <w:rPr>
                <w:sz w:val="18"/>
                <w:szCs w:val="18"/>
              </w:rPr>
              <w:t xml:space="preserve">Администрация МО </w:t>
            </w:r>
            <w:proofErr w:type="spellStart"/>
            <w:r>
              <w:rPr>
                <w:sz w:val="18"/>
                <w:szCs w:val="18"/>
              </w:rPr>
              <w:t>Красноозерное</w:t>
            </w:r>
            <w:proofErr w:type="spellEnd"/>
            <w:r w:rsidRPr="003D0B27">
              <w:rPr>
                <w:sz w:val="18"/>
                <w:szCs w:val="18"/>
              </w:rPr>
              <w:t xml:space="preserve"> сельское поселение</w:t>
            </w:r>
          </w:p>
        </w:tc>
        <w:tc>
          <w:tcPr>
            <w:tcW w:w="2977"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8A6525" w:rsidRPr="005C1FF8" w:rsidRDefault="00AA3884" w:rsidP="00F95E7D">
            <w:pPr>
              <w:jc w:val="center"/>
              <w:rPr>
                <w:sz w:val="20"/>
                <w:szCs w:val="20"/>
              </w:rPr>
            </w:pPr>
            <w:r>
              <w:rPr>
                <w:sz w:val="20"/>
                <w:szCs w:val="20"/>
              </w:rPr>
              <w:t>239 739,2</w:t>
            </w:r>
          </w:p>
        </w:tc>
        <w:tc>
          <w:tcPr>
            <w:tcW w:w="2638" w:type="dxa"/>
            <w:tcBorders>
              <w:top w:val="single" w:sz="4" w:space="0" w:color="auto"/>
              <w:left w:val="nil"/>
              <w:bottom w:val="single" w:sz="4" w:space="0" w:color="auto"/>
              <w:right w:val="single" w:sz="4" w:space="0" w:color="auto"/>
            </w:tcBorders>
            <w:vAlign w:val="center"/>
          </w:tcPr>
          <w:p w:rsidR="008A6525" w:rsidRPr="005C1FF8" w:rsidRDefault="00AA3884" w:rsidP="00F95E7D">
            <w:pPr>
              <w:jc w:val="center"/>
              <w:rPr>
                <w:sz w:val="20"/>
                <w:szCs w:val="20"/>
              </w:rPr>
            </w:pPr>
            <w:r>
              <w:rPr>
                <w:sz w:val="20"/>
                <w:szCs w:val="20"/>
              </w:rPr>
              <w:t>20</w:t>
            </w:r>
          </w:p>
        </w:tc>
      </w:tr>
      <w:tr w:rsidR="008A6525" w:rsidRPr="007708C9" w:rsidTr="00596C6B">
        <w:trPr>
          <w:trHeight w:val="416"/>
        </w:trPr>
        <w:tc>
          <w:tcPr>
            <w:tcW w:w="454" w:type="dxa"/>
            <w:tcBorders>
              <w:top w:val="nil"/>
              <w:left w:val="single" w:sz="8" w:space="0" w:color="auto"/>
              <w:bottom w:val="single" w:sz="4" w:space="0" w:color="auto"/>
              <w:right w:val="single" w:sz="4" w:space="0" w:color="auto"/>
            </w:tcBorders>
            <w:noWrap/>
            <w:vAlign w:val="bottom"/>
          </w:tcPr>
          <w:p w:rsidR="008A6525" w:rsidRPr="00505F8F" w:rsidRDefault="008A6525" w:rsidP="00106C48">
            <w:pPr>
              <w:rPr>
                <w:sz w:val="16"/>
                <w:szCs w:val="16"/>
              </w:rPr>
            </w:pPr>
          </w:p>
          <w:p w:rsidR="008A6525" w:rsidRPr="00505F8F" w:rsidRDefault="008A6525" w:rsidP="00106C48">
            <w:pPr>
              <w:rPr>
                <w:sz w:val="16"/>
                <w:szCs w:val="16"/>
              </w:rPr>
            </w:pPr>
            <w:r w:rsidRPr="00505F8F">
              <w:rPr>
                <w:sz w:val="16"/>
                <w:szCs w:val="16"/>
              </w:rPr>
              <w:t>4</w:t>
            </w:r>
          </w:p>
        </w:tc>
        <w:tc>
          <w:tcPr>
            <w:tcW w:w="3260" w:type="dxa"/>
            <w:tcBorders>
              <w:top w:val="nil"/>
              <w:left w:val="single" w:sz="4" w:space="0" w:color="auto"/>
              <w:bottom w:val="single" w:sz="4" w:space="0" w:color="auto"/>
              <w:right w:val="single" w:sz="4" w:space="0" w:color="auto"/>
            </w:tcBorders>
            <w:vAlign w:val="bottom"/>
          </w:tcPr>
          <w:p w:rsidR="008A6525" w:rsidRPr="003D0B27" w:rsidRDefault="008A6525" w:rsidP="00106C48">
            <w:pPr>
              <w:rPr>
                <w:sz w:val="18"/>
                <w:szCs w:val="18"/>
              </w:rPr>
            </w:pPr>
            <w:r w:rsidRPr="003D0B27">
              <w:rPr>
                <w:sz w:val="18"/>
                <w:szCs w:val="18"/>
              </w:rPr>
              <w:t xml:space="preserve">Администрация МО </w:t>
            </w:r>
            <w:proofErr w:type="spellStart"/>
            <w:r>
              <w:rPr>
                <w:sz w:val="18"/>
                <w:szCs w:val="18"/>
              </w:rPr>
              <w:t>Ларионовское</w:t>
            </w:r>
            <w:proofErr w:type="spellEnd"/>
            <w:r w:rsidRPr="003D0B27">
              <w:rPr>
                <w:sz w:val="18"/>
                <w:szCs w:val="18"/>
              </w:rPr>
              <w:t xml:space="preserve">  сельское поселение</w:t>
            </w:r>
          </w:p>
        </w:tc>
        <w:tc>
          <w:tcPr>
            <w:tcW w:w="2977"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8A6525" w:rsidRPr="005C1FF8" w:rsidRDefault="00AA3884" w:rsidP="00F95E7D">
            <w:pPr>
              <w:jc w:val="center"/>
              <w:rPr>
                <w:sz w:val="20"/>
                <w:szCs w:val="20"/>
              </w:rPr>
            </w:pPr>
            <w:r>
              <w:rPr>
                <w:sz w:val="20"/>
                <w:szCs w:val="20"/>
              </w:rPr>
              <w:t>35 230,9</w:t>
            </w:r>
          </w:p>
        </w:tc>
        <w:tc>
          <w:tcPr>
            <w:tcW w:w="2638" w:type="dxa"/>
            <w:tcBorders>
              <w:top w:val="nil"/>
              <w:left w:val="nil"/>
              <w:bottom w:val="single" w:sz="4" w:space="0" w:color="auto"/>
              <w:right w:val="single" w:sz="4" w:space="0" w:color="auto"/>
            </w:tcBorders>
            <w:vAlign w:val="center"/>
          </w:tcPr>
          <w:p w:rsidR="008A6525" w:rsidRPr="005C1FF8" w:rsidRDefault="00AA3884" w:rsidP="00F95E7D">
            <w:pPr>
              <w:jc w:val="center"/>
              <w:rPr>
                <w:sz w:val="20"/>
                <w:szCs w:val="20"/>
              </w:rPr>
            </w:pPr>
            <w:r>
              <w:rPr>
                <w:sz w:val="20"/>
                <w:szCs w:val="20"/>
              </w:rPr>
              <w:t>44</w:t>
            </w:r>
          </w:p>
        </w:tc>
      </w:tr>
      <w:tr w:rsidR="008A6525" w:rsidRPr="007708C9" w:rsidTr="00596C6B">
        <w:trPr>
          <w:trHeight w:val="502"/>
        </w:trPr>
        <w:tc>
          <w:tcPr>
            <w:tcW w:w="454" w:type="dxa"/>
            <w:tcBorders>
              <w:top w:val="nil"/>
              <w:left w:val="single" w:sz="8" w:space="0" w:color="auto"/>
              <w:bottom w:val="single" w:sz="4" w:space="0" w:color="auto"/>
              <w:right w:val="single" w:sz="4" w:space="0" w:color="auto"/>
            </w:tcBorders>
            <w:noWrap/>
            <w:vAlign w:val="bottom"/>
          </w:tcPr>
          <w:p w:rsidR="008A6525" w:rsidRPr="00505F8F" w:rsidRDefault="008A6525" w:rsidP="00106C48">
            <w:pPr>
              <w:rPr>
                <w:sz w:val="16"/>
                <w:szCs w:val="16"/>
              </w:rPr>
            </w:pPr>
          </w:p>
          <w:p w:rsidR="008A6525" w:rsidRPr="00505F8F" w:rsidRDefault="008A6525" w:rsidP="00106C48">
            <w:pPr>
              <w:rPr>
                <w:sz w:val="16"/>
                <w:szCs w:val="16"/>
              </w:rPr>
            </w:pPr>
            <w:r w:rsidRPr="00505F8F">
              <w:rPr>
                <w:sz w:val="16"/>
                <w:szCs w:val="16"/>
              </w:rPr>
              <w:t>5</w:t>
            </w:r>
          </w:p>
        </w:tc>
        <w:tc>
          <w:tcPr>
            <w:tcW w:w="3260" w:type="dxa"/>
            <w:tcBorders>
              <w:top w:val="nil"/>
              <w:left w:val="single" w:sz="4" w:space="0" w:color="auto"/>
              <w:bottom w:val="single" w:sz="4" w:space="0" w:color="auto"/>
              <w:right w:val="single" w:sz="4" w:space="0" w:color="auto"/>
            </w:tcBorders>
            <w:vAlign w:val="bottom"/>
          </w:tcPr>
          <w:p w:rsidR="008A6525" w:rsidRPr="003D0B27" w:rsidRDefault="008A6525" w:rsidP="00106C48">
            <w:pPr>
              <w:rPr>
                <w:sz w:val="18"/>
                <w:szCs w:val="18"/>
              </w:rPr>
            </w:pPr>
            <w:r w:rsidRPr="003D0B27">
              <w:rPr>
                <w:sz w:val="18"/>
                <w:szCs w:val="18"/>
              </w:rPr>
              <w:t xml:space="preserve">Администрация МО </w:t>
            </w:r>
            <w:proofErr w:type="spellStart"/>
            <w:r>
              <w:rPr>
                <w:sz w:val="18"/>
                <w:szCs w:val="18"/>
              </w:rPr>
              <w:t>Мельниковское</w:t>
            </w:r>
            <w:proofErr w:type="spellEnd"/>
            <w:r w:rsidRPr="003D0B27">
              <w:rPr>
                <w:sz w:val="18"/>
                <w:szCs w:val="18"/>
              </w:rPr>
              <w:t xml:space="preserve">  сельское поселение</w:t>
            </w:r>
          </w:p>
        </w:tc>
        <w:tc>
          <w:tcPr>
            <w:tcW w:w="2977"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8A6525" w:rsidRPr="005C1FF8" w:rsidRDefault="00AA3884" w:rsidP="00F95E7D">
            <w:pPr>
              <w:jc w:val="center"/>
              <w:rPr>
                <w:sz w:val="20"/>
                <w:szCs w:val="20"/>
              </w:rPr>
            </w:pPr>
            <w:r>
              <w:rPr>
                <w:sz w:val="20"/>
                <w:szCs w:val="20"/>
              </w:rPr>
              <w:t>37 144,9</w:t>
            </w:r>
          </w:p>
        </w:tc>
        <w:tc>
          <w:tcPr>
            <w:tcW w:w="2638" w:type="dxa"/>
            <w:tcBorders>
              <w:top w:val="nil"/>
              <w:left w:val="nil"/>
              <w:bottom w:val="single" w:sz="4" w:space="0" w:color="auto"/>
              <w:right w:val="single" w:sz="4" w:space="0" w:color="auto"/>
            </w:tcBorders>
            <w:vAlign w:val="center"/>
          </w:tcPr>
          <w:p w:rsidR="008A6525" w:rsidRPr="005C1FF8" w:rsidRDefault="00AA3884" w:rsidP="00F95E7D">
            <w:pPr>
              <w:jc w:val="center"/>
              <w:rPr>
                <w:sz w:val="20"/>
                <w:szCs w:val="20"/>
              </w:rPr>
            </w:pPr>
            <w:r>
              <w:rPr>
                <w:sz w:val="20"/>
                <w:szCs w:val="20"/>
              </w:rPr>
              <w:t>32</w:t>
            </w:r>
          </w:p>
        </w:tc>
      </w:tr>
      <w:tr w:rsidR="008A6525" w:rsidRPr="007708C9" w:rsidTr="00596C6B">
        <w:trPr>
          <w:trHeight w:val="312"/>
        </w:trPr>
        <w:tc>
          <w:tcPr>
            <w:tcW w:w="454" w:type="dxa"/>
            <w:tcBorders>
              <w:top w:val="single" w:sz="4" w:space="0" w:color="auto"/>
              <w:left w:val="single" w:sz="8" w:space="0" w:color="auto"/>
              <w:bottom w:val="single" w:sz="4" w:space="0" w:color="auto"/>
              <w:right w:val="single" w:sz="4" w:space="0" w:color="auto"/>
            </w:tcBorders>
            <w:noWrap/>
            <w:vAlign w:val="bottom"/>
          </w:tcPr>
          <w:p w:rsidR="008A6525" w:rsidRPr="00505F8F" w:rsidRDefault="008A6525" w:rsidP="00106C48">
            <w:pPr>
              <w:rPr>
                <w:sz w:val="16"/>
                <w:szCs w:val="16"/>
              </w:rPr>
            </w:pPr>
            <w:r w:rsidRPr="00505F8F">
              <w:rPr>
                <w:sz w:val="16"/>
                <w:szCs w:val="16"/>
              </w:rPr>
              <w:t>6</w:t>
            </w:r>
          </w:p>
        </w:tc>
        <w:tc>
          <w:tcPr>
            <w:tcW w:w="3260" w:type="dxa"/>
            <w:tcBorders>
              <w:top w:val="single" w:sz="4" w:space="0" w:color="auto"/>
              <w:left w:val="single" w:sz="4" w:space="0" w:color="auto"/>
              <w:bottom w:val="single" w:sz="4" w:space="0" w:color="auto"/>
              <w:right w:val="single" w:sz="4" w:space="0" w:color="auto"/>
            </w:tcBorders>
            <w:vAlign w:val="bottom"/>
          </w:tcPr>
          <w:p w:rsidR="008A6525" w:rsidRPr="003D0B27" w:rsidRDefault="008A6525" w:rsidP="00106C48">
            <w:pPr>
              <w:rPr>
                <w:sz w:val="18"/>
                <w:szCs w:val="18"/>
              </w:rPr>
            </w:pPr>
            <w:r w:rsidRPr="003D0B27">
              <w:rPr>
                <w:sz w:val="18"/>
                <w:szCs w:val="18"/>
              </w:rPr>
              <w:t xml:space="preserve">Администрация МО </w:t>
            </w:r>
            <w:r>
              <w:rPr>
                <w:sz w:val="18"/>
                <w:szCs w:val="18"/>
              </w:rPr>
              <w:t>Мичуринское</w:t>
            </w:r>
            <w:r w:rsidRPr="003D0B27">
              <w:rPr>
                <w:sz w:val="18"/>
                <w:szCs w:val="18"/>
              </w:rPr>
              <w:t xml:space="preserve">  сельское поселение</w:t>
            </w:r>
          </w:p>
        </w:tc>
        <w:tc>
          <w:tcPr>
            <w:tcW w:w="2977"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8A6525" w:rsidRPr="005C1FF8" w:rsidRDefault="00AA3884" w:rsidP="00F95E7D">
            <w:pPr>
              <w:jc w:val="center"/>
              <w:rPr>
                <w:sz w:val="20"/>
                <w:szCs w:val="20"/>
              </w:rPr>
            </w:pPr>
            <w:r>
              <w:rPr>
                <w:sz w:val="20"/>
                <w:szCs w:val="20"/>
              </w:rPr>
              <w:t>21 010,1</w:t>
            </w:r>
          </w:p>
        </w:tc>
        <w:tc>
          <w:tcPr>
            <w:tcW w:w="2638" w:type="dxa"/>
            <w:tcBorders>
              <w:top w:val="single" w:sz="4" w:space="0" w:color="auto"/>
              <w:left w:val="nil"/>
              <w:bottom w:val="single" w:sz="4" w:space="0" w:color="auto"/>
              <w:right w:val="single" w:sz="4" w:space="0" w:color="auto"/>
            </w:tcBorders>
            <w:vAlign w:val="center"/>
          </w:tcPr>
          <w:p w:rsidR="008A6525" w:rsidRPr="005C1FF8" w:rsidRDefault="00AA3884" w:rsidP="00F95E7D">
            <w:pPr>
              <w:jc w:val="center"/>
              <w:rPr>
                <w:sz w:val="20"/>
                <w:szCs w:val="20"/>
              </w:rPr>
            </w:pPr>
            <w:r>
              <w:rPr>
                <w:sz w:val="20"/>
                <w:szCs w:val="20"/>
              </w:rPr>
              <w:t>26</w:t>
            </w:r>
          </w:p>
        </w:tc>
      </w:tr>
      <w:tr w:rsidR="008A6525" w:rsidRPr="007708C9" w:rsidTr="00596C6B">
        <w:trPr>
          <w:trHeight w:val="231"/>
        </w:trPr>
        <w:tc>
          <w:tcPr>
            <w:tcW w:w="454" w:type="dxa"/>
            <w:tcBorders>
              <w:top w:val="single" w:sz="4" w:space="0" w:color="auto"/>
              <w:left w:val="single" w:sz="8" w:space="0" w:color="auto"/>
              <w:bottom w:val="single" w:sz="4" w:space="0" w:color="auto"/>
              <w:right w:val="single" w:sz="4" w:space="0" w:color="auto"/>
            </w:tcBorders>
            <w:noWrap/>
            <w:vAlign w:val="bottom"/>
          </w:tcPr>
          <w:p w:rsidR="008A6525" w:rsidRPr="00505F8F" w:rsidRDefault="008A6525" w:rsidP="00106C48">
            <w:pPr>
              <w:rPr>
                <w:sz w:val="16"/>
                <w:szCs w:val="16"/>
              </w:rPr>
            </w:pPr>
            <w:r w:rsidRPr="00505F8F">
              <w:rPr>
                <w:sz w:val="16"/>
                <w:szCs w:val="16"/>
              </w:rPr>
              <w:t>7</w:t>
            </w:r>
          </w:p>
        </w:tc>
        <w:tc>
          <w:tcPr>
            <w:tcW w:w="3260" w:type="dxa"/>
            <w:tcBorders>
              <w:top w:val="single" w:sz="4" w:space="0" w:color="auto"/>
              <w:left w:val="single" w:sz="4" w:space="0" w:color="auto"/>
              <w:bottom w:val="single" w:sz="4" w:space="0" w:color="auto"/>
              <w:right w:val="single" w:sz="4" w:space="0" w:color="auto"/>
            </w:tcBorders>
            <w:vAlign w:val="bottom"/>
          </w:tcPr>
          <w:p w:rsidR="008A6525" w:rsidRPr="003D0B27" w:rsidRDefault="008A6525" w:rsidP="00106C48">
            <w:pPr>
              <w:rPr>
                <w:sz w:val="18"/>
                <w:szCs w:val="18"/>
              </w:rPr>
            </w:pPr>
            <w:r w:rsidRPr="003D0B27">
              <w:rPr>
                <w:sz w:val="18"/>
                <w:szCs w:val="18"/>
              </w:rPr>
              <w:t xml:space="preserve">Администрация МО </w:t>
            </w:r>
            <w:r>
              <w:rPr>
                <w:sz w:val="18"/>
                <w:szCs w:val="18"/>
              </w:rPr>
              <w:t>Петровское</w:t>
            </w:r>
            <w:r w:rsidRPr="003D0B27">
              <w:rPr>
                <w:sz w:val="18"/>
                <w:szCs w:val="18"/>
              </w:rPr>
              <w:t xml:space="preserve">  сельское поселение</w:t>
            </w:r>
          </w:p>
        </w:tc>
        <w:tc>
          <w:tcPr>
            <w:tcW w:w="2977"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8A6525" w:rsidRPr="005C1FF8" w:rsidRDefault="00AA3884" w:rsidP="00F95E7D">
            <w:pPr>
              <w:jc w:val="center"/>
              <w:rPr>
                <w:sz w:val="20"/>
                <w:szCs w:val="20"/>
              </w:rPr>
            </w:pPr>
            <w:r>
              <w:rPr>
                <w:sz w:val="20"/>
                <w:szCs w:val="20"/>
              </w:rPr>
              <w:t>57 976,2</w:t>
            </w:r>
          </w:p>
        </w:tc>
        <w:tc>
          <w:tcPr>
            <w:tcW w:w="2638" w:type="dxa"/>
            <w:tcBorders>
              <w:top w:val="single" w:sz="4" w:space="0" w:color="auto"/>
              <w:left w:val="nil"/>
              <w:bottom w:val="single" w:sz="4" w:space="0" w:color="auto"/>
              <w:right w:val="single" w:sz="4" w:space="0" w:color="auto"/>
            </w:tcBorders>
            <w:vAlign w:val="center"/>
          </w:tcPr>
          <w:p w:rsidR="008A6525" w:rsidRPr="005C1FF8" w:rsidRDefault="00AA3884" w:rsidP="00F95E7D">
            <w:pPr>
              <w:jc w:val="center"/>
              <w:rPr>
                <w:sz w:val="20"/>
                <w:szCs w:val="20"/>
              </w:rPr>
            </w:pPr>
            <w:r>
              <w:rPr>
                <w:sz w:val="20"/>
                <w:szCs w:val="20"/>
              </w:rPr>
              <w:t>36</w:t>
            </w:r>
          </w:p>
        </w:tc>
      </w:tr>
      <w:tr w:rsidR="008A6525" w:rsidRPr="007708C9" w:rsidTr="00596C6B">
        <w:trPr>
          <w:trHeight w:val="435"/>
        </w:trPr>
        <w:tc>
          <w:tcPr>
            <w:tcW w:w="454" w:type="dxa"/>
            <w:tcBorders>
              <w:top w:val="single" w:sz="4" w:space="0" w:color="auto"/>
              <w:left w:val="single" w:sz="8" w:space="0" w:color="auto"/>
              <w:bottom w:val="single" w:sz="4" w:space="0" w:color="auto"/>
              <w:right w:val="single" w:sz="4" w:space="0" w:color="auto"/>
            </w:tcBorders>
            <w:noWrap/>
            <w:vAlign w:val="bottom"/>
          </w:tcPr>
          <w:p w:rsidR="008A6525" w:rsidRPr="00505F8F" w:rsidRDefault="008A6525" w:rsidP="00106C48">
            <w:pPr>
              <w:rPr>
                <w:sz w:val="16"/>
                <w:szCs w:val="16"/>
              </w:rPr>
            </w:pPr>
            <w:r w:rsidRPr="00505F8F">
              <w:rPr>
                <w:sz w:val="16"/>
                <w:szCs w:val="16"/>
              </w:rPr>
              <w:t>8</w:t>
            </w:r>
          </w:p>
        </w:tc>
        <w:tc>
          <w:tcPr>
            <w:tcW w:w="3260" w:type="dxa"/>
            <w:tcBorders>
              <w:top w:val="single" w:sz="4" w:space="0" w:color="auto"/>
              <w:left w:val="single" w:sz="4" w:space="0" w:color="auto"/>
              <w:bottom w:val="single" w:sz="4" w:space="0" w:color="auto"/>
              <w:right w:val="single" w:sz="4" w:space="0" w:color="auto"/>
            </w:tcBorders>
            <w:vAlign w:val="bottom"/>
          </w:tcPr>
          <w:p w:rsidR="008A6525" w:rsidRPr="003D0B27" w:rsidRDefault="008A6525" w:rsidP="00106C48">
            <w:pPr>
              <w:rPr>
                <w:sz w:val="18"/>
                <w:szCs w:val="18"/>
              </w:rPr>
            </w:pPr>
            <w:r w:rsidRPr="003D0B27">
              <w:rPr>
                <w:sz w:val="18"/>
                <w:szCs w:val="18"/>
              </w:rPr>
              <w:t xml:space="preserve">Администрация МО </w:t>
            </w:r>
            <w:proofErr w:type="spellStart"/>
            <w:r>
              <w:rPr>
                <w:sz w:val="18"/>
                <w:szCs w:val="18"/>
              </w:rPr>
              <w:t>Плодовское</w:t>
            </w:r>
            <w:proofErr w:type="spellEnd"/>
            <w:r w:rsidRPr="003D0B27">
              <w:rPr>
                <w:sz w:val="18"/>
                <w:szCs w:val="18"/>
              </w:rPr>
              <w:t xml:space="preserve">  сельское поселение</w:t>
            </w:r>
          </w:p>
        </w:tc>
        <w:tc>
          <w:tcPr>
            <w:tcW w:w="2977"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8A6525" w:rsidRPr="005C1FF8" w:rsidRDefault="00AA3884" w:rsidP="00F95E7D">
            <w:pPr>
              <w:jc w:val="center"/>
              <w:rPr>
                <w:sz w:val="20"/>
                <w:szCs w:val="20"/>
              </w:rPr>
            </w:pPr>
            <w:r>
              <w:rPr>
                <w:sz w:val="20"/>
                <w:szCs w:val="20"/>
              </w:rPr>
              <w:t>61 545,5</w:t>
            </w:r>
          </w:p>
        </w:tc>
        <w:tc>
          <w:tcPr>
            <w:tcW w:w="2638" w:type="dxa"/>
            <w:tcBorders>
              <w:top w:val="single" w:sz="4" w:space="0" w:color="auto"/>
              <w:left w:val="nil"/>
              <w:bottom w:val="single" w:sz="4" w:space="0" w:color="auto"/>
              <w:right w:val="single" w:sz="4" w:space="0" w:color="auto"/>
            </w:tcBorders>
            <w:vAlign w:val="center"/>
          </w:tcPr>
          <w:p w:rsidR="008A6525" w:rsidRPr="005C1FF8" w:rsidRDefault="00AA3884" w:rsidP="00F95E7D">
            <w:pPr>
              <w:jc w:val="center"/>
              <w:rPr>
                <w:sz w:val="20"/>
                <w:szCs w:val="20"/>
              </w:rPr>
            </w:pPr>
            <w:r>
              <w:rPr>
                <w:sz w:val="20"/>
                <w:szCs w:val="20"/>
              </w:rPr>
              <w:t>17</w:t>
            </w:r>
          </w:p>
        </w:tc>
      </w:tr>
      <w:tr w:rsidR="008A6525" w:rsidRPr="007708C9" w:rsidTr="00596C6B">
        <w:trPr>
          <w:trHeight w:val="176"/>
        </w:trPr>
        <w:tc>
          <w:tcPr>
            <w:tcW w:w="454" w:type="dxa"/>
            <w:tcBorders>
              <w:top w:val="single" w:sz="4" w:space="0" w:color="auto"/>
              <w:left w:val="single" w:sz="8" w:space="0" w:color="auto"/>
              <w:bottom w:val="single" w:sz="4" w:space="0" w:color="auto"/>
              <w:right w:val="single" w:sz="4" w:space="0" w:color="auto"/>
            </w:tcBorders>
            <w:noWrap/>
            <w:vAlign w:val="bottom"/>
          </w:tcPr>
          <w:p w:rsidR="008A6525" w:rsidRPr="00505F8F" w:rsidRDefault="008A6525" w:rsidP="00106C48">
            <w:pPr>
              <w:rPr>
                <w:sz w:val="16"/>
                <w:szCs w:val="16"/>
              </w:rPr>
            </w:pPr>
            <w:r w:rsidRPr="00505F8F">
              <w:rPr>
                <w:sz w:val="16"/>
                <w:szCs w:val="16"/>
              </w:rPr>
              <w:t>9</w:t>
            </w:r>
          </w:p>
        </w:tc>
        <w:tc>
          <w:tcPr>
            <w:tcW w:w="3260" w:type="dxa"/>
            <w:tcBorders>
              <w:top w:val="single" w:sz="4" w:space="0" w:color="auto"/>
              <w:left w:val="single" w:sz="4" w:space="0" w:color="auto"/>
              <w:bottom w:val="single" w:sz="4" w:space="0" w:color="auto"/>
              <w:right w:val="single" w:sz="4" w:space="0" w:color="auto"/>
            </w:tcBorders>
            <w:vAlign w:val="bottom"/>
          </w:tcPr>
          <w:p w:rsidR="008A6525" w:rsidRPr="003D0B27" w:rsidRDefault="008A6525" w:rsidP="00106C48">
            <w:pPr>
              <w:rPr>
                <w:sz w:val="18"/>
                <w:szCs w:val="18"/>
              </w:rPr>
            </w:pPr>
            <w:r w:rsidRPr="003D0B27">
              <w:rPr>
                <w:sz w:val="18"/>
                <w:szCs w:val="18"/>
              </w:rPr>
              <w:t xml:space="preserve">Администрация МО </w:t>
            </w:r>
            <w:proofErr w:type="spellStart"/>
            <w:r>
              <w:rPr>
                <w:sz w:val="18"/>
                <w:szCs w:val="18"/>
              </w:rPr>
              <w:t>Раздольевское</w:t>
            </w:r>
            <w:proofErr w:type="spellEnd"/>
            <w:r>
              <w:rPr>
                <w:sz w:val="18"/>
                <w:szCs w:val="18"/>
              </w:rPr>
              <w:t xml:space="preserve"> </w:t>
            </w:r>
            <w:r w:rsidRPr="003D0B27">
              <w:rPr>
                <w:sz w:val="18"/>
                <w:szCs w:val="18"/>
              </w:rPr>
              <w:t xml:space="preserve">  сельское поселение</w:t>
            </w:r>
          </w:p>
        </w:tc>
        <w:tc>
          <w:tcPr>
            <w:tcW w:w="2977"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8A6525" w:rsidRPr="005C1FF8" w:rsidRDefault="00AA3884" w:rsidP="00F95E7D">
            <w:pPr>
              <w:jc w:val="center"/>
              <w:rPr>
                <w:sz w:val="20"/>
                <w:szCs w:val="20"/>
              </w:rPr>
            </w:pPr>
            <w:r>
              <w:rPr>
                <w:sz w:val="20"/>
                <w:szCs w:val="20"/>
              </w:rPr>
              <w:t>36 575,2</w:t>
            </w:r>
          </w:p>
        </w:tc>
        <w:tc>
          <w:tcPr>
            <w:tcW w:w="2638" w:type="dxa"/>
            <w:tcBorders>
              <w:top w:val="single" w:sz="4" w:space="0" w:color="auto"/>
              <w:left w:val="nil"/>
              <w:bottom w:val="single" w:sz="4" w:space="0" w:color="auto"/>
              <w:right w:val="single" w:sz="4" w:space="0" w:color="auto"/>
            </w:tcBorders>
            <w:vAlign w:val="center"/>
          </w:tcPr>
          <w:p w:rsidR="008A6525" w:rsidRPr="005C1FF8" w:rsidRDefault="00AA3884" w:rsidP="00F95E7D">
            <w:pPr>
              <w:jc w:val="center"/>
              <w:rPr>
                <w:sz w:val="20"/>
                <w:szCs w:val="20"/>
              </w:rPr>
            </w:pPr>
            <w:r>
              <w:rPr>
                <w:sz w:val="20"/>
                <w:szCs w:val="20"/>
              </w:rPr>
              <w:t>56</w:t>
            </w:r>
          </w:p>
        </w:tc>
      </w:tr>
      <w:tr w:rsidR="008A6525" w:rsidRPr="007708C9" w:rsidTr="00596C6B">
        <w:trPr>
          <w:trHeight w:val="239"/>
        </w:trPr>
        <w:tc>
          <w:tcPr>
            <w:tcW w:w="454" w:type="dxa"/>
            <w:tcBorders>
              <w:top w:val="single" w:sz="4" w:space="0" w:color="auto"/>
              <w:left w:val="single" w:sz="8" w:space="0" w:color="auto"/>
              <w:bottom w:val="single" w:sz="4" w:space="0" w:color="auto"/>
              <w:right w:val="single" w:sz="4" w:space="0" w:color="auto"/>
            </w:tcBorders>
            <w:noWrap/>
            <w:vAlign w:val="bottom"/>
          </w:tcPr>
          <w:p w:rsidR="008A6525" w:rsidRPr="00505F8F" w:rsidRDefault="008A6525" w:rsidP="00106C48">
            <w:pPr>
              <w:rPr>
                <w:sz w:val="16"/>
                <w:szCs w:val="16"/>
              </w:rPr>
            </w:pPr>
            <w:r w:rsidRPr="00505F8F">
              <w:rPr>
                <w:sz w:val="16"/>
                <w:szCs w:val="16"/>
              </w:rPr>
              <w:t>10</w:t>
            </w:r>
          </w:p>
        </w:tc>
        <w:tc>
          <w:tcPr>
            <w:tcW w:w="3260" w:type="dxa"/>
            <w:tcBorders>
              <w:top w:val="single" w:sz="4" w:space="0" w:color="auto"/>
              <w:left w:val="single" w:sz="4" w:space="0" w:color="auto"/>
              <w:bottom w:val="single" w:sz="4" w:space="0" w:color="auto"/>
              <w:right w:val="single" w:sz="4" w:space="0" w:color="auto"/>
            </w:tcBorders>
            <w:vAlign w:val="bottom"/>
          </w:tcPr>
          <w:p w:rsidR="008A6525" w:rsidRDefault="008A6525" w:rsidP="00106C48">
            <w:r w:rsidRPr="003D0B27">
              <w:rPr>
                <w:sz w:val="18"/>
                <w:szCs w:val="18"/>
              </w:rPr>
              <w:t xml:space="preserve">Администрация МО </w:t>
            </w:r>
            <w:proofErr w:type="spellStart"/>
            <w:r>
              <w:rPr>
                <w:sz w:val="18"/>
                <w:szCs w:val="18"/>
              </w:rPr>
              <w:t>Ромашкинское</w:t>
            </w:r>
            <w:proofErr w:type="spellEnd"/>
            <w:r>
              <w:rPr>
                <w:sz w:val="18"/>
                <w:szCs w:val="18"/>
              </w:rPr>
              <w:t xml:space="preserve"> </w:t>
            </w:r>
            <w:r w:rsidRPr="003D0B27">
              <w:rPr>
                <w:sz w:val="18"/>
                <w:szCs w:val="18"/>
              </w:rPr>
              <w:t xml:space="preserve">  сельское поселение</w:t>
            </w:r>
          </w:p>
        </w:tc>
        <w:tc>
          <w:tcPr>
            <w:tcW w:w="2977"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8A6525" w:rsidRPr="005C1FF8" w:rsidRDefault="00AA3884" w:rsidP="00F95E7D">
            <w:pPr>
              <w:jc w:val="center"/>
              <w:rPr>
                <w:sz w:val="20"/>
                <w:szCs w:val="20"/>
              </w:rPr>
            </w:pPr>
            <w:r>
              <w:rPr>
                <w:sz w:val="20"/>
                <w:szCs w:val="20"/>
              </w:rPr>
              <w:t>89 683,8</w:t>
            </w:r>
          </w:p>
        </w:tc>
        <w:tc>
          <w:tcPr>
            <w:tcW w:w="2638" w:type="dxa"/>
            <w:tcBorders>
              <w:top w:val="single" w:sz="4" w:space="0" w:color="auto"/>
              <w:left w:val="nil"/>
              <w:bottom w:val="single" w:sz="4" w:space="0" w:color="auto"/>
              <w:right w:val="single" w:sz="4" w:space="0" w:color="auto"/>
            </w:tcBorders>
            <w:vAlign w:val="center"/>
          </w:tcPr>
          <w:p w:rsidR="008A6525" w:rsidRPr="005C1FF8" w:rsidRDefault="00AA3884" w:rsidP="00F95E7D">
            <w:pPr>
              <w:jc w:val="center"/>
              <w:rPr>
                <w:sz w:val="20"/>
                <w:szCs w:val="20"/>
              </w:rPr>
            </w:pPr>
            <w:r>
              <w:rPr>
                <w:sz w:val="20"/>
                <w:szCs w:val="20"/>
              </w:rPr>
              <w:t>41</w:t>
            </w:r>
          </w:p>
        </w:tc>
      </w:tr>
      <w:tr w:rsidR="008A6525" w:rsidRPr="007708C9" w:rsidTr="00596C6B">
        <w:trPr>
          <w:trHeight w:val="299"/>
        </w:trPr>
        <w:tc>
          <w:tcPr>
            <w:tcW w:w="454" w:type="dxa"/>
            <w:tcBorders>
              <w:top w:val="single" w:sz="4" w:space="0" w:color="auto"/>
              <w:left w:val="single" w:sz="8" w:space="0" w:color="auto"/>
              <w:bottom w:val="single" w:sz="4" w:space="0" w:color="auto"/>
              <w:right w:val="single" w:sz="4" w:space="0" w:color="auto"/>
            </w:tcBorders>
            <w:noWrap/>
            <w:vAlign w:val="bottom"/>
          </w:tcPr>
          <w:p w:rsidR="008A6525" w:rsidRPr="00505F8F" w:rsidRDefault="008A6525" w:rsidP="00106C48">
            <w:pPr>
              <w:rPr>
                <w:sz w:val="16"/>
                <w:szCs w:val="16"/>
              </w:rPr>
            </w:pPr>
            <w:r w:rsidRPr="00505F8F">
              <w:rPr>
                <w:sz w:val="16"/>
                <w:szCs w:val="16"/>
              </w:rPr>
              <w:t>11</w:t>
            </w:r>
          </w:p>
        </w:tc>
        <w:tc>
          <w:tcPr>
            <w:tcW w:w="3260" w:type="dxa"/>
            <w:tcBorders>
              <w:top w:val="single" w:sz="4" w:space="0" w:color="auto"/>
              <w:left w:val="single" w:sz="4" w:space="0" w:color="auto"/>
              <w:bottom w:val="single" w:sz="4" w:space="0" w:color="auto"/>
              <w:right w:val="single" w:sz="4" w:space="0" w:color="auto"/>
            </w:tcBorders>
            <w:vAlign w:val="bottom"/>
          </w:tcPr>
          <w:p w:rsidR="008A6525" w:rsidRDefault="008A6525" w:rsidP="00106C48">
            <w:r w:rsidRPr="003D0B27">
              <w:rPr>
                <w:sz w:val="18"/>
                <w:szCs w:val="18"/>
              </w:rPr>
              <w:t xml:space="preserve">Администрация МО </w:t>
            </w:r>
            <w:proofErr w:type="spellStart"/>
            <w:r>
              <w:rPr>
                <w:sz w:val="18"/>
                <w:szCs w:val="18"/>
              </w:rPr>
              <w:t>Севастьяновское</w:t>
            </w:r>
            <w:proofErr w:type="spellEnd"/>
            <w:r>
              <w:rPr>
                <w:sz w:val="18"/>
                <w:szCs w:val="18"/>
              </w:rPr>
              <w:t xml:space="preserve"> </w:t>
            </w:r>
            <w:r w:rsidRPr="003D0B27">
              <w:rPr>
                <w:sz w:val="18"/>
                <w:szCs w:val="18"/>
              </w:rPr>
              <w:t xml:space="preserve">  сельское поселение</w:t>
            </w:r>
          </w:p>
        </w:tc>
        <w:tc>
          <w:tcPr>
            <w:tcW w:w="2977"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8A6525" w:rsidRPr="005C1FF8" w:rsidRDefault="00AA3884" w:rsidP="00F95E7D">
            <w:pPr>
              <w:jc w:val="center"/>
              <w:rPr>
                <w:sz w:val="20"/>
                <w:szCs w:val="20"/>
              </w:rPr>
            </w:pPr>
            <w:r>
              <w:rPr>
                <w:sz w:val="20"/>
                <w:szCs w:val="20"/>
              </w:rPr>
              <w:t>7 855,7</w:t>
            </w:r>
          </w:p>
        </w:tc>
        <w:tc>
          <w:tcPr>
            <w:tcW w:w="2638" w:type="dxa"/>
            <w:tcBorders>
              <w:top w:val="single" w:sz="4" w:space="0" w:color="auto"/>
              <w:left w:val="nil"/>
              <w:bottom w:val="single" w:sz="4" w:space="0" w:color="auto"/>
              <w:right w:val="single" w:sz="4" w:space="0" w:color="auto"/>
            </w:tcBorders>
            <w:vAlign w:val="center"/>
          </w:tcPr>
          <w:p w:rsidR="008A6525" w:rsidRPr="005C1FF8" w:rsidRDefault="00AA3884" w:rsidP="00F95E7D">
            <w:pPr>
              <w:jc w:val="center"/>
              <w:rPr>
                <w:sz w:val="20"/>
                <w:szCs w:val="20"/>
              </w:rPr>
            </w:pPr>
            <w:r>
              <w:rPr>
                <w:sz w:val="20"/>
                <w:szCs w:val="20"/>
              </w:rPr>
              <w:t>7</w:t>
            </w:r>
          </w:p>
        </w:tc>
      </w:tr>
      <w:tr w:rsidR="008A6525" w:rsidRPr="007708C9" w:rsidTr="00596C6B">
        <w:trPr>
          <w:trHeight w:val="231"/>
        </w:trPr>
        <w:tc>
          <w:tcPr>
            <w:tcW w:w="454" w:type="dxa"/>
            <w:tcBorders>
              <w:top w:val="single" w:sz="4" w:space="0" w:color="auto"/>
              <w:left w:val="single" w:sz="8" w:space="0" w:color="auto"/>
              <w:bottom w:val="single" w:sz="4" w:space="0" w:color="auto"/>
              <w:right w:val="single" w:sz="4" w:space="0" w:color="auto"/>
            </w:tcBorders>
            <w:noWrap/>
            <w:vAlign w:val="bottom"/>
          </w:tcPr>
          <w:p w:rsidR="008A6525" w:rsidRPr="00505F8F" w:rsidRDefault="008A6525" w:rsidP="00106C48">
            <w:pPr>
              <w:rPr>
                <w:sz w:val="16"/>
                <w:szCs w:val="16"/>
              </w:rPr>
            </w:pPr>
            <w:r w:rsidRPr="00505F8F">
              <w:rPr>
                <w:sz w:val="16"/>
                <w:szCs w:val="16"/>
              </w:rPr>
              <w:t>12</w:t>
            </w:r>
          </w:p>
        </w:tc>
        <w:tc>
          <w:tcPr>
            <w:tcW w:w="3260" w:type="dxa"/>
            <w:tcBorders>
              <w:top w:val="single" w:sz="4" w:space="0" w:color="auto"/>
              <w:left w:val="single" w:sz="4" w:space="0" w:color="auto"/>
              <w:bottom w:val="single" w:sz="4" w:space="0" w:color="auto"/>
              <w:right w:val="single" w:sz="4" w:space="0" w:color="auto"/>
            </w:tcBorders>
            <w:vAlign w:val="bottom"/>
          </w:tcPr>
          <w:p w:rsidR="008A6525" w:rsidRDefault="008A6525" w:rsidP="00106C48">
            <w:r w:rsidRPr="003D0B27">
              <w:rPr>
                <w:sz w:val="18"/>
                <w:szCs w:val="18"/>
              </w:rPr>
              <w:t xml:space="preserve">Администрация МО </w:t>
            </w:r>
            <w:r>
              <w:rPr>
                <w:sz w:val="18"/>
                <w:szCs w:val="18"/>
              </w:rPr>
              <w:t xml:space="preserve">Сосновское </w:t>
            </w:r>
            <w:r w:rsidRPr="003D0B27">
              <w:rPr>
                <w:sz w:val="18"/>
                <w:szCs w:val="18"/>
              </w:rPr>
              <w:t xml:space="preserve">  сельское поселение</w:t>
            </w:r>
          </w:p>
        </w:tc>
        <w:tc>
          <w:tcPr>
            <w:tcW w:w="2977"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8A6525" w:rsidRPr="005C1FF8" w:rsidRDefault="00AA3884" w:rsidP="00F95E7D">
            <w:pPr>
              <w:jc w:val="center"/>
              <w:rPr>
                <w:sz w:val="20"/>
                <w:szCs w:val="20"/>
              </w:rPr>
            </w:pPr>
            <w:r>
              <w:rPr>
                <w:sz w:val="20"/>
                <w:szCs w:val="20"/>
              </w:rPr>
              <w:t>61 952,7</w:t>
            </w:r>
          </w:p>
        </w:tc>
        <w:tc>
          <w:tcPr>
            <w:tcW w:w="2638" w:type="dxa"/>
            <w:tcBorders>
              <w:top w:val="single" w:sz="4" w:space="0" w:color="auto"/>
              <w:left w:val="nil"/>
              <w:bottom w:val="single" w:sz="4" w:space="0" w:color="auto"/>
              <w:right w:val="single" w:sz="4" w:space="0" w:color="auto"/>
            </w:tcBorders>
            <w:vAlign w:val="center"/>
          </w:tcPr>
          <w:p w:rsidR="008A6525" w:rsidRPr="005C1FF8" w:rsidRDefault="00AA3884" w:rsidP="00F95E7D">
            <w:pPr>
              <w:jc w:val="center"/>
              <w:rPr>
                <w:sz w:val="20"/>
                <w:szCs w:val="20"/>
              </w:rPr>
            </w:pPr>
            <w:r>
              <w:rPr>
                <w:sz w:val="20"/>
                <w:szCs w:val="20"/>
              </w:rPr>
              <w:t>17</w:t>
            </w:r>
          </w:p>
        </w:tc>
      </w:tr>
      <w:tr w:rsidR="008A6525" w:rsidRPr="007708C9" w:rsidTr="00603EE5">
        <w:trPr>
          <w:trHeight w:val="132"/>
        </w:trPr>
        <w:tc>
          <w:tcPr>
            <w:tcW w:w="454" w:type="dxa"/>
            <w:tcBorders>
              <w:top w:val="single" w:sz="4" w:space="0" w:color="auto"/>
              <w:left w:val="single" w:sz="8" w:space="0" w:color="auto"/>
              <w:bottom w:val="single" w:sz="4" w:space="0" w:color="auto"/>
              <w:right w:val="single" w:sz="4" w:space="0" w:color="auto"/>
            </w:tcBorders>
            <w:noWrap/>
            <w:vAlign w:val="bottom"/>
          </w:tcPr>
          <w:p w:rsidR="008A6525" w:rsidRPr="00505F8F" w:rsidRDefault="008A6525" w:rsidP="00106C48">
            <w:pPr>
              <w:rPr>
                <w:sz w:val="16"/>
                <w:szCs w:val="16"/>
              </w:rPr>
            </w:pPr>
            <w:r w:rsidRPr="00505F8F">
              <w:rPr>
                <w:sz w:val="16"/>
                <w:szCs w:val="16"/>
              </w:rPr>
              <w:t>13</w:t>
            </w:r>
          </w:p>
        </w:tc>
        <w:tc>
          <w:tcPr>
            <w:tcW w:w="3260" w:type="dxa"/>
            <w:tcBorders>
              <w:top w:val="single" w:sz="4" w:space="0" w:color="auto"/>
              <w:left w:val="single" w:sz="4" w:space="0" w:color="auto"/>
              <w:bottom w:val="single" w:sz="4" w:space="0" w:color="auto"/>
              <w:right w:val="single" w:sz="4" w:space="0" w:color="auto"/>
            </w:tcBorders>
            <w:vAlign w:val="bottom"/>
          </w:tcPr>
          <w:p w:rsidR="008A6525" w:rsidRDefault="008A6525" w:rsidP="00BB139E">
            <w:r w:rsidRPr="003D0B27">
              <w:rPr>
                <w:sz w:val="18"/>
                <w:szCs w:val="18"/>
              </w:rPr>
              <w:t xml:space="preserve">Администрация </w:t>
            </w:r>
            <w:r w:rsidR="00BB139E">
              <w:rPr>
                <w:sz w:val="18"/>
                <w:szCs w:val="18"/>
              </w:rPr>
              <w:t xml:space="preserve"> </w:t>
            </w:r>
            <w:proofErr w:type="spellStart"/>
            <w:r>
              <w:rPr>
                <w:sz w:val="18"/>
                <w:szCs w:val="18"/>
              </w:rPr>
              <w:t>Кузнечнинско</w:t>
            </w:r>
            <w:r w:rsidR="00BB139E">
              <w:rPr>
                <w:sz w:val="18"/>
                <w:szCs w:val="18"/>
              </w:rPr>
              <w:t>го</w:t>
            </w:r>
            <w:proofErr w:type="spellEnd"/>
            <w:r w:rsidR="00BB139E">
              <w:rPr>
                <w:sz w:val="18"/>
                <w:szCs w:val="18"/>
              </w:rPr>
              <w:t xml:space="preserve"> </w:t>
            </w:r>
            <w:r>
              <w:rPr>
                <w:sz w:val="18"/>
                <w:szCs w:val="18"/>
              </w:rPr>
              <w:t>городск</w:t>
            </w:r>
            <w:r w:rsidR="00BB139E">
              <w:rPr>
                <w:sz w:val="18"/>
                <w:szCs w:val="18"/>
              </w:rPr>
              <w:t>ого</w:t>
            </w:r>
            <w:r>
              <w:rPr>
                <w:sz w:val="18"/>
                <w:szCs w:val="18"/>
              </w:rPr>
              <w:t xml:space="preserve"> </w:t>
            </w:r>
            <w:r w:rsidRPr="003D0B27">
              <w:rPr>
                <w:sz w:val="18"/>
                <w:szCs w:val="18"/>
              </w:rPr>
              <w:t xml:space="preserve"> поселени</w:t>
            </w:r>
            <w:r w:rsidR="00BB139E">
              <w:rPr>
                <w:sz w:val="18"/>
                <w:szCs w:val="18"/>
              </w:rPr>
              <w:t>я</w:t>
            </w:r>
          </w:p>
        </w:tc>
        <w:tc>
          <w:tcPr>
            <w:tcW w:w="2977"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8A6525" w:rsidRPr="005C1FF8" w:rsidRDefault="00AA3884" w:rsidP="00F95E7D">
            <w:pPr>
              <w:jc w:val="center"/>
              <w:rPr>
                <w:sz w:val="20"/>
                <w:szCs w:val="20"/>
              </w:rPr>
            </w:pPr>
            <w:r>
              <w:rPr>
                <w:sz w:val="20"/>
                <w:szCs w:val="20"/>
              </w:rPr>
              <w:t>140 629,9</w:t>
            </w:r>
          </w:p>
        </w:tc>
        <w:tc>
          <w:tcPr>
            <w:tcW w:w="2638" w:type="dxa"/>
            <w:tcBorders>
              <w:top w:val="single" w:sz="4" w:space="0" w:color="auto"/>
              <w:left w:val="nil"/>
              <w:bottom w:val="single" w:sz="4" w:space="0" w:color="auto"/>
              <w:right w:val="single" w:sz="4" w:space="0" w:color="auto"/>
            </w:tcBorders>
            <w:vAlign w:val="center"/>
          </w:tcPr>
          <w:p w:rsidR="008A6525" w:rsidRPr="005C1FF8" w:rsidRDefault="00AA3884" w:rsidP="00F95E7D">
            <w:pPr>
              <w:jc w:val="center"/>
              <w:rPr>
                <w:sz w:val="20"/>
                <w:szCs w:val="20"/>
              </w:rPr>
            </w:pPr>
            <w:r>
              <w:rPr>
                <w:sz w:val="20"/>
                <w:szCs w:val="20"/>
              </w:rPr>
              <w:t>83</w:t>
            </w:r>
          </w:p>
        </w:tc>
      </w:tr>
      <w:tr w:rsidR="008A6525" w:rsidRPr="007708C9" w:rsidTr="00596C6B">
        <w:trPr>
          <w:trHeight w:val="421"/>
        </w:trPr>
        <w:tc>
          <w:tcPr>
            <w:tcW w:w="454" w:type="dxa"/>
            <w:tcBorders>
              <w:top w:val="single" w:sz="4" w:space="0" w:color="auto"/>
              <w:left w:val="single" w:sz="8" w:space="0" w:color="auto"/>
              <w:bottom w:val="single" w:sz="4" w:space="0" w:color="auto"/>
              <w:right w:val="single" w:sz="4" w:space="0" w:color="auto"/>
            </w:tcBorders>
            <w:noWrap/>
            <w:vAlign w:val="bottom"/>
          </w:tcPr>
          <w:p w:rsidR="008A6525" w:rsidRPr="00505F8F" w:rsidRDefault="008A6525" w:rsidP="00106C48">
            <w:pPr>
              <w:rPr>
                <w:sz w:val="16"/>
                <w:szCs w:val="16"/>
              </w:rPr>
            </w:pPr>
            <w:r w:rsidRPr="00505F8F">
              <w:rPr>
                <w:sz w:val="16"/>
                <w:szCs w:val="16"/>
              </w:rPr>
              <w:t>14</w:t>
            </w:r>
          </w:p>
        </w:tc>
        <w:tc>
          <w:tcPr>
            <w:tcW w:w="3260" w:type="dxa"/>
            <w:tcBorders>
              <w:top w:val="single" w:sz="4" w:space="0" w:color="auto"/>
              <w:left w:val="single" w:sz="4" w:space="0" w:color="auto"/>
              <w:bottom w:val="single" w:sz="4" w:space="0" w:color="auto"/>
              <w:right w:val="single" w:sz="4" w:space="0" w:color="auto"/>
            </w:tcBorders>
            <w:vAlign w:val="bottom"/>
          </w:tcPr>
          <w:p w:rsidR="008A6525" w:rsidRDefault="008A6525" w:rsidP="00BB139E">
            <w:r w:rsidRPr="003D0B27">
              <w:rPr>
                <w:sz w:val="18"/>
                <w:szCs w:val="18"/>
              </w:rPr>
              <w:t>А</w:t>
            </w:r>
            <w:r w:rsidR="00BB139E">
              <w:rPr>
                <w:sz w:val="18"/>
                <w:szCs w:val="18"/>
              </w:rPr>
              <w:t>дми</w:t>
            </w:r>
            <w:r w:rsidRPr="003D0B27">
              <w:rPr>
                <w:sz w:val="18"/>
                <w:szCs w:val="18"/>
              </w:rPr>
              <w:t xml:space="preserve">нистрация </w:t>
            </w:r>
            <w:r w:rsidR="00BB139E">
              <w:rPr>
                <w:sz w:val="18"/>
                <w:szCs w:val="18"/>
              </w:rPr>
              <w:t xml:space="preserve"> </w:t>
            </w:r>
            <w:r>
              <w:rPr>
                <w:sz w:val="18"/>
                <w:szCs w:val="18"/>
              </w:rPr>
              <w:t>Приозерско</w:t>
            </w:r>
            <w:r w:rsidR="00BB139E">
              <w:rPr>
                <w:sz w:val="18"/>
                <w:szCs w:val="18"/>
              </w:rPr>
              <w:t>го муниципального района (</w:t>
            </w:r>
            <w:proofErr w:type="spellStart"/>
            <w:r w:rsidR="00BB139E">
              <w:rPr>
                <w:sz w:val="18"/>
                <w:szCs w:val="18"/>
              </w:rPr>
              <w:t>Приозерское</w:t>
            </w:r>
            <w:proofErr w:type="spellEnd"/>
            <w:r w:rsidR="00BB139E">
              <w:rPr>
                <w:sz w:val="18"/>
                <w:szCs w:val="18"/>
              </w:rPr>
              <w:t xml:space="preserve"> городское поселение)</w:t>
            </w:r>
          </w:p>
        </w:tc>
        <w:tc>
          <w:tcPr>
            <w:tcW w:w="2977"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8A6525" w:rsidRPr="005C1FF8" w:rsidRDefault="00AA3884" w:rsidP="00F95E7D">
            <w:pPr>
              <w:jc w:val="center"/>
              <w:rPr>
                <w:sz w:val="20"/>
                <w:szCs w:val="20"/>
              </w:rPr>
            </w:pPr>
            <w:r>
              <w:rPr>
                <w:sz w:val="20"/>
                <w:szCs w:val="20"/>
              </w:rPr>
              <w:t>327 666,8</w:t>
            </w:r>
          </w:p>
        </w:tc>
        <w:tc>
          <w:tcPr>
            <w:tcW w:w="2638" w:type="dxa"/>
            <w:tcBorders>
              <w:top w:val="single" w:sz="4" w:space="0" w:color="auto"/>
              <w:left w:val="nil"/>
              <w:bottom w:val="single" w:sz="4" w:space="0" w:color="auto"/>
              <w:right w:val="single" w:sz="4" w:space="0" w:color="auto"/>
            </w:tcBorders>
            <w:vAlign w:val="center"/>
          </w:tcPr>
          <w:p w:rsidR="005141F7" w:rsidRPr="005C1FF8" w:rsidRDefault="00AA3884" w:rsidP="00F95E7D">
            <w:pPr>
              <w:jc w:val="center"/>
              <w:rPr>
                <w:sz w:val="20"/>
                <w:szCs w:val="20"/>
              </w:rPr>
            </w:pPr>
            <w:r>
              <w:rPr>
                <w:sz w:val="20"/>
                <w:szCs w:val="20"/>
              </w:rPr>
              <w:t>58</w:t>
            </w:r>
          </w:p>
        </w:tc>
      </w:tr>
      <w:tr w:rsidR="008A6525" w:rsidRPr="007708C9" w:rsidTr="000C1CF3">
        <w:trPr>
          <w:trHeight w:val="228"/>
        </w:trPr>
        <w:tc>
          <w:tcPr>
            <w:tcW w:w="454" w:type="dxa"/>
            <w:tcBorders>
              <w:top w:val="nil"/>
              <w:left w:val="single" w:sz="8" w:space="0" w:color="auto"/>
              <w:bottom w:val="single" w:sz="4" w:space="0" w:color="auto"/>
              <w:right w:val="single" w:sz="4" w:space="0" w:color="auto"/>
            </w:tcBorders>
            <w:shd w:val="clear" w:color="auto" w:fill="EEECE1" w:themeFill="background2"/>
            <w:noWrap/>
            <w:vAlign w:val="bottom"/>
          </w:tcPr>
          <w:p w:rsidR="008A6525" w:rsidRPr="007708C9" w:rsidRDefault="008A6525" w:rsidP="00106C48">
            <w:pPr>
              <w:rPr>
                <w:b/>
                <w:sz w:val="20"/>
                <w:szCs w:val="20"/>
              </w:rPr>
            </w:pPr>
          </w:p>
          <w:p w:rsidR="008A6525" w:rsidRPr="007708C9" w:rsidRDefault="008A6525" w:rsidP="00106C48">
            <w:pPr>
              <w:rPr>
                <w:b/>
                <w:sz w:val="20"/>
                <w:szCs w:val="20"/>
              </w:rPr>
            </w:pPr>
          </w:p>
        </w:tc>
        <w:tc>
          <w:tcPr>
            <w:tcW w:w="3260" w:type="dxa"/>
            <w:tcBorders>
              <w:top w:val="nil"/>
              <w:left w:val="single" w:sz="4" w:space="0" w:color="auto"/>
              <w:bottom w:val="single" w:sz="4" w:space="0" w:color="auto"/>
              <w:right w:val="single" w:sz="4" w:space="0" w:color="auto"/>
            </w:tcBorders>
            <w:shd w:val="clear" w:color="auto" w:fill="EEECE1" w:themeFill="background2"/>
            <w:vAlign w:val="bottom"/>
          </w:tcPr>
          <w:p w:rsidR="008A6525" w:rsidRPr="005C1FF8" w:rsidRDefault="008A6525" w:rsidP="00106C48">
            <w:pPr>
              <w:rPr>
                <w:b/>
                <w:sz w:val="20"/>
                <w:szCs w:val="20"/>
              </w:rPr>
            </w:pPr>
            <w:r w:rsidRPr="005C1FF8">
              <w:rPr>
                <w:b/>
                <w:sz w:val="20"/>
                <w:szCs w:val="20"/>
              </w:rPr>
              <w:t>ВСЕГО:</w:t>
            </w:r>
          </w:p>
        </w:tc>
        <w:tc>
          <w:tcPr>
            <w:tcW w:w="2977" w:type="dxa"/>
            <w:tcBorders>
              <w:top w:val="nil"/>
              <w:left w:val="nil"/>
              <w:bottom w:val="single" w:sz="4" w:space="0" w:color="auto"/>
              <w:right w:val="single" w:sz="4" w:space="0" w:color="auto"/>
            </w:tcBorders>
            <w:shd w:val="clear" w:color="auto" w:fill="EEECE1" w:themeFill="background2"/>
            <w:noWrap/>
            <w:tcMar>
              <w:top w:w="0" w:type="dxa"/>
              <w:left w:w="0" w:type="dxa"/>
              <w:bottom w:w="0" w:type="dxa"/>
              <w:right w:w="0" w:type="dxa"/>
            </w:tcMar>
            <w:vAlign w:val="center"/>
          </w:tcPr>
          <w:p w:rsidR="008A6525" w:rsidRPr="005C1FF8" w:rsidRDefault="00AA3884" w:rsidP="00F95E7D">
            <w:pPr>
              <w:jc w:val="center"/>
              <w:rPr>
                <w:b/>
                <w:sz w:val="20"/>
                <w:szCs w:val="20"/>
              </w:rPr>
            </w:pPr>
            <w:r>
              <w:rPr>
                <w:b/>
                <w:sz w:val="20"/>
                <w:szCs w:val="20"/>
              </w:rPr>
              <w:t>1 268 756,0</w:t>
            </w:r>
          </w:p>
        </w:tc>
        <w:tc>
          <w:tcPr>
            <w:tcW w:w="2638" w:type="dxa"/>
            <w:tcBorders>
              <w:top w:val="nil"/>
              <w:left w:val="nil"/>
              <w:bottom w:val="single" w:sz="4" w:space="0" w:color="auto"/>
              <w:right w:val="single" w:sz="4" w:space="0" w:color="auto"/>
            </w:tcBorders>
            <w:shd w:val="clear" w:color="auto" w:fill="EEECE1" w:themeFill="background2"/>
            <w:vAlign w:val="center"/>
          </w:tcPr>
          <w:p w:rsidR="008A6525" w:rsidRPr="005C1FF8" w:rsidRDefault="00AA3884" w:rsidP="00F95E7D">
            <w:pPr>
              <w:jc w:val="center"/>
              <w:rPr>
                <w:b/>
                <w:sz w:val="20"/>
                <w:szCs w:val="20"/>
              </w:rPr>
            </w:pPr>
            <w:r>
              <w:rPr>
                <w:b/>
                <w:sz w:val="20"/>
                <w:szCs w:val="20"/>
              </w:rPr>
              <w:t>482</w:t>
            </w:r>
          </w:p>
        </w:tc>
      </w:tr>
    </w:tbl>
    <w:p w:rsidR="00301714" w:rsidRPr="00AD79B0" w:rsidRDefault="00301714" w:rsidP="00596C6B">
      <w:pPr>
        <w:spacing w:line="120" w:lineRule="auto"/>
        <w:ind w:firstLine="567"/>
        <w:jc w:val="both"/>
      </w:pPr>
    </w:p>
    <w:p w:rsidR="00DF370D" w:rsidRDefault="00DF370D" w:rsidP="004B3A4F">
      <w:pPr>
        <w:autoSpaceDE w:val="0"/>
        <w:autoSpaceDN w:val="0"/>
        <w:adjustRightInd w:val="0"/>
        <w:spacing w:line="120" w:lineRule="auto"/>
        <w:ind w:firstLine="425"/>
        <w:jc w:val="both"/>
      </w:pPr>
    </w:p>
    <w:p w:rsidR="007B6267" w:rsidRPr="007B6267" w:rsidRDefault="007B6267" w:rsidP="007B6267">
      <w:pPr>
        <w:autoSpaceDE w:val="0"/>
        <w:autoSpaceDN w:val="0"/>
        <w:adjustRightInd w:val="0"/>
        <w:ind w:firstLine="426"/>
        <w:jc w:val="both"/>
        <w:rPr>
          <w:rFonts w:eastAsia="Calibri"/>
          <w:b/>
          <w:color w:val="000000"/>
        </w:rPr>
      </w:pPr>
      <w:r w:rsidRPr="007B6267">
        <w:t>За 20</w:t>
      </w:r>
      <w:r w:rsidR="000B0F94">
        <w:t>22</w:t>
      </w:r>
      <w:r w:rsidRPr="007B6267">
        <w:t xml:space="preserve"> год  </w:t>
      </w:r>
      <w:r w:rsidR="000B0F94">
        <w:t>З</w:t>
      </w:r>
      <w:r w:rsidRPr="007B6267">
        <w:t>аказчиками Приозерск</w:t>
      </w:r>
      <w:r w:rsidR="000B0F94">
        <w:t>ого</w:t>
      </w:r>
      <w:r w:rsidRPr="007B6267">
        <w:t xml:space="preserve"> муниципальн</w:t>
      </w:r>
      <w:r w:rsidR="000B0F94">
        <w:t>ого</w:t>
      </w:r>
      <w:r w:rsidRPr="007B6267">
        <w:t xml:space="preserve"> район</w:t>
      </w:r>
      <w:r w:rsidR="000B0F94">
        <w:t>а</w:t>
      </w:r>
      <w:r w:rsidRPr="007B6267">
        <w:t xml:space="preserve"> были внесены изменения в планы-графики закупок  </w:t>
      </w:r>
      <w:r w:rsidRPr="007B6267">
        <w:rPr>
          <w:b/>
        </w:rPr>
        <w:t>4</w:t>
      </w:r>
      <w:r w:rsidR="000B0F94">
        <w:rPr>
          <w:b/>
        </w:rPr>
        <w:t>68</w:t>
      </w:r>
      <w:r w:rsidRPr="007B6267">
        <w:rPr>
          <w:b/>
        </w:rPr>
        <w:t xml:space="preserve"> раз.</w:t>
      </w:r>
    </w:p>
    <w:p w:rsidR="007B6267" w:rsidRDefault="007B6267" w:rsidP="007B6267">
      <w:pPr>
        <w:autoSpaceDE w:val="0"/>
        <w:autoSpaceDN w:val="0"/>
        <w:adjustRightInd w:val="0"/>
        <w:ind w:firstLine="426"/>
        <w:jc w:val="both"/>
        <w:rPr>
          <w:rFonts w:eastAsia="Calibri"/>
          <w:color w:val="000000"/>
        </w:rPr>
      </w:pPr>
      <w:r w:rsidRPr="007B6267">
        <w:rPr>
          <w:rFonts w:eastAsia="Calibri"/>
          <w:color w:val="000000"/>
        </w:rPr>
        <w:t>По сравнению с 20</w:t>
      </w:r>
      <w:r w:rsidR="00966A3B">
        <w:rPr>
          <w:rFonts w:eastAsia="Calibri"/>
          <w:color w:val="000000"/>
        </w:rPr>
        <w:t>21</w:t>
      </w:r>
      <w:r w:rsidRPr="007B6267">
        <w:rPr>
          <w:rFonts w:eastAsia="Calibri"/>
          <w:color w:val="000000"/>
        </w:rPr>
        <w:t xml:space="preserve"> годом количество изменений вносимых в план-график закупок увеличилось на </w:t>
      </w:r>
      <w:r w:rsidR="00966A3B">
        <w:rPr>
          <w:rFonts w:eastAsia="Calibri"/>
          <w:color w:val="000000"/>
        </w:rPr>
        <w:t>15,3</w:t>
      </w:r>
      <w:r w:rsidRPr="007B6267">
        <w:rPr>
          <w:rFonts w:eastAsia="Calibri"/>
          <w:color w:val="000000"/>
        </w:rPr>
        <w:t>%, по сравнению с 20</w:t>
      </w:r>
      <w:r>
        <w:rPr>
          <w:rFonts w:eastAsia="Calibri"/>
          <w:color w:val="000000"/>
        </w:rPr>
        <w:t>20</w:t>
      </w:r>
      <w:r w:rsidRPr="007B6267">
        <w:rPr>
          <w:rFonts w:eastAsia="Calibri"/>
          <w:color w:val="000000"/>
        </w:rPr>
        <w:t xml:space="preserve"> годом </w:t>
      </w:r>
      <w:r w:rsidR="00966A3B">
        <w:rPr>
          <w:rFonts w:eastAsia="Calibri"/>
          <w:color w:val="000000"/>
        </w:rPr>
        <w:t>незначительно увеличилось</w:t>
      </w:r>
      <w:r w:rsidRPr="007B6267">
        <w:rPr>
          <w:rFonts w:eastAsia="Calibri"/>
          <w:color w:val="000000"/>
        </w:rPr>
        <w:t xml:space="preserve">, более чем на </w:t>
      </w:r>
      <w:r w:rsidR="00966A3B">
        <w:rPr>
          <w:rFonts w:eastAsia="Calibri"/>
          <w:color w:val="000000"/>
        </w:rPr>
        <w:t>2,8</w:t>
      </w:r>
      <w:r w:rsidRPr="007B6267">
        <w:rPr>
          <w:rFonts w:eastAsia="Calibri"/>
          <w:color w:val="000000"/>
        </w:rPr>
        <w:t>% (количество изменений вносимых в план-график закупок в 20</w:t>
      </w:r>
      <w:r w:rsidR="00966A3B">
        <w:rPr>
          <w:rFonts w:eastAsia="Calibri"/>
          <w:color w:val="000000"/>
        </w:rPr>
        <w:t>20</w:t>
      </w:r>
      <w:r w:rsidRPr="007B6267">
        <w:rPr>
          <w:rFonts w:eastAsia="Calibri"/>
          <w:color w:val="000000"/>
        </w:rPr>
        <w:t xml:space="preserve"> году </w:t>
      </w:r>
      <w:r w:rsidR="00966A3B">
        <w:rPr>
          <w:rFonts w:eastAsia="Calibri"/>
          <w:color w:val="000000"/>
        </w:rPr>
        <w:t>–</w:t>
      </w:r>
      <w:r w:rsidRPr="007B6267">
        <w:rPr>
          <w:rFonts w:eastAsia="Calibri"/>
          <w:color w:val="000000"/>
        </w:rPr>
        <w:t xml:space="preserve"> </w:t>
      </w:r>
      <w:r w:rsidR="00966A3B">
        <w:rPr>
          <w:rFonts w:eastAsia="Calibri"/>
          <w:color w:val="000000"/>
        </w:rPr>
        <w:t>469; в 2021 году - 418</w:t>
      </w:r>
      <w:r w:rsidRPr="007B6267">
        <w:rPr>
          <w:rFonts w:eastAsia="Calibri"/>
          <w:color w:val="00000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126"/>
        <w:gridCol w:w="1843"/>
        <w:gridCol w:w="2977"/>
      </w:tblGrid>
      <w:tr w:rsidR="00966A3B" w:rsidRPr="007B6267" w:rsidTr="00966A3B">
        <w:trPr>
          <w:trHeight w:val="98"/>
        </w:trPr>
        <w:tc>
          <w:tcPr>
            <w:tcW w:w="2410" w:type="dxa"/>
            <w:shd w:val="clear" w:color="auto" w:fill="EEECE1" w:themeFill="background2"/>
          </w:tcPr>
          <w:p w:rsidR="00966A3B" w:rsidRPr="007B6267" w:rsidRDefault="00966A3B" w:rsidP="007B6267">
            <w:pPr>
              <w:autoSpaceDE w:val="0"/>
              <w:autoSpaceDN w:val="0"/>
              <w:adjustRightInd w:val="0"/>
              <w:jc w:val="center"/>
              <w:rPr>
                <w:rFonts w:eastAsia="Calibri"/>
                <w:color w:val="000000"/>
                <w:sz w:val="22"/>
                <w:szCs w:val="22"/>
              </w:rPr>
            </w:pPr>
            <w:r w:rsidRPr="007B6267">
              <w:rPr>
                <w:rFonts w:eastAsia="Calibri"/>
                <w:b/>
                <w:bCs/>
                <w:color w:val="000000"/>
                <w:sz w:val="22"/>
                <w:szCs w:val="22"/>
              </w:rPr>
              <w:t>Год</w:t>
            </w:r>
          </w:p>
        </w:tc>
        <w:tc>
          <w:tcPr>
            <w:tcW w:w="2126" w:type="dxa"/>
            <w:shd w:val="clear" w:color="auto" w:fill="EEECE1" w:themeFill="background2"/>
          </w:tcPr>
          <w:p w:rsidR="00966A3B" w:rsidRPr="007B6267" w:rsidRDefault="00966A3B" w:rsidP="00D14B8E">
            <w:pPr>
              <w:autoSpaceDE w:val="0"/>
              <w:autoSpaceDN w:val="0"/>
              <w:adjustRightInd w:val="0"/>
              <w:jc w:val="center"/>
              <w:rPr>
                <w:rFonts w:eastAsia="Calibri"/>
                <w:color w:val="000000"/>
                <w:sz w:val="22"/>
                <w:szCs w:val="22"/>
              </w:rPr>
            </w:pPr>
            <w:r w:rsidRPr="007B6267">
              <w:rPr>
                <w:rFonts w:eastAsia="Calibri"/>
                <w:b/>
                <w:bCs/>
                <w:color w:val="000000"/>
                <w:sz w:val="22"/>
                <w:szCs w:val="22"/>
              </w:rPr>
              <w:t>20</w:t>
            </w:r>
            <w:r>
              <w:rPr>
                <w:rFonts w:eastAsia="Calibri"/>
                <w:b/>
                <w:bCs/>
                <w:color w:val="000000"/>
                <w:sz w:val="22"/>
                <w:szCs w:val="22"/>
              </w:rPr>
              <w:t>20</w:t>
            </w:r>
          </w:p>
        </w:tc>
        <w:tc>
          <w:tcPr>
            <w:tcW w:w="1843" w:type="dxa"/>
            <w:shd w:val="clear" w:color="auto" w:fill="EEECE1" w:themeFill="background2"/>
          </w:tcPr>
          <w:p w:rsidR="00966A3B" w:rsidRPr="007B6267" w:rsidRDefault="00966A3B" w:rsidP="00D14B8E">
            <w:pPr>
              <w:autoSpaceDE w:val="0"/>
              <w:autoSpaceDN w:val="0"/>
              <w:adjustRightInd w:val="0"/>
              <w:jc w:val="center"/>
              <w:rPr>
                <w:rFonts w:eastAsia="Calibri"/>
                <w:color w:val="000000"/>
                <w:sz w:val="22"/>
                <w:szCs w:val="22"/>
              </w:rPr>
            </w:pPr>
            <w:r w:rsidRPr="007B6267">
              <w:rPr>
                <w:rFonts w:eastAsia="Calibri"/>
                <w:b/>
                <w:bCs/>
                <w:color w:val="000000"/>
                <w:sz w:val="22"/>
                <w:szCs w:val="22"/>
              </w:rPr>
              <w:t>202</w:t>
            </w:r>
            <w:r>
              <w:rPr>
                <w:rFonts w:eastAsia="Calibri"/>
                <w:b/>
                <w:bCs/>
                <w:color w:val="000000"/>
                <w:sz w:val="22"/>
                <w:szCs w:val="22"/>
              </w:rPr>
              <w:t>1</w:t>
            </w:r>
          </w:p>
        </w:tc>
        <w:tc>
          <w:tcPr>
            <w:tcW w:w="2977" w:type="dxa"/>
            <w:shd w:val="clear" w:color="auto" w:fill="EEECE1" w:themeFill="background2"/>
          </w:tcPr>
          <w:p w:rsidR="00966A3B" w:rsidRPr="007B6267" w:rsidRDefault="00966A3B" w:rsidP="00966A3B">
            <w:pPr>
              <w:autoSpaceDE w:val="0"/>
              <w:autoSpaceDN w:val="0"/>
              <w:adjustRightInd w:val="0"/>
              <w:jc w:val="center"/>
              <w:rPr>
                <w:rFonts w:eastAsia="Calibri"/>
                <w:color w:val="000000"/>
                <w:sz w:val="22"/>
                <w:szCs w:val="22"/>
              </w:rPr>
            </w:pPr>
            <w:r w:rsidRPr="007B6267">
              <w:rPr>
                <w:rFonts w:eastAsia="Calibri"/>
                <w:b/>
                <w:bCs/>
                <w:color w:val="000000"/>
                <w:sz w:val="22"/>
                <w:szCs w:val="22"/>
              </w:rPr>
              <w:t>20</w:t>
            </w:r>
            <w:r>
              <w:rPr>
                <w:rFonts w:eastAsia="Calibri"/>
                <w:b/>
                <w:bCs/>
                <w:color w:val="000000"/>
                <w:sz w:val="22"/>
                <w:szCs w:val="22"/>
              </w:rPr>
              <w:t>22</w:t>
            </w:r>
          </w:p>
        </w:tc>
      </w:tr>
      <w:tr w:rsidR="00966A3B" w:rsidRPr="007B6267" w:rsidTr="007B6267">
        <w:trPr>
          <w:trHeight w:val="336"/>
        </w:trPr>
        <w:tc>
          <w:tcPr>
            <w:tcW w:w="2410" w:type="dxa"/>
          </w:tcPr>
          <w:p w:rsidR="00966A3B" w:rsidRPr="007B6267" w:rsidRDefault="00966A3B" w:rsidP="007B6267">
            <w:pPr>
              <w:autoSpaceDE w:val="0"/>
              <w:autoSpaceDN w:val="0"/>
              <w:adjustRightInd w:val="0"/>
              <w:rPr>
                <w:rFonts w:eastAsia="Calibri"/>
                <w:color w:val="000000"/>
                <w:sz w:val="22"/>
                <w:szCs w:val="22"/>
              </w:rPr>
            </w:pPr>
            <w:r w:rsidRPr="007B6267">
              <w:rPr>
                <w:rFonts w:eastAsia="Calibri"/>
                <w:color w:val="000000"/>
                <w:sz w:val="22"/>
                <w:szCs w:val="22"/>
              </w:rPr>
              <w:t xml:space="preserve">Количество изменений </w:t>
            </w:r>
          </w:p>
        </w:tc>
        <w:tc>
          <w:tcPr>
            <w:tcW w:w="2126" w:type="dxa"/>
          </w:tcPr>
          <w:p w:rsidR="00966A3B" w:rsidRPr="007B6267" w:rsidRDefault="00966A3B" w:rsidP="00D14B8E">
            <w:pPr>
              <w:autoSpaceDE w:val="0"/>
              <w:autoSpaceDN w:val="0"/>
              <w:adjustRightInd w:val="0"/>
              <w:jc w:val="center"/>
              <w:rPr>
                <w:rFonts w:eastAsia="Calibri"/>
                <w:color w:val="000000"/>
                <w:sz w:val="22"/>
                <w:szCs w:val="22"/>
              </w:rPr>
            </w:pPr>
            <w:r>
              <w:rPr>
                <w:rFonts w:eastAsia="Calibri"/>
                <w:color w:val="000000"/>
                <w:sz w:val="22"/>
                <w:szCs w:val="22"/>
              </w:rPr>
              <w:t>469</w:t>
            </w:r>
          </w:p>
        </w:tc>
        <w:tc>
          <w:tcPr>
            <w:tcW w:w="1843" w:type="dxa"/>
          </w:tcPr>
          <w:p w:rsidR="00966A3B" w:rsidRPr="007B6267" w:rsidRDefault="00966A3B" w:rsidP="00D14B8E">
            <w:pPr>
              <w:autoSpaceDE w:val="0"/>
              <w:autoSpaceDN w:val="0"/>
              <w:adjustRightInd w:val="0"/>
              <w:jc w:val="center"/>
              <w:rPr>
                <w:rFonts w:eastAsia="Calibri"/>
                <w:color w:val="000000"/>
                <w:sz w:val="22"/>
                <w:szCs w:val="22"/>
              </w:rPr>
            </w:pPr>
            <w:r>
              <w:rPr>
                <w:rFonts w:eastAsia="Calibri"/>
                <w:color w:val="000000"/>
                <w:sz w:val="22"/>
                <w:szCs w:val="22"/>
              </w:rPr>
              <w:t>418</w:t>
            </w:r>
          </w:p>
        </w:tc>
        <w:tc>
          <w:tcPr>
            <w:tcW w:w="2977" w:type="dxa"/>
          </w:tcPr>
          <w:p w:rsidR="00966A3B" w:rsidRPr="007B6267" w:rsidRDefault="00966A3B" w:rsidP="00966A3B">
            <w:pPr>
              <w:autoSpaceDE w:val="0"/>
              <w:autoSpaceDN w:val="0"/>
              <w:adjustRightInd w:val="0"/>
              <w:jc w:val="center"/>
              <w:rPr>
                <w:rFonts w:eastAsia="Calibri"/>
                <w:color w:val="000000"/>
                <w:sz w:val="22"/>
                <w:szCs w:val="22"/>
              </w:rPr>
            </w:pPr>
            <w:r>
              <w:rPr>
                <w:rFonts w:eastAsia="Calibri"/>
                <w:color w:val="000000"/>
                <w:sz w:val="22"/>
                <w:szCs w:val="22"/>
              </w:rPr>
              <w:t>482</w:t>
            </w:r>
          </w:p>
        </w:tc>
      </w:tr>
    </w:tbl>
    <w:p w:rsidR="007B6267" w:rsidRPr="0058600D" w:rsidRDefault="007B6267" w:rsidP="00FD43FE">
      <w:pPr>
        <w:autoSpaceDE w:val="0"/>
        <w:autoSpaceDN w:val="0"/>
        <w:adjustRightInd w:val="0"/>
        <w:spacing w:line="120" w:lineRule="auto"/>
        <w:ind w:firstLine="425"/>
        <w:jc w:val="both"/>
        <w:rPr>
          <w:rFonts w:eastAsia="Calibri"/>
          <w:color w:val="000000"/>
        </w:rPr>
      </w:pPr>
    </w:p>
    <w:p w:rsidR="004B3A4F" w:rsidRDefault="00974125" w:rsidP="004B3A4F">
      <w:pPr>
        <w:autoSpaceDE w:val="0"/>
        <w:autoSpaceDN w:val="0"/>
        <w:adjustRightInd w:val="0"/>
        <w:ind w:firstLine="425"/>
        <w:jc w:val="both"/>
        <w:rPr>
          <w:rFonts w:eastAsia="Calibri"/>
          <w:color w:val="000000"/>
        </w:rPr>
      </w:pPr>
      <w:r w:rsidRPr="00974125">
        <w:rPr>
          <w:rFonts w:eastAsia="Calibri"/>
          <w:color w:val="000000"/>
        </w:rPr>
        <w:t>Среднее число версий в планах-графиках, размещенных в 20</w:t>
      </w:r>
      <w:r w:rsidR="008A3776">
        <w:rPr>
          <w:rFonts w:eastAsia="Calibri"/>
          <w:color w:val="000000"/>
        </w:rPr>
        <w:t>22</w:t>
      </w:r>
      <w:r w:rsidR="002720C9">
        <w:rPr>
          <w:rFonts w:eastAsia="Calibri"/>
          <w:color w:val="000000"/>
        </w:rPr>
        <w:t xml:space="preserve"> </w:t>
      </w:r>
      <w:r w:rsidRPr="00974125">
        <w:rPr>
          <w:rFonts w:eastAsia="Calibri"/>
          <w:color w:val="000000"/>
        </w:rPr>
        <w:t xml:space="preserve"> году, составило</w:t>
      </w:r>
      <w:r>
        <w:rPr>
          <w:rFonts w:eastAsia="Calibri"/>
          <w:color w:val="000000"/>
        </w:rPr>
        <w:t xml:space="preserve"> </w:t>
      </w:r>
      <w:r w:rsidRPr="00974125">
        <w:rPr>
          <w:rFonts w:eastAsia="Calibri"/>
          <w:color w:val="000000"/>
        </w:rPr>
        <w:t xml:space="preserve"> </w:t>
      </w:r>
      <w:r w:rsidR="002720C9" w:rsidRPr="002720C9">
        <w:rPr>
          <w:rFonts w:eastAsia="Calibri"/>
          <w:b/>
          <w:color w:val="000000"/>
        </w:rPr>
        <w:t>3</w:t>
      </w:r>
      <w:r w:rsidR="008A3776">
        <w:rPr>
          <w:rFonts w:eastAsia="Calibri"/>
          <w:b/>
          <w:color w:val="000000"/>
        </w:rPr>
        <w:t>4,4%</w:t>
      </w:r>
      <w:r w:rsidR="001D789F" w:rsidRPr="001D789F">
        <w:rPr>
          <w:rFonts w:eastAsia="Calibri"/>
          <w:color w:val="000000"/>
        </w:rPr>
        <w:t>,</w:t>
      </w:r>
      <w:r w:rsidR="001D789F">
        <w:rPr>
          <w:rFonts w:eastAsia="Calibri"/>
          <w:b/>
          <w:color w:val="000000"/>
        </w:rPr>
        <w:t xml:space="preserve"> </w:t>
      </w:r>
      <w:r w:rsidRPr="00974125">
        <w:rPr>
          <w:rFonts w:eastAsia="Calibri"/>
          <w:color w:val="000000"/>
        </w:rPr>
        <w:t xml:space="preserve"> что на </w:t>
      </w:r>
      <w:r w:rsidR="004B3A4F" w:rsidRPr="004B3A4F">
        <w:rPr>
          <w:rFonts w:eastAsia="Calibri"/>
          <w:b/>
          <w:color w:val="000000"/>
        </w:rPr>
        <w:t>3,</w:t>
      </w:r>
      <w:r w:rsidR="008A3776">
        <w:rPr>
          <w:rFonts w:eastAsia="Calibri"/>
          <w:b/>
          <w:color w:val="000000"/>
        </w:rPr>
        <w:t>9</w:t>
      </w:r>
      <w:r w:rsidRPr="004B3A4F">
        <w:rPr>
          <w:rFonts w:eastAsia="Calibri"/>
          <w:b/>
          <w:bCs/>
          <w:color w:val="000000"/>
        </w:rPr>
        <w:t>%</w:t>
      </w:r>
      <w:r w:rsidRPr="00974125">
        <w:rPr>
          <w:rFonts w:eastAsia="Calibri"/>
          <w:b/>
          <w:bCs/>
          <w:color w:val="000000"/>
        </w:rPr>
        <w:t xml:space="preserve"> </w:t>
      </w:r>
      <w:r w:rsidR="001D789F">
        <w:rPr>
          <w:rFonts w:eastAsia="Calibri"/>
          <w:b/>
          <w:bCs/>
          <w:color w:val="000000"/>
        </w:rPr>
        <w:t xml:space="preserve"> </w:t>
      </w:r>
      <w:r w:rsidR="008A3776">
        <w:rPr>
          <w:rFonts w:eastAsia="Calibri"/>
          <w:b/>
          <w:bCs/>
          <w:color w:val="000000"/>
        </w:rPr>
        <w:t>больше</w:t>
      </w:r>
      <w:r w:rsidRPr="00974125">
        <w:rPr>
          <w:rFonts w:eastAsia="Calibri"/>
          <w:color w:val="000000"/>
        </w:rPr>
        <w:t>, чем в 20</w:t>
      </w:r>
      <w:r w:rsidR="008A3776">
        <w:rPr>
          <w:rFonts w:eastAsia="Calibri"/>
          <w:color w:val="000000"/>
        </w:rPr>
        <w:t>21</w:t>
      </w:r>
      <w:r w:rsidRPr="00974125">
        <w:rPr>
          <w:rFonts w:eastAsia="Calibri"/>
          <w:color w:val="000000"/>
        </w:rPr>
        <w:t xml:space="preserve"> году (20</w:t>
      </w:r>
      <w:r w:rsidR="008A3776">
        <w:rPr>
          <w:rFonts w:eastAsia="Calibri"/>
          <w:color w:val="000000"/>
        </w:rPr>
        <w:t>21</w:t>
      </w:r>
      <w:r w:rsidRPr="00974125">
        <w:rPr>
          <w:rFonts w:eastAsia="Calibri"/>
          <w:color w:val="000000"/>
        </w:rPr>
        <w:t xml:space="preserve"> году – </w:t>
      </w:r>
      <w:r w:rsidR="002720C9" w:rsidRPr="002720C9">
        <w:rPr>
          <w:rFonts w:eastAsia="Calibri"/>
          <w:b/>
          <w:color w:val="000000"/>
        </w:rPr>
        <w:t>4</w:t>
      </w:r>
      <w:r w:rsidR="008A3776">
        <w:rPr>
          <w:rFonts w:eastAsia="Calibri"/>
          <w:b/>
          <w:color w:val="000000"/>
        </w:rPr>
        <w:t>18</w:t>
      </w:r>
      <w:r w:rsidRPr="002720C9">
        <w:rPr>
          <w:rFonts w:eastAsia="Calibri"/>
          <w:b/>
          <w:bCs/>
          <w:color w:val="000000"/>
        </w:rPr>
        <w:t xml:space="preserve"> </w:t>
      </w:r>
      <w:r w:rsidRPr="00974125">
        <w:rPr>
          <w:rFonts w:eastAsia="Calibri"/>
          <w:color w:val="000000"/>
        </w:rPr>
        <w:t>верси</w:t>
      </w:r>
      <w:r w:rsidR="008A3776">
        <w:rPr>
          <w:rFonts w:eastAsia="Calibri"/>
          <w:color w:val="000000"/>
        </w:rPr>
        <w:t>й</w:t>
      </w:r>
      <w:r w:rsidRPr="00974125">
        <w:rPr>
          <w:rFonts w:eastAsia="Calibri"/>
          <w:b/>
          <w:bCs/>
          <w:color w:val="000000"/>
        </w:rPr>
        <w:t>)</w:t>
      </w:r>
      <w:r w:rsidRPr="00974125">
        <w:rPr>
          <w:rFonts w:eastAsia="Calibri"/>
          <w:color w:val="000000"/>
        </w:rPr>
        <w:t xml:space="preserve">. </w:t>
      </w:r>
    </w:p>
    <w:p w:rsidR="004F0CDF" w:rsidRPr="004F0CDF" w:rsidRDefault="004F0CDF" w:rsidP="004B3A4F">
      <w:pPr>
        <w:autoSpaceDE w:val="0"/>
        <w:autoSpaceDN w:val="0"/>
        <w:adjustRightInd w:val="0"/>
        <w:ind w:firstLine="425"/>
        <w:jc w:val="both"/>
        <w:rPr>
          <w:color w:val="000000"/>
        </w:rPr>
      </w:pPr>
      <w:r w:rsidRPr="004F0CDF">
        <w:rPr>
          <w:color w:val="000000"/>
        </w:rPr>
        <w:t>Изменения в план-график внос</w:t>
      </w:r>
      <w:r>
        <w:rPr>
          <w:color w:val="000000"/>
        </w:rPr>
        <w:t xml:space="preserve">ились </w:t>
      </w:r>
      <w:r w:rsidRPr="004F0CDF">
        <w:rPr>
          <w:color w:val="000000"/>
        </w:rPr>
        <w:t xml:space="preserve"> </w:t>
      </w:r>
      <w:hyperlink w:anchor="P125" w:history="1">
        <w:r w:rsidRPr="004F0CDF">
          <w:rPr>
            <w:color w:val="000000"/>
          </w:rPr>
          <w:t>путем размещения</w:t>
        </w:r>
      </w:hyperlink>
      <w:r w:rsidRPr="004F0CDF">
        <w:rPr>
          <w:color w:val="000000"/>
        </w:rPr>
        <w:t xml:space="preserve"> в ЕИС новой редакции такого плана</w:t>
      </w:r>
      <w:r w:rsidR="00BB139E">
        <w:rPr>
          <w:color w:val="000000"/>
        </w:rPr>
        <w:t xml:space="preserve"> – графика </w:t>
      </w:r>
      <w:r w:rsidRPr="004F0CDF">
        <w:rPr>
          <w:color w:val="000000"/>
        </w:rPr>
        <w:t xml:space="preserve"> с указанием даты внесения изменений. Дата внесения изменений - дата их </w:t>
      </w:r>
      <w:hyperlink w:anchor="P91" w:history="1">
        <w:r w:rsidRPr="004F0CDF">
          <w:rPr>
            <w:color w:val="000000"/>
          </w:rPr>
          <w:t>утверждения</w:t>
        </w:r>
      </w:hyperlink>
      <w:r w:rsidRPr="004F0CDF">
        <w:rPr>
          <w:color w:val="000000"/>
        </w:rPr>
        <w:t xml:space="preserve"> (</w:t>
      </w:r>
      <w:hyperlink r:id="rId34" w:history="1">
        <w:r w:rsidRPr="004F0CDF">
          <w:rPr>
            <w:color w:val="000000"/>
          </w:rPr>
          <w:t>п. 24</w:t>
        </w:r>
      </w:hyperlink>
      <w:r w:rsidRPr="004F0CDF">
        <w:rPr>
          <w:color w:val="000000"/>
        </w:rPr>
        <w:t xml:space="preserve"> Порядка N 1279).</w:t>
      </w:r>
    </w:p>
    <w:p w:rsidR="004F0CDF" w:rsidRDefault="004F0CDF" w:rsidP="00B4470C">
      <w:pPr>
        <w:autoSpaceDE w:val="0"/>
        <w:autoSpaceDN w:val="0"/>
        <w:adjustRightInd w:val="0"/>
        <w:spacing w:after="120" w:line="300" w:lineRule="exact"/>
        <w:ind w:right="-2" w:firstLine="426"/>
        <w:jc w:val="both"/>
        <w:rPr>
          <w:color w:val="000000"/>
          <w:shd w:val="clear" w:color="auto" w:fill="FFFFFF"/>
        </w:rPr>
      </w:pPr>
      <w:r w:rsidRPr="004F0CDF">
        <w:rPr>
          <w:color w:val="000000"/>
          <w:shd w:val="clear" w:color="auto" w:fill="FFFFFF"/>
        </w:rPr>
        <w:t xml:space="preserve">Все изменения плана-графика по 44-ФЗ </w:t>
      </w:r>
      <w:r>
        <w:rPr>
          <w:color w:val="000000"/>
          <w:shd w:val="clear" w:color="auto" w:fill="FFFFFF"/>
        </w:rPr>
        <w:t xml:space="preserve"> </w:t>
      </w:r>
      <w:r w:rsidRPr="004F0CDF">
        <w:rPr>
          <w:color w:val="000000"/>
          <w:shd w:val="clear" w:color="auto" w:fill="FFFFFF"/>
        </w:rPr>
        <w:t xml:space="preserve">опубликованы в Единой информационной системе (п. 24 </w:t>
      </w:r>
      <w:r w:rsidR="008A3776">
        <w:rPr>
          <w:color w:val="000000"/>
          <w:shd w:val="clear" w:color="auto" w:fill="FFFFFF"/>
        </w:rPr>
        <w:t xml:space="preserve">Порядка № </w:t>
      </w:r>
      <w:r w:rsidRPr="004F0CDF">
        <w:rPr>
          <w:color w:val="000000"/>
          <w:shd w:val="clear" w:color="auto" w:fill="FFFFFF"/>
        </w:rPr>
        <w:t>1279). При этом формируется новая редакция документа и указывается точная дата его корректировки</w:t>
      </w:r>
      <w:r w:rsidR="00F73C02">
        <w:rPr>
          <w:color w:val="000000"/>
          <w:shd w:val="clear" w:color="auto" w:fill="FFFFFF"/>
        </w:rPr>
        <w:t>.</w:t>
      </w:r>
    </w:p>
    <w:p w:rsidR="008A3776" w:rsidRPr="008A3776" w:rsidRDefault="008A3776" w:rsidP="008A3776">
      <w:pPr>
        <w:pStyle w:val="2"/>
        <w:shd w:val="clear" w:color="auto" w:fill="FFFFFF"/>
        <w:spacing w:before="0" w:beforeAutospacing="0" w:after="0" w:afterAutospacing="0"/>
        <w:ind w:firstLine="426"/>
        <w:jc w:val="both"/>
        <w:rPr>
          <w:color w:val="000000"/>
          <w:sz w:val="24"/>
          <w:szCs w:val="24"/>
        </w:rPr>
      </w:pPr>
      <w:r w:rsidRPr="008A3776">
        <w:rPr>
          <w:color w:val="000000"/>
          <w:sz w:val="24"/>
          <w:szCs w:val="24"/>
        </w:rPr>
        <w:t>По каким причинам вносят изменения в план-график 2022</w:t>
      </w:r>
    </w:p>
    <w:p w:rsidR="00DB0AA2" w:rsidRDefault="008A3776" w:rsidP="008A3776">
      <w:pPr>
        <w:pStyle w:val="ad"/>
        <w:shd w:val="clear" w:color="auto" w:fill="FFFFFF"/>
        <w:spacing w:before="0" w:beforeAutospacing="0" w:after="0" w:afterAutospacing="0"/>
        <w:ind w:firstLine="426"/>
        <w:jc w:val="both"/>
        <w:rPr>
          <w:color w:val="000000"/>
        </w:rPr>
      </w:pPr>
      <w:r w:rsidRPr="008A3776">
        <w:rPr>
          <w:color w:val="000000"/>
        </w:rPr>
        <w:t xml:space="preserve">В идеале заказчик должен распланировать свои закупки в плане-графике так, чтобы не надо было часто вносить в него изменения. Но на практике ни один заказчик не обходится без внесения многочисленных изменений в документ планирования </w:t>
      </w:r>
      <w:r w:rsidRPr="008A3776">
        <w:rPr>
          <w:color w:val="000000"/>
        </w:rPr>
        <w:lastRenderedPageBreak/>
        <w:t xml:space="preserve">в течение года. Довели или забрали лимиты, отменили закупку, неверно отразили наименование объекта закупки, появилась экономия — это неполный перечень оснований, по которым заказчикам приходится менять план. </w:t>
      </w:r>
    </w:p>
    <w:p w:rsidR="008A3776" w:rsidRPr="008A3776" w:rsidRDefault="008A3776" w:rsidP="008A3776">
      <w:pPr>
        <w:pStyle w:val="ad"/>
        <w:shd w:val="clear" w:color="auto" w:fill="FFFFFF"/>
        <w:spacing w:before="0" w:beforeAutospacing="0" w:after="0" w:afterAutospacing="0"/>
        <w:ind w:firstLine="426"/>
        <w:jc w:val="both"/>
        <w:rPr>
          <w:color w:val="000000"/>
        </w:rPr>
      </w:pPr>
      <w:r w:rsidRPr="008A3776">
        <w:rPr>
          <w:color w:val="000000"/>
        </w:rPr>
        <w:t>Случаи внесения изменений в план-график отражены в двух документах: </w:t>
      </w:r>
      <w:hyperlink r:id="rId35" w:anchor="XA00MFA2O3" w:tgtFrame="_blank" w:history="1">
        <w:r w:rsidRPr="008A3776">
          <w:rPr>
            <w:rStyle w:val="a5"/>
            <w:b/>
            <w:color w:val="auto"/>
            <w:u w:val="none"/>
          </w:rPr>
          <w:t>статье 16</w:t>
        </w:r>
      </w:hyperlink>
      <w:r w:rsidRPr="008A3776">
        <w:rPr>
          <w:color w:val="000000"/>
        </w:rPr>
        <w:t> Закона № 44-ФЗ и </w:t>
      </w:r>
      <w:r w:rsidRPr="008A3776">
        <w:rPr>
          <w:b/>
          <w:color w:val="000000"/>
        </w:rPr>
        <w:t xml:space="preserve">п. 22 </w:t>
      </w:r>
      <w:r w:rsidRPr="008A3776">
        <w:rPr>
          <w:b/>
          <w:color w:val="000000"/>
          <w:shd w:val="clear" w:color="auto" w:fill="FFFFFF"/>
        </w:rPr>
        <w:t>Порядка № 1279</w:t>
      </w:r>
      <w:r w:rsidRPr="008A3776">
        <w:rPr>
          <w:color w:val="000000"/>
        </w:rPr>
        <w:t>. </w:t>
      </w:r>
    </w:p>
    <w:p w:rsidR="00DB0AA2" w:rsidRDefault="00DB0AA2" w:rsidP="00DB0AA2">
      <w:pPr>
        <w:autoSpaceDE w:val="0"/>
        <w:autoSpaceDN w:val="0"/>
        <w:adjustRightInd w:val="0"/>
        <w:jc w:val="both"/>
        <w:rPr>
          <w:rFonts w:eastAsia="Calibri"/>
        </w:rPr>
      </w:pPr>
      <w:r>
        <w:rPr>
          <w:rFonts w:eastAsia="Calibri"/>
        </w:rPr>
        <w:t xml:space="preserve">      Планы-графики подлежат изменению при необходимости:</w:t>
      </w:r>
    </w:p>
    <w:p w:rsidR="008A3776" w:rsidRPr="00DB0AA2" w:rsidRDefault="00DB0AA2" w:rsidP="00B4470C">
      <w:pPr>
        <w:autoSpaceDE w:val="0"/>
        <w:autoSpaceDN w:val="0"/>
        <w:adjustRightInd w:val="0"/>
        <w:ind w:right="-2" w:firstLine="426"/>
        <w:jc w:val="both"/>
        <w:rPr>
          <w:rFonts w:eastAsia="Calibri"/>
          <w:b/>
          <w:color w:val="000000"/>
          <w:u w:val="single"/>
        </w:rPr>
      </w:pPr>
      <w:r w:rsidRPr="00DB0AA2">
        <w:rPr>
          <w:rFonts w:eastAsia="Calibri"/>
          <w:b/>
          <w:color w:val="000000"/>
          <w:u w:val="single"/>
        </w:rPr>
        <w:t>1. Закон №44-ФЗ (пункт 8 статьи 1</w:t>
      </w:r>
      <w:r>
        <w:rPr>
          <w:rFonts w:eastAsia="Calibri"/>
          <w:b/>
          <w:color w:val="000000"/>
          <w:u w:val="single"/>
        </w:rPr>
        <w:t>6</w:t>
      </w:r>
      <w:r w:rsidRPr="00DB0AA2">
        <w:rPr>
          <w:rFonts w:eastAsia="Calibri"/>
          <w:b/>
          <w:color w:val="000000"/>
          <w:u w:val="single"/>
        </w:rPr>
        <w:t>)</w:t>
      </w:r>
      <w:r>
        <w:rPr>
          <w:rFonts w:eastAsia="Calibri"/>
          <w:b/>
          <w:color w:val="000000"/>
          <w:u w:val="single"/>
        </w:rPr>
        <w:t>:</w:t>
      </w:r>
    </w:p>
    <w:p w:rsidR="008A3776" w:rsidRDefault="008A3776" w:rsidP="00DB0AA2">
      <w:pPr>
        <w:autoSpaceDE w:val="0"/>
        <w:autoSpaceDN w:val="0"/>
        <w:adjustRightInd w:val="0"/>
        <w:spacing w:line="120" w:lineRule="auto"/>
        <w:ind w:firstLine="425"/>
        <w:jc w:val="both"/>
        <w:rPr>
          <w:rFonts w:eastAsia="Calibri"/>
          <w:color w:val="000000"/>
        </w:rPr>
      </w:pPr>
    </w:p>
    <w:p w:rsidR="00DB0AA2" w:rsidRDefault="00DB0AA2" w:rsidP="00DB0AA2">
      <w:pPr>
        <w:autoSpaceDE w:val="0"/>
        <w:autoSpaceDN w:val="0"/>
        <w:adjustRightInd w:val="0"/>
        <w:ind w:firstLine="425"/>
        <w:jc w:val="both"/>
        <w:rPr>
          <w:rFonts w:eastAsia="Calibri"/>
        </w:rPr>
      </w:pPr>
      <w:r>
        <w:rPr>
          <w:rFonts w:eastAsia="Calibri"/>
        </w:rPr>
        <w:t>1) изменили документы нормирования по статье 19 Закона №44-ФЗ;</w:t>
      </w:r>
    </w:p>
    <w:p w:rsidR="00DB0AA2" w:rsidRDefault="00DB0AA2" w:rsidP="00DB0AA2">
      <w:pPr>
        <w:autoSpaceDE w:val="0"/>
        <w:autoSpaceDN w:val="0"/>
        <w:adjustRightInd w:val="0"/>
        <w:ind w:firstLine="425"/>
        <w:jc w:val="both"/>
        <w:rPr>
          <w:rFonts w:eastAsia="Calibri"/>
        </w:rPr>
      </w:pPr>
      <w:r>
        <w:rPr>
          <w:rFonts w:eastAsia="Calibri"/>
        </w:rPr>
        <w:t xml:space="preserve">2) изменили доведенные до заказчика лимиты или показатели </w:t>
      </w:r>
      <w:r w:rsidR="00BB139E">
        <w:rPr>
          <w:rFonts w:eastAsia="Calibri"/>
        </w:rPr>
        <w:t xml:space="preserve"> </w:t>
      </w:r>
      <w:r>
        <w:rPr>
          <w:rFonts w:eastAsia="Calibri"/>
        </w:rPr>
        <w:t>ПФХД, решения и (или) соглашения о предоставлении субсидий;</w:t>
      </w:r>
    </w:p>
    <w:p w:rsidR="00DB0AA2" w:rsidRDefault="00DB0AA2" w:rsidP="00DB0AA2">
      <w:pPr>
        <w:autoSpaceDE w:val="0"/>
        <w:autoSpaceDN w:val="0"/>
        <w:adjustRightInd w:val="0"/>
        <w:ind w:firstLine="425"/>
        <w:jc w:val="both"/>
        <w:rPr>
          <w:rFonts w:eastAsia="Calibri"/>
        </w:rPr>
      </w:pPr>
      <w:r>
        <w:rPr>
          <w:rFonts w:eastAsia="Calibri"/>
        </w:rPr>
        <w:t xml:space="preserve">3) реализовали  решение, принятое  заказчиком по итогам общественного обсуждения закупки в соответствии со </w:t>
      </w:r>
      <w:hyperlink r:id="rId36" w:history="1">
        <w:r w:rsidRPr="00DB0AA2">
          <w:rPr>
            <w:rFonts w:eastAsia="Calibri"/>
          </w:rPr>
          <w:t>статьей 20</w:t>
        </w:r>
      </w:hyperlink>
      <w:r>
        <w:rPr>
          <w:rFonts w:eastAsia="Calibri"/>
        </w:rPr>
        <w:t xml:space="preserve"> Закона №44-ФЗ (в ред. </w:t>
      </w:r>
      <w:r w:rsidRPr="00DB0AA2">
        <w:rPr>
          <w:rFonts w:eastAsia="Calibri"/>
        </w:rPr>
        <w:t xml:space="preserve">Федерального </w:t>
      </w:r>
      <w:hyperlink r:id="rId37" w:history="1">
        <w:r w:rsidRPr="00DB0AA2">
          <w:rPr>
            <w:rFonts w:eastAsia="Calibri"/>
          </w:rPr>
          <w:t>закона</w:t>
        </w:r>
      </w:hyperlink>
      <w:r>
        <w:rPr>
          <w:rFonts w:eastAsia="Calibri"/>
        </w:rPr>
        <w:t xml:space="preserve"> от 02.07.2021 N 360-ФЗ)</w:t>
      </w:r>
    </w:p>
    <w:p w:rsidR="00DB0AA2" w:rsidRDefault="00DB0AA2" w:rsidP="00DB0AA2">
      <w:pPr>
        <w:autoSpaceDE w:val="0"/>
        <w:autoSpaceDN w:val="0"/>
        <w:adjustRightInd w:val="0"/>
        <w:ind w:firstLine="425"/>
        <w:jc w:val="both"/>
        <w:rPr>
          <w:rFonts w:eastAsia="Calibri"/>
        </w:rPr>
      </w:pPr>
      <w:r>
        <w:rPr>
          <w:rFonts w:eastAsia="Calibri"/>
        </w:rPr>
        <w:t>4) использовали в соответствии с законодательством Российской Федерации экономию, полученную при осуществлении закупки;</w:t>
      </w:r>
    </w:p>
    <w:p w:rsidR="00DB0AA2" w:rsidRPr="00DB0AA2" w:rsidRDefault="00DB0AA2" w:rsidP="00DB0AA2">
      <w:pPr>
        <w:autoSpaceDE w:val="0"/>
        <w:autoSpaceDN w:val="0"/>
        <w:adjustRightInd w:val="0"/>
        <w:ind w:firstLine="425"/>
        <w:jc w:val="both"/>
        <w:rPr>
          <w:rFonts w:eastAsia="Calibri"/>
        </w:rPr>
      </w:pPr>
      <w:r>
        <w:rPr>
          <w:rFonts w:eastAsia="Calibri"/>
        </w:rPr>
        <w:t xml:space="preserve">5) в иных случаях, установленных порядком, предусмотренным </w:t>
      </w:r>
      <w:hyperlink r:id="rId38" w:history="1">
        <w:r w:rsidRPr="00DB0AA2">
          <w:rPr>
            <w:rFonts w:eastAsia="Calibri"/>
          </w:rPr>
          <w:t>пунктом 2 части 3</w:t>
        </w:r>
      </w:hyperlink>
      <w:r w:rsidRPr="00DB0AA2">
        <w:rPr>
          <w:rFonts w:eastAsia="Calibri"/>
        </w:rPr>
        <w:t xml:space="preserve"> </w:t>
      </w:r>
      <w:r>
        <w:rPr>
          <w:rFonts w:eastAsia="Calibri"/>
        </w:rPr>
        <w:t>статьи 19 Закона №44-ФЗ.</w:t>
      </w:r>
    </w:p>
    <w:p w:rsidR="008A3776" w:rsidRDefault="005C5DC7" w:rsidP="00B4470C">
      <w:pPr>
        <w:autoSpaceDE w:val="0"/>
        <w:autoSpaceDN w:val="0"/>
        <w:adjustRightInd w:val="0"/>
        <w:ind w:right="-2" w:firstLine="426"/>
        <w:jc w:val="both"/>
        <w:rPr>
          <w:rFonts w:eastAsia="Calibri"/>
          <w:b/>
          <w:color w:val="000000"/>
          <w:u w:val="single"/>
        </w:rPr>
      </w:pPr>
      <w:r w:rsidRPr="005C5DC7">
        <w:rPr>
          <w:rFonts w:eastAsia="Calibri"/>
          <w:b/>
          <w:color w:val="000000"/>
          <w:u w:val="single"/>
        </w:rPr>
        <w:t>2. Постановление №1279 (пункт 22):</w:t>
      </w:r>
    </w:p>
    <w:p w:rsidR="005C5DC7" w:rsidRPr="005C5DC7" w:rsidRDefault="005C5DC7" w:rsidP="005C5DC7">
      <w:pPr>
        <w:autoSpaceDE w:val="0"/>
        <w:autoSpaceDN w:val="0"/>
        <w:adjustRightInd w:val="0"/>
        <w:spacing w:line="120" w:lineRule="auto"/>
        <w:ind w:firstLine="425"/>
        <w:jc w:val="both"/>
        <w:rPr>
          <w:rFonts w:eastAsia="Calibri"/>
          <w:b/>
          <w:color w:val="000000"/>
          <w:u w:val="single"/>
        </w:rPr>
      </w:pPr>
    </w:p>
    <w:p w:rsidR="005C5DC7" w:rsidRDefault="005C5DC7" w:rsidP="005C5DC7">
      <w:pPr>
        <w:autoSpaceDE w:val="0"/>
        <w:autoSpaceDN w:val="0"/>
        <w:adjustRightInd w:val="0"/>
        <w:ind w:firstLine="426"/>
        <w:jc w:val="both"/>
        <w:rPr>
          <w:rFonts w:eastAsia="Calibri"/>
        </w:rPr>
      </w:pPr>
      <w:r>
        <w:rPr>
          <w:rFonts w:eastAsia="Calibri"/>
        </w:rPr>
        <w:t>б) уточнили информации об объекте закупки;</w:t>
      </w:r>
    </w:p>
    <w:p w:rsidR="005C5DC7" w:rsidRDefault="005C5DC7" w:rsidP="005C5DC7">
      <w:pPr>
        <w:autoSpaceDE w:val="0"/>
        <w:autoSpaceDN w:val="0"/>
        <w:adjustRightInd w:val="0"/>
        <w:ind w:firstLine="426"/>
        <w:jc w:val="both"/>
        <w:rPr>
          <w:rFonts w:eastAsia="Calibri"/>
        </w:rPr>
      </w:pPr>
      <w:r>
        <w:rPr>
          <w:rFonts w:eastAsia="Calibri"/>
        </w:rPr>
        <w:t>в) исполнили предписание ФАС;</w:t>
      </w:r>
    </w:p>
    <w:p w:rsidR="005C5DC7" w:rsidRDefault="005C5DC7" w:rsidP="005C5DC7">
      <w:pPr>
        <w:autoSpaceDE w:val="0"/>
        <w:autoSpaceDN w:val="0"/>
        <w:adjustRightInd w:val="0"/>
        <w:ind w:firstLine="426"/>
        <w:jc w:val="both"/>
        <w:rPr>
          <w:rFonts w:eastAsia="Calibri"/>
        </w:rPr>
      </w:pPr>
      <w:r>
        <w:rPr>
          <w:rFonts w:eastAsia="Calibri"/>
        </w:rPr>
        <w:t>г) признали  определения поставщика (подрядчика, исполнителя) несостоявшимся;</w:t>
      </w:r>
    </w:p>
    <w:p w:rsidR="005C5DC7" w:rsidRDefault="005C5DC7" w:rsidP="005C5DC7">
      <w:pPr>
        <w:autoSpaceDE w:val="0"/>
        <w:autoSpaceDN w:val="0"/>
        <w:adjustRightInd w:val="0"/>
        <w:ind w:firstLine="426"/>
        <w:jc w:val="both"/>
        <w:rPr>
          <w:rFonts w:eastAsia="Calibri"/>
        </w:rPr>
      </w:pPr>
      <w:r>
        <w:rPr>
          <w:rFonts w:eastAsia="Calibri"/>
        </w:rPr>
        <w:t>д) расторгли контракт;</w:t>
      </w:r>
    </w:p>
    <w:p w:rsidR="005C5DC7" w:rsidRDefault="005C5DC7" w:rsidP="005C5DC7">
      <w:pPr>
        <w:autoSpaceDE w:val="0"/>
        <w:autoSpaceDN w:val="0"/>
        <w:adjustRightInd w:val="0"/>
        <w:ind w:firstLine="426"/>
        <w:jc w:val="both"/>
        <w:rPr>
          <w:rFonts w:eastAsia="Calibri"/>
        </w:rPr>
      </w:pPr>
      <w:r>
        <w:rPr>
          <w:rFonts w:eastAsia="Calibri"/>
        </w:rPr>
        <w:t>е) иные обстоятельства, предвидеть которые при утверждении плана-графика было невозможно.</w:t>
      </w:r>
    </w:p>
    <w:p w:rsidR="00974125" w:rsidRDefault="00974125" w:rsidP="00B4470C">
      <w:pPr>
        <w:autoSpaceDE w:val="0"/>
        <w:autoSpaceDN w:val="0"/>
        <w:adjustRightInd w:val="0"/>
        <w:ind w:right="-2" w:firstLine="426"/>
        <w:jc w:val="both"/>
        <w:rPr>
          <w:rFonts w:eastAsia="Calibri"/>
          <w:color w:val="000000"/>
        </w:rPr>
      </w:pPr>
      <w:r w:rsidRPr="00974125">
        <w:rPr>
          <w:rFonts w:eastAsia="Calibri"/>
          <w:color w:val="000000"/>
        </w:rPr>
        <w:t>Наиболее распространенными основаниями внесения изменений в планы-графики в 20</w:t>
      </w:r>
      <w:r w:rsidR="005C5DC7">
        <w:rPr>
          <w:rFonts w:eastAsia="Calibri"/>
          <w:color w:val="000000"/>
        </w:rPr>
        <w:t>22</w:t>
      </w:r>
      <w:r w:rsidRPr="00974125">
        <w:rPr>
          <w:rFonts w:eastAsia="Calibri"/>
          <w:color w:val="000000"/>
        </w:rPr>
        <w:t xml:space="preserve"> году являлись: </w:t>
      </w:r>
    </w:p>
    <w:p w:rsidR="00082F3B" w:rsidRPr="00082F3B" w:rsidRDefault="00ED3885" w:rsidP="004C3FDB">
      <w:pPr>
        <w:numPr>
          <w:ilvl w:val="0"/>
          <w:numId w:val="2"/>
        </w:numPr>
        <w:tabs>
          <w:tab w:val="left" w:pos="709"/>
        </w:tabs>
        <w:autoSpaceDE w:val="0"/>
        <w:autoSpaceDN w:val="0"/>
        <w:adjustRightInd w:val="0"/>
        <w:ind w:left="0" w:right="-2" w:firstLine="426"/>
        <w:jc w:val="both"/>
        <w:rPr>
          <w:rFonts w:eastAsia="Calibri"/>
          <w:iCs/>
        </w:rPr>
      </w:pPr>
      <w:r>
        <w:rPr>
          <w:rFonts w:eastAsia="Calibri"/>
          <w:iCs/>
        </w:rPr>
        <w:t xml:space="preserve"> </w:t>
      </w:r>
      <w:r w:rsidR="00082F3B" w:rsidRPr="00082F3B">
        <w:rPr>
          <w:rFonts w:eastAsia="Calibri"/>
          <w:iCs/>
        </w:rPr>
        <w:t>использования в соответствии с законодательством Российской Федерации экономии, полученной при осуществлении закупки;</w:t>
      </w:r>
    </w:p>
    <w:p w:rsidR="00082F3B" w:rsidRDefault="00082F3B" w:rsidP="004C3FDB">
      <w:pPr>
        <w:numPr>
          <w:ilvl w:val="0"/>
          <w:numId w:val="2"/>
        </w:numPr>
        <w:autoSpaceDE w:val="0"/>
        <w:autoSpaceDN w:val="0"/>
        <w:adjustRightInd w:val="0"/>
        <w:ind w:left="0" w:right="-2" w:firstLine="426"/>
        <w:jc w:val="both"/>
        <w:rPr>
          <w:rFonts w:eastAsia="Calibri"/>
        </w:rPr>
      </w:pPr>
      <w:r>
        <w:rPr>
          <w:rFonts w:eastAsia="Calibri"/>
        </w:rPr>
        <w:t xml:space="preserve">приведения их </w:t>
      </w:r>
      <w:proofErr w:type="gramStart"/>
      <w:r>
        <w:rPr>
          <w:rFonts w:eastAsia="Calibri"/>
        </w:rPr>
        <w:t>в соответствие в связи с изменением доведенного до заказчика объема прав в денежном выражении</w:t>
      </w:r>
      <w:proofErr w:type="gramEnd"/>
      <w:r>
        <w:rPr>
          <w:rFonts w:eastAsia="Calibri"/>
        </w:rPr>
        <w:t xml:space="preserve"> на принятие и (или) исполнение обязательств в соответствии с бюджетным законодательством Российской Федерации</w:t>
      </w:r>
      <w:r w:rsidR="00ED3885">
        <w:rPr>
          <w:rFonts w:eastAsia="Calibri"/>
        </w:rPr>
        <w:t>;</w:t>
      </w:r>
    </w:p>
    <w:p w:rsidR="005C5DC7" w:rsidRPr="005C5DC7" w:rsidRDefault="005C5DC7" w:rsidP="004C3FDB">
      <w:pPr>
        <w:pStyle w:val="ab"/>
        <w:numPr>
          <w:ilvl w:val="0"/>
          <w:numId w:val="2"/>
        </w:numPr>
        <w:ind w:left="0" w:right="-2" w:firstLine="426"/>
        <w:rPr>
          <w:rFonts w:eastAsia="Calibri"/>
        </w:rPr>
      </w:pPr>
      <w:r w:rsidRPr="005C5DC7">
        <w:rPr>
          <w:rFonts w:ascii="Times New Roman" w:eastAsia="Calibri" w:hAnsi="Times New Roman" w:cs="Times New Roman"/>
        </w:rPr>
        <w:t xml:space="preserve">признание определения поставщика (подрядчика, исполнителя) </w:t>
      </w:r>
      <w:proofErr w:type="gramStart"/>
      <w:r w:rsidRPr="005C5DC7">
        <w:rPr>
          <w:rFonts w:ascii="Times New Roman" w:eastAsia="Calibri" w:hAnsi="Times New Roman" w:cs="Times New Roman"/>
        </w:rPr>
        <w:t>несостоявшимся</w:t>
      </w:r>
      <w:proofErr w:type="gramEnd"/>
      <w:r w:rsidRPr="005C5DC7">
        <w:rPr>
          <w:rFonts w:ascii="Times New Roman" w:eastAsia="Calibri" w:hAnsi="Times New Roman" w:cs="Times New Roman"/>
        </w:rPr>
        <w:t>;</w:t>
      </w:r>
    </w:p>
    <w:p w:rsidR="00082F3B" w:rsidRDefault="00082F3B" w:rsidP="004C3FDB">
      <w:pPr>
        <w:numPr>
          <w:ilvl w:val="0"/>
          <w:numId w:val="2"/>
        </w:numPr>
        <w:autoSpaceDE w:val="0"/>
        <w:autoSpaceDN w:val="0"/>
        <w:adjustRightInd w:val="0"/>
        <w:ind w:left="0" w:firstLine="426"/>
        <w:jc w:val="both"/>
        <w:rPr>
          <w:rFonts w:eastAsia="Calibri"/>
          <w:iCs/>
        </w:rPr>
      </w:pPr>
      <w:r w:rsidRPr="00ED3885">
        <w:rPr>
          <w:rFonts w:eastAsia="Calibri"/>
          <w:iCs/>
        </w:rPr>
        <w:t>возникновения иных обстоятельств, предвидеть которые при утверждени</w:t>
      </w:r>
      <w:r w:rsidR="005C5DC7">
        <w:rPr>
          <w:rFonts w:eastAsia="Calibri"/>
          <w:iCs/>
        </w:rPr>
        <w:t>и плана-графика было невозможно;</w:t>
      </w:r>
    </w:p>
    <w:p w:rsidR="00943F76" w:rsidRDefault="00943F76" w:rsidP="00943F76">
      <w:pPr>
        <w:spacing w:line="120" w:lineRule="auto"/>
        <w:ind w:left="1287"/>
        <w:jc w:val="both"/>
      </w:pPr>
    </w:p>
    <w:p w:rsidR="00943F76" w:rsidRDefault="00943F76" w:rsidP="00943F76">
      <w:pPr>
        <w:ind w:firstLine="426"/>
        <w:jc w:val="both"/>
      </w:pPr>
      <w:r>
        <w:t>Согласно данным ЕИС общее количество позиций в План</w:t>
      </w:r>
      <w:r w:rsidR="00BB139E">
        <w:t>ах</w:t>
      </w:r>
      <w:r>
        <w:t xml:space="preserve"> – график</w:t>
      </w:r>
      <w:r w:rsidR="00BB139E">
        <w:t>ах</w:t>
      </w:r>
      <w:r>
        <w:t xml:space="preserve"> закуп</w:t>
      </w:r>
      <w:r w:rsidR="00133FA9">
        <w:t>ок</w:t>
      </w:r>
      <w:r>
        <w:t xml:space="preserve"> товаров, работ</w:t>
      </w:r>
      <w:proofErr w:type="gramStart"/>
      <w:r>
        <w:t xml:space="preserve"> ,</w:t>
      </w:r>
      <w:proofErr w:type="gramEnd"/>
      <w:r>
        <w:t xml:space="preserve"> услуг, которые планировалось осуществить  Заказчиками в 20</w:t>
      </w:r>
      <w:r w:rsidR="004C5E47">
        <w:t>22</w:t>
      </w:r>
      <w:r>
        <w:t xml:space="preserve"> году, составило   </w:t>
      </w:r>
      <w:r w:rsidRPr="00943F76">
        <w:rPr>
          <w:b/>
        </w:rPr>
        <w:t>2</w:t>
      </w:r>
      <w:r w:rsidR="004C5E47">
        <w:rPr>
          <w:b/>
        </w:rPr>
        <w:t>6</w:t>
      </w:r>
      <w:r w:rsidRPr="00943F76">
        <w:rPr>
          <w:b/>
        </w:rPr>
        <w:t>8</w:t>
      </w:r>
      <w:r w:rsidRPr="00544DEF">
        <w:rPr>
          <w:b/>
        </w:rPr>
        <w:t xml:space="preserve"> </w:t>
      </w:r>
      <w:r>
        <w:rPr>
          <w:b/>
        </w:rPr>
        <w:t xml:space="preserve"> </w:t>
      </w:r>
      <w:r w:rsidRPr="00544DEF">
        <w:rPr>
          <w:b/>
        </w:rPr>
        <w:t>п</w:t>
      </w:r>
      <w:r w:rsidRPr="009A34F2">
        <w:rPr>
          <w:b/>
        </w:rPr>
        <w:t>озици</w:t>
      </w:r>
      <w:r>
        <w:rPr>
          <w:b/>
        </w:rPr>
        <w:t>й</w:t>
      </w:r>
      <w:r>
        <w:t xml:space="preserve">  общим объемом  </w:t>
      </w:r>
      <w:r w:rsidR="004C5E47">
        <w:rPr>
          <w:b/>
        </w:rPr>
        <w:t>1</w:t>
      </w:r>
      <w:r w:rsidR="001C69BE">
        <w:rPr>
          <w:b/>
        </w:rPr>
        <w:t> </w:t>
      </w:r>
      <w:r w:rsidR="004C5E47">
        <w:rPr>
          <w:b/>
        </w:rPr>
        <w:t>197</w:t>
      </w:r>
      <w:r w:rsidR="001C69BE">
        <w:rPr>
          <w:b/>
        </w:rPr>
        <w:t> 423,5 т</w:t>
      </w:r>
      <w:r w:rsidRPr="00943F76">
        <w:rPr>
          <w:b/>
        </w:rPr>
        <w:t>ыс</w:t>
      </w:r>
      <w:r w:rsidRPr="009A34F2">
        <w:rPr>
          <w:b/>
        </w:rPr>
        <w:t>.</w:t>
      </w:r>
      <w:r w:rsidRPr="0065437E">
        <w:rPr>
          <w:b/>
        </w:rPr>
        <w:t xml:space="preserve"> руб</w:t>
      </w:r>
      <w:r w:rsidRPr="001E000D">
        <w:rPr>
          <w:b/>
        </w:rPr>
        <w:t>.</w:t>
      </w:r>
    </w:p>
    <w:p w:rsidR="00943F76" w:rsidRDefault="00943F76" w:rsidP="00943F76">
      <w:pPr>
        <w:ind w:firstLine="426"/>
        <w:jc w:val="both"/>
        <w:rPr>
          <w:rFonts w:eastAsia="Calibri"/>
          <w:color w:val="000000"/>
        </w:rPr>
      </w:pPr>
      <w:r w:rsidRPr="00B4470C">
        <w:rPr>
          <w:rFonts w:eastAsia="Calibri"/>
          <w:color w:val="000000"/>
        </w:rPr>
        <w:t xml:space="preserve">За аналогичный период </w:t>
      </w:r>
      <w:r>
        <w:rPr>
          <w:rFonts w:eastAsia="Calibri"/>
          <w:color w:val="000000"/>
        </w:rPr>
        <w:t xml:space="preserve"> </w:t>
      </w:r>
      <w:r w:rsidRPr="00B4470C">
        <w:rPr>
          <w:rFonts w:eastAsia="Calibri"/>
          <w:color w:val="000000"/>
        </w:rPr>
        <w:t>20</w:t>
      </w:r>
      <w:r w:rsidR="004C5E47">
        <w:rPr>
          <w:rFonts w:eastAsia="Calibri"/>
          <w:color w:val="000000"/>
        </w:rPr>
        <w:t>21</w:t>
      </w:r>
      <w:r w:rsidRPr="00B4470C">
        <w:rPr>
          <w:rFonts w:eastAsia="Calibri"/>
          <w:color w:val="000000"/>
        </w:rPr>
        <w:t xml:space="preserve"> года </w:t>
      </w:r>
      <w:r>
        <w:rPr>
          <w:rFonts w:eastAsia="Calibri"/>
          <w:color w:val="000000"/>
        </w:rPr>
        <w:t xml:space="preserve"> З</w:t>
      </w:r>
      <w:r w:rsidRPr="00B4470C">
        <w:rPr>
          <w:rFonts w:eastAsia="Calibri"/>
          <w:color w:val="000000"/>
        </w:rPr>
        <w:t xml:space="preserve">аказчиками было размещено </w:t>
      </w:r>
      <w:r>
        <w:rPr>
          <w:rFonts w:eastAsia="Calibri"/>
          <w:color w:val="000000"/>
        </w:rPr>
        <w:t xml:space="preserve"> </w:t>
      </w:r>
      <w:r w:rsidR="004C5E47">
        <w:rPr>
          <w:rFonts w:eastAsia="Calibri"/>
          <w:color w:val="000000"/>
        </w:rPr>
        <w:t>меньшее</w:t>
      </w:r>
      <w:r w:rsidRPr="00B4470C">
        <w:rPr>
          <w:rFonts w:eastAsia="Calibri"/>
          <w:color w:val="000000"/>
        </w:rPr>
        <w:t xml:space="preserve"> количество позиций в планах-графика</w:t>
      </w:r>
      <w:r>
        <w:rPr>
          <w:rFonts w:eastAsia="Calibri"/>
          <w:color w:val="000000"/>
        </w:rPr>
        <w:t>х</w:t>
      </w:r>
      <w:r w:rsidRPr="00B4470C">
        <w:rPr>
          <w:rFonts w:eastAsia="Calibri"/>
          <w:color w:val="000000"/>
        </w:rPr>
        <w:t xml:space="preserve"> –</w:t>
      </w:r>
      <w:r w:rsidR="004C5E47">
        <w:rPr>
          <w:rFonts w:eastAsia="Calibri"/>
          <w:color w:val="000000"/>
        </w:rPr>
        <w:t>238</w:t>
      </w:r>
      <w:r>
        <w:rPr>
          <w:rFonts w:eastAsia="Calibri"/>
          <w:color w:val="000000"/>
        </w:rPr>
        <w:t xml:space="preserve"> позици</w:t>
      </w:r>
      <w:r w:rsidR="004C5E47">
        <w:rPr>
          <w:rFonts w:eastAsia="Calibri"/>
          <w:color w:val="000000"/>
        </w:rPr>
        <w:t>й</w:t>
      </w:r>
      <w:r>
        <w:rPr>
          <w:rFonts w:eastAsia="Calibri"/>
          <w:color w:val="000000"/>
        </w:rPr>
        <w:t xml:space="preserve"> общим </w:t>
      </w:r>
      <w:r w:rsidRPr="00943F76">
        <w:rPr>
          <w:rFonts w:eastAsia="Calibri"/>
          <w:color w:val="000000"/>
        </w:rPr>
        <w:t xml:space="preserve">объемом </w:t>
      </w:r>
      <w:r w:rsidR="004C5E47">
        <w:rPr>
          <w:rFonts w:eastAsia="Calibri"/>
          <w:color w:val="000000"/>
        </w:rPr>
        <w:t>525 040,0</w:t>
      </w:r>
      <w:r w:rsidRPr="00943F76">
        <w:t xml:space="preserve"> тыс. руб</w:t>
      </w:r>
      <w:r w:rsidRPr="00943F76">
        <w:rPr>
          <w:rFonts w:eastAsia="Calibri"/>
          <w:color w:val="000000"/>
        </w:rPr>
        <w:t>.</w:t>
      </w:r>
    </w:p>
    <w:p w:rsidR="00943F76" w:rsidRDefault="00943F76" w:rsidP="00225262">
      <w:pPr>
        <w:spacing w:line="120" w:lineRule="auto"/>
        <w:ind w:firstLine="425"/>
        <w:jc w:val="both"/>
        <w:rPr>
          <w:i/>
        </w:rPr>
      </w:pPr>
    </w:p>
    <w:p w:rsidR="0051457E" w:rsidRDefault="0051457E" w:rsidP="0051457E">
      <w:pPr>
        <w:ind w:firstLine="567"/>
        <w:jc w:val="center"/>
        <w:rPr>
          <w:i/>
        </w:rPr>
      </w:pPr>
      <w:r w:rsidRPr="002F6E09">
        <w:rPr>
          <w:i/>
        </w:rPr>
        <w:t xml:space="preserve">Информация о количестве </w:t>
      </w:r>
      <w:r>
        <w:rPr>
          <w:i/>
        </w:rPr>
        <w:t xml:space="preserve">позиций </w:t>
      </w:r>
      <w:r w:rsidRPr="002F6E09">
        <w:rPr>
          <w:i/>
        </w:rPr>
        <w:t>планов</w:t>
      </w:r>
      <w:r>
        <w:rPr>
          <w:i/>
        </w:rPr>
        <w:t xml:space="preserve"> - графиков</w:t>
      </w:r>
      <w:r w:rsidRPr="002F6E09">
        <w:rPr>
          <w:i/>
        </w:rPr>
        <w:t>, размещенных поселениями в 20</w:t>
      </w:r>
      <w:r w:rsidR="004C5E47">
        <w:rPr>
          <w:i/>
        </w:rPr>
        <w:t>22</w:t>
      </w:r>
      <w:r w:rsidRPr="002F6E09">
        <w:rPr>
          <w:i/>
        </w:rPr>
        <w:t xml:space="preserve"> году в ЕИС и </w:t>
      </w:r>
      <w:r>
        <w:rPr>
          <w:i/>
        </w:rPr>
        <w:t xml:space="preserve">объем НМЦК </w:t>
      </w:r>
      <w:r w:rsidRPr="002F6E09">
        <w:rPr>
          <w:i/>
        </w:rPr>
        <w:t xml:space="preserve"> </w:t>
      </w:r>
      <w:r>
        <w:rPr>
          <w:i/>
        </w:rPr>
        <w:t xml:space="preserve">в </w:t>
      </w:r>
      <w:r w:rsidRPr="002F6E09">
        <w:rPr>
          <w:i/>
        </w:rPr>
        <w:t>планах</w:t>
      </w:r>
      <w:r>
        <w:rPr>
          <w:i/>
        </w:rPr>
        <w:t xml:space="preserve"> – графиках  в разрезе способов определения поставщика (подрядчика, исполнителя)</w:t>
      </w:r>
      <w:r w:rsidRPr="002F6E09">
        <w:rPr>
          <w:i/>
        </w:rPr>
        <w:t xml:space="preserve">, представлены в </w:t>
      </w:r>
      <w:r>
        <w:rPr>
          <w:i/>
        </w:rPr>
        <w:t xml:space="preserve"> </w:t>
      </w:r>
      <w:r w:rsidRPr="002F6E09">
        <w:rPr>
          <w:i/>
        </w:rPr>
        <w:t xml:space="preserve">Таблице </w:t>
      </w:r>
      <w:r w:rsidR="00203B03">
        <w:rPr>
          <w:i/>
        </w:rPr>
        <w:t>2</w:t>
      </w:r>
    </w:p>
    <w:p w:rsidR="0051457E" w:rsidRPr="008A6525" w:rsidRDefault="0051457E" w:rsidP="002B0DF6">
      <w:pPr>
        <w:rPr>
          <w:b/>
          <w:sz w:val="20"/>
          <w:szCs w:val="20"/>
        </w:rPr>
      </w:pPr>
      <w:r w:rsidRPr="008A6525">
        <w:rPr>
          <w:b/>
          <w:sz w:val="20"/>
          <w:szCs w:val="20"/>
        </w:rPr>
        <w:t xml:space="preserve">Таблица </w:t>
      </w:r>
      <w:r w:rsidR="00203B03">
        <w:rPr>
          <w:b/>
          <w:sz w:val="20"/>
          <w:szCs w:val="20"/>
        </w:rPr>
        <w:t>2</w:t>
      </w:r>
      <w:r w:rsidR="002B0DF6">
        <w:rPr>
          <w:b/>
          <w:sz w:val="20"/>
          <w:szCs w:val="20"/>
        </w:rPr>
        <w:t xml:space="preserve">                                                                                                                                                      тыс. руб.</w:t>
      </w:r>
    </w:p>
    <w:tbl>
      <w:tblPr>
        <w:tblpPr w:leftFromText="180" w:rightFromText="180" w:vertAnchor="text" w:horzAnchor="margin" w:tblpXSpec="center" w:tblpY="254"/>
        <w:tblW w:w="9329" w:type="dxa"/>
        <w:tblLayout w:type="fixed"/>
        <w:tblLook w:val="00A0" w:firstRow="1" w:lastRow="0" w:firstColumn="1" w:lastColumn="0" w:noHBand="0" w:noVBand="0"/>
      </w:tblPr>
      <w:tblGrid>
        <w:gridCol w:w="454"/>
        <w:gridCol w:w="3969"/>
        <w:gridCol w:w="3118"/>
        <w:gridCol w:w="1788"/>
      </w:tblGrid>
      <w:tr w:rsidR="00B15C8B" w:rsidRPr="00C80AAE" w:rsidTr="004C5E47">
        <w:trPr>
          <w:trHeight w:val="406"/>
          <w:tblHeader/>
        </w:trPr>
        <w:tc>
          <w:tcPr>
            <w:tcW w:w="454" w:type="dxa"/>
            <w:vMerge w:val="restart"/>
            <w:tcBorders>
              <w:top w:val="single" w:sz="8" w:space="0" w:color="auto"/>
              <w:left w:val="single" w:sz="8" w:space="0" w:color="auto"/>
              <w:bottom w:val="single" w:sz="8" w:space="0" w:color="000000"/>
              <w:right w:val="single" w:sz="4" w:space="0" w:color="auto"/>
            </w:tcBorders>
            <w:shd w:val="clear" w:color="auto" w:fill="EEECE1" w:themeFill="background2"/>
            <w:tcMar>
              <w:top w:w="0" w:type="dxa"/>
              <w:left w:w="28" w:type="dxa"/>
              <w:bottom w:w="0" w:type="dxa"/>
              <w:right w:w="28" w:type="dxa"/>
            </w:tcMar>
          </w:tcPr>
          <w:p w:rsidR="00B15C8B" w:rsidRDefault="00B15C8B" w:rsidP="00122ADB">
            <w:pPr>
              <w:pStyle w:val="Default"/>
              <w:ind w:left="66" w:firstLine="34"/>
              <w:jc w:val="center"/>
              <w:rPr>
                <w:rFonts w:ascii="Times New Roman" w:hAnsi="Times New Roman" w:cs="Times New Roman"/>
                <w:b/>
                <w:bCs/>
                <w:sz w:val="20"/>
                <w:szCs w:val="20"/>
              </w:rPr>
            </w:pPr>
          </w:p>
          <w:p w:rsidR="00B15C8B" w:rsidRPr="007708C9" w:rsidRDefault="00B15C8B" w:rsidP="00122ADB">
            <w:pPr>
              <w:pStyle w:val="Default"/>
              <w:jc w:val="center"/>
              <w:rPr>
                <w:rFonts w:ascii="Times New Roman" w:eastAsia="Times New Roman" w:hAnsi="Times New Roman" w:cs="Times New Roman"/>
                <w:color w:val="auto"/>
                <w:sz w:val="16"/>
                <w:szCs w:val="16"/>
              </w:rPr>
            </w:pPr>
            <w:r w:rsidRPr="007708C9">
              <w:rPr>
                <w:rFonts w:ascii="Times New Roman" w:hAnsi="Times New Roman" w:cs="Times New Roman"/>
                <w:b/>
                <w:bCs/>
                <w:sz w:val="16"/>
                <w:szCs w:val="16"/>
              </w:rPr>
              <w:t>№</w:t>
            </w:r>
            <w:proofErr w:type="spellStart"/>
            <w:r w:rsidRPr="007708C9">
              <w:rPr>
                <w:rFonts w:ascii="Times New Roman" w:hAnsi="Times New Roman" w:cs="Times New Roman"/>
                <w:b/>
                <w:bCs/>
                <w:sz w:val="16"/>
                <w:szCs w:val="16"/>
              </w:rPr>
              <w:t>пп</w:t>
            </w:r>
            <w:proofErr w:type="spellEnd"/>
          </w:p>
        </w:tc>
        <w:tc>
          <w:tcPr>
            <w:tcW w:w="3969" w:type="dxa"/>
            <w:vMerge w:val="restart"/>
            <w:tcBorders>
              <w:top w:val="single" w:sz="4" w:space="0" w:color="auto"/>
              <w:left w:val="single" w:sz="4" w:space="0" w:color="auto"/>
              <w:bottom w:val="single" w:sz="8" w:space="0" w:color="000000"/>
              <w:right w:val="single" w:sz="4" w:space="0" w:color="auto"/>
            </w:tcBorders>
            <w:shd w:val="clear" w:color="auto" w:fill="EEECE1" w:themeFill="background2"/>
          </w:tcPr>
          <w:p w:rsidR="00B15C8B" w:rsidRPr="00B15C8B" w:rsidRDefault="00B15C8B" w:rsidP="00122ADB">
            <w:pPr>
              <w:pStyle w:val="Default"/>
              <w:jc w:val="center"/>
              <w:rPr>
                <w:rFonts w:ascii="Times New Roman" w:eastAsia="Times New Roman" w:hAnsi="Times New Roman" w:cs="Times New Roman"/>
                <w:color w:val="auto"/>
                <w:sz w:val="18"/>
                <w:szCs w:val="18"/>
              </w:rPr>
            </w:pPr>
            <w:r w:rsidRPr="00B15C8B">
              <w:rPr>
                <w:rFonts w:ascii="Times New Roman" w:hAnsi="Times New Roman" w:cs="Times New Roman"/>
                <w:b/>
                <w:bCs/>
                <w:sz w:val="18"/>
                <w:szCs w:val="18"/>
              </w:rPr>
              <w:t>Способ определения поставщика (подрядчика, исполнителя)</w:t>
            </w:r>
          </w:p>
        </w:tc>
        <w:tc>
          <w:tcPr>
            <w:tcW w:w="4906" w:type="dxa"/>
            <w:gridSpan w:val="2"/>
            <w:tcBorders>
              <w:top w:val="single" w:sz="8" w:space="0" w:color="auto"/>
              <w:left w:val="nil"/>
              <w:bottom w:val="single" w:sz="4" w:space="0" w:color="auto"/>
              <w:right w:val="single" w:sz="4" w:space="0" w:color="auto"/>
            </w:tcBorders>
            <w:shd w:val="clear" w:color="auto" w:fill="EEECE1" w:themeFill="background2"/>
            <w:tcMar>
              <w:top w:w="0" w:type="dxa"/>
              <w:left w:w="28" w:type="dxa"/>
              <w:bottom w:w="0" w:type="dxa"/>
              <w:right w:w="28" w:type="dxa"/>
            </w:tcMar>
          </w:tcPr>
          <w:p w:rsidR="00B15C8B" w:rsidRPr="00B15C8B" w:rsidRDefault="00B15C8B" w:rsidP="004C5E47">
            <w:pPr>
              <w:jc w:val="center"/>
              <w:rPr>
                <w:rFonts w:eastAsia="Calibri"/>
                <w:b/>
                <w:bCs/>
                <w:color w:val="000000"/>
                <w:sz w:val="18"/>
                <w:szCs w:val="18"/>
              </w:rPr>
            </w:pPr>
            <w:r w:rsidRPr="00B15C8B">
              <w:rPr>
                <w:rFonts w:eastAsia="Calibri"/>
                <w:b/>
                <w:bCs/>
                <w:color w:val="000000"/>
                <w:sz w:val="18"/>
                <w:szCs w:val="18"/>
              </w:rPr>
              <w:t>Запланировано  на 20</w:t>
            </w:r>
            <w:r w:rsidR="004C5E47">
              <w:rPr>
                <w:rFonts w:eastAsia="Calibri"/>
                <w:b/>
                <w:bCs/>
                <w:color w:val="000000"/>
                <w:sz w:val="18"/>
                <w:szCs w:val="18"/>
              </w:rPr>
              <w:t>22</w:t>
            </w:r>
            <w:r w:rsidRPr="00B15C8B">
              <w:rPr>
                <w:rFonts w:eastAsia="Calibri"/>
                <w:b/>
                <w:bCs/>
                <w:color w:val="000000"/>
                <w:sz w:val="18"/>
                <w:szCs w:val="18"/>
              </w:rPr>
              <w:t xml:space="preserve"> год с учетом внесенных </w:t>
            </w:r>
            <w:r w:rsidR="008A11AF">
              <w:rPr>
                <w:rFonts w:eastAsia="Calibri"/>
                <w:b/>
                <w:bCs/>
                <w:color w:val="000000"/>
                <w:sz w:val="18"/>
                <w:szCs w:val="18"/>
              </w:rPr>
              <w:t xml:space="preserve"> </w:t>
            </w:r>
            <w:r w:rsidRPr="00B15C8B">
              <w:rPr>
                <w:rFonts w:eastAsia="Calibri"/>
                <w:b/>
                <w:bCs/>
                <w:color w:val="000000"/>
                <w:sz w:val="18"/>
                <w:szCs w:val="18"/>
              </w:rPr>
              <w:t>изменений</w:t>
            </w:r>
          </w:p>
        </w:tc>
      </w:tr>
      <w:tr w:rsidR="0051457E" w:rsidRPr="002B7FA2" w:rsidTr="004C5E47">
        <w:trPr>
          <w:trHeight w:val="258"/>
          <w:tblHeader/>
        </w:trPr>
        <w:tc>
          <w:tcPr>
            <w:tcW w:w="454" w:type="dxa"/>
            <w:vMerge/>
            <w:tcBorders>
              <w:top w:val="single" w:sz="8" w:space="0" w:color="auto"/>
              <w:left w:val="single" w:sz="8" w:space="0" w:color="auto"/>
              <w:bottom w:val="single" w:sz="4" w:space="0" w:color="auto"/>
              <w:right w:val="single" w:sz="4" w:space="0" w:color="auto"/>
            </w:tcBorders>
            <w:shd w:val="clear" w:color="auto" w:fill="EEECE1" w:themeFill="background2"/>
            <w:vAlign w:val="center"/>
          </w:tcPr>
          <w:p w:rsidR="0051457E" w:rsidRPr="002B7FA2" w:rsidRDefault="0051457E" w:rsidP="00122ADB">
            <w:pPr>
              <w:rPr>
                <w:b/>
                <w:bCs/>
                <w:sz w:val="18"/>
                <w:szCs w:val="20"/>
              </w:rPr>
            </w:pPr>
          </w:p>
        </w:tc>
        <w:tc>
          <w:tcPr>
            <w:tcW w:w="3969"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tcPr>
          <w:p w:rsidR="0051457E" w:rsidRPr="00B15C8B" w:rsidRDefault="0051457E" w:rsidP="00122ADB">
            <w:pPr>
              <w:rPr>
                <w:b/>
                <w:bCs/>
                <w:sz w:val="18"/>
                <w:szCs w:val="18"/>
              </w:rPr>
            </w:pPr>
          </w:p>
        </w:tc>
        <w:tc>
          <w:tcPr>
            <w:tcW w:w="3118" w:type="dxa"/>
            <w:tcBorders>
              <w:top w:val="single" w:sz="4" w:space="0" w:color="auto"/>
              <w:left w:val="nil"/>
              <w:bottom w:val="single" w:sz="4" w:space="0" w:color="auto"/>
              <w:right w:val="single" w:sz="4" w:space="0" w:color="auto"/>
            </w:tcBorders>
            <w:shd w:val="clear" w:color="auto" w:fill="EEECE1" w:themeFill="background2"/>
            <w:tcMar>
              <w:top w:w="0" w:type="dxa"/>
              <w:left w:w="28" w:type="dxa"/>
              <w:bottom w:w="0" w:type="dxa"/>
              <w:right w:w="28" w:type="dxa"/>
            </w:tcMar>
            <w:vAlign w:val="center"/>
          </w:tcPr>
          <w:p w:rsidR="0051457E" w:rsidRPr="00B15C8B" w:rsidRDefault="00B15C8B" w:rsidP="00122ADB">
            <w:pPr>
              <w:jc w:val="center"/>
              <w:rPr>
                <w:b/>
                <w:bCs/>
                <w:sz w:val="18"/>
                <w:szCs w:val="18"/>
              </w:rPr>
            </w:pPr>
            <w:r w:rsidRPr="00B15C8B">
              <w:rPr>
                <w:rFonts w:eastAsia="Calibri"/>
                <w:b/>
                <w:bCs/>
                <w:color w:val="000000"/>
                <w:sz w:val="18"/>
                <w:szCs w:val="18"/>
              </w:rPr>
              <w:t>Количество позиций планов – графиков</w:t>
            </w:r>
          </w:p>
        </w:tc>
        <w:tc>
          <w:tcPr>
            <w:tcW w:w="1788" w:type="dxa"/>
            <w:tcBorders>
              <w:top w:val="single" w:sz="4" w:space="0" w:color="auto"/>
              <w:left w:val="nil"/>
              <w:bottom w:val="single" w:sz="4" w:space="0" w:color="auto"/>
              <w:right w:val="single" w:sz="4" w:space="0" w:color="auto"/>
            </w:tcBorders>
            <w:shd w:val="clear" w:color="auto" w:fill="EEECE1" w:themeFill="background2"/>
            <w:vAlign w:val="center"/>
          </w:tcPr>
          <w:p w:rsidR="00B15C8B" w:rsidRPr="00B15C8B" w:rsidRDefault="00B15C8B" w:rsidP="00122ADB">
            <w:pPr>
              <w:jc w:val="center"/>
              <w:rPr>
                <w:rFonts w:eastAsia="Calibri"/>
                <w:b/>
                <w:bCs/>
                <w:color w:val="000000"/>
                <w:sz w:val="18"/>
                <w:szCs w:val="18"/>
              </w:rPr>
            </w:pPr>
            <w:r w:rsidRPr="00B15C8B">
              <w:rPr>
                <w:rFonts w:eastAsia="Calibri"/>
                <w:b/>
                <w:bCs/>
                <w:color w:val="000000"/>
                <w:sz w:val="18"/>
                <w:szCs w:val="18"/>
              </w:rPr>
              <w:t xml:space="preserve">НМЦК, </w:t>
            </w:r>
          </w:p>
          <w:p w:rsidR="0051457E" w:rsidRPr="00B15C8B" w:rsidRDefault="0051457E" w:rsidP="00122ADB">
            <w:pPr>
              <w:jc w:val="center"/>
              <w:rPr>
                <w:b/>
                <w:bCs/>
                <w:sz w:val="18"/>
                <w:szCs w:val="18"/>
              </w:rPr>
            </w:pPr>
          </w:p>
        </w:tc>
      </w:tr>
      <w:tr w:rsidR="0051457E" w:rsidRPr="00D154DB" w:rsidTr="00122ADB">
        <w:trPr>
          <w:trHeight w:val="89"/>
          <w:tblHeader/>
        </w:trPr>
        <w:tc>
          <w:tcPr>
            <w:tcW w:w="454"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51457E" w:rsidRPr="00D154DB" w:rsidRDefault="0051457E" w:rsidP="00122ADB">
            <w:pPr>
              <w:jc w:val="center"/>
              <w:rPr>
                <w:b/>
                <w:sz w:val="18"/>
                <w:szCs w:val="20"/>
              </w:rPr>
            </w:pPr>
          </w:p>
        </w:tc>
        <w:tc>
          <w:tcPr>
            <w:tcW w:w="3969" w:type="dxa"/>
            <w:tcBorders>
              <w:top w:val="nil"/>
              <w:left w:val="single" w:sz="4" w:space="0" w:color="auto"/>
              <w:bottom w:val="single" w:sz="8" w:space="0" w:color="auto"/>
              <w:right w:val="single" w:sz="4" w:space="0" w:color="auto"/>
            </w:tcBorders>
            <w:vAlign w:val="center"/>
          </w:tcPr>
          <w:p w:rsidR="0051457E" w:rsidRPr="00D154DB" w:rsidRDefault="0051457E" w:rsidP="00122ADB">
            <w:pPr>
              <w:jc w:val="center"/>
              <w:rPr>
                <w:b/>
                <w:sz w:val="18"/>
                <w:szCs w:val="20"/>
              </w:rPr>
            </w:pPr>
            <w:r w:rsidRPr="00D154DB">
              <w:rPr>
                <w:b/>
                <w:sz w:val="18"/>
                <w:szCs w:val="20"/>
              </w:rPr>
              <w:t>1</w:t>
            </w:r>
          </w:p>
        </w:tc>
        <w:tc>
          <w:tcPr>
            <w:tcW w:w="3118" w:type="dxa"/>
            <w:tcBorders>
              <w:top w:val="nil"/>
              <w:left w:val="nil"/>
              <w:bottom w:val="single" w:sz="8" w:space="0" w:color="auto"/>
              <w:right w:val="single" w:sz="4" w:space="0" w:color="auto"/>
            </w:tcBorders>
            <w:tcMar>
              <w:top w:w="0" w:type="dxa"/>
              <w:left w:w="28" w:type="dxa"/>
              <w:bottom w:w="0" w:type="dxa"/>
              <w:right w:w="28" w:type="dxa"/>
            </w:tcMar>
            <w:vAlign w:val="center"/>
          </w:tcPr>
          <w:p w:rsidR="0051457E" w:rsidRPr="00D154DB" w:rsidRDefault="0051457E" w:rsidP="00122ADB">
            <w:pPr>
              <w:jc w:val="center"/>
              <w:rPr>
                <w:b/>
                <w:sz w:val="18"/>
                <w:szCs w:val="20"/>
              </w:rPr>
            </w:pPr>
            <w:r w:rsidRPr="00D154DB">
              <w:rPr>
                <w:b/>
                <w:sz w:val="18"/>
                <w:szCs w:val="20"/>
              </w:rPr>
              <w:t>2</w:t>
            </w:r>
          </w:p>
        </w:tc>
        <w:tc>
          <w:tcPr>
            <w:tcW w:w="1788" w:type="dxa"/>
            <w:tcBorders>
              <w:top w:val="nil"/>
              <w:left w:val="nil"/>
              <w:bottom w:val="single" w:sz="8" w:space="0" w:color="auto"/>
              <w:right w:val="single" w:sz="4" w:space="0" w:color="auto"/>
            </w:tcBorders>
            <w:vAlign w:val="center"/>
          </w:tcPr>
          <w:p w:rsidR="0051457E" w:rsidRPr="00D154DB" w:rsidRDefault="0051457E" w:rsidP="00122ADB">
            <w:pPr>
              <w:jc w:val="center"/>
              <w:rPr>
                <w:b/>
                <w:sz w:val="18"/>
                <w:szCs w:val="20"/>
              </w:rPr>
            </w:pPr>
            <w:r>
              <w:rPr>
                <w:b/>
                <w:sz w:val="18"/>
                <w:szCs w:val="20"/>
              </w:rPr>
              <w:t>3</w:t>
            </w:r>
          </w:p>
        </w:tc>
      </w:tr>
      <w:tr w:rsidR="0051457E" w:rsidRPr="007708C9" w:rsidTr="00122ADB">
        <w:trPr>
          <w:trHeight w:val="178"/>
        </w:trPr>
        <w:tc>
          <w:tcPr>
            <w:tcW w:w="454" w:type="dxa"/>
            <w:tcBorders>
              <w:top w:val="single" w:sz="4" w:space="0" w:color="auto"/>
              <w:left w:val="single" w:sz="8" w:space="0" w:color="auto"/>
              <w:bottom w:val="single" w:sz="4" w:space="0" w:color="auto"/>
              <w:right w:val="single" w:sz="4" w:space="0" w:color="auto"/>
            </w:tcBorders>
            <w:noWrap/>
            <w:vAlign w:val="bottom"/>
          </w:tcPr>
          <w:p w:rsidR="0051457E" w:rsidRPr="00505F8F" w:rsidRDefault="0051457E" w:rsidP="00122ADB">
            <w:pPr>
              <w:rPr>
                <w:sz w:val="16"/>
                <w:szCs w:val="16"/>
              </w:rPr>
            </w:pPr>
          </w:p>
          <w:p w:rsidR="0051457E" w:rsidRPr="00505F8F" w:rsidRDefault="0051457E" w:rsidP="00122ADB">
            <w:pPr>
              <w:rPr>
                <w:sz w:val="16"/>
                <w:szCs w:val="16"/>
              </w:rPr>
            </w:pPr>
            <w:r w:rsidRPr="00505F8F">
              <w:rPr>
                <w:sz w:val="16"/>
                <w:szCs w:val="16"/>
              </w:rPr>
              <w:lastRenderedPageBreak/>
              <w:t>1</w:t>
            </w:r>
          </w:p>
        </w:tc>
        <w:tc>
          <w:tcPr>
            <w:tcW w:w="3969" w:type="dxa"/>
            <w:tcBorders>
              <w:top w:val="single" w:sz="4" w:space="0" w:color="auto"/>
              <w:left w:val="single" w:sz="4" w:space="0" w:color="auto"/>
              <w:bottom w:val="single" w:sz="4" w:space="0" w:color="auto"/>
              <w:right w:val="single" w:sz="4" w:space="0" w:color="auto"/>
            </w:tcBorders>
            <w:vAlign w:val="bottom"/>
          </w:tcPr>
          <w:p w:rsidR="0051457E" w:rsidRPr="003100E2" w:rsidRDefault="008A11AF" w:rsidP="00122ADB">
            <w:pPr>
              <w:rPr>
                <w:sz w:val="22"/>
                <w:szCs w:val="22"/>
              </w:rPr>
            </w:pPr>
            <w:r w:rsidRPr="003100E2">
              <w:rPr>
                <w:sz w:val="22"/>
                <w:szCs w:val="22"/>
              </w:rPr>
              <w:lastRenderedPageBreak/>
              <w:t>Электронный аукцион</w:t>
            </w:r>
          </w:p>
        </w:tc>
        <w:tc>
          <w:tcPr>
            <w:tcW w:w="3118"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51457E" w:rsidRPr="005C1FF8" w:rsidRDefault="004C5E47" w:rsidP="004C5E47">
            <w:pPr>
              <w:jc w:val="center"/>
              <w:rPr>
                <w:sz w:val="20"/>
                <w:szCs w:val="20"/>
              </w:rPr>
            </w:pPr>
            <w:r>
              <w:rPr>
                <w:sz w:val="20"/>
                <w:szCs w:val="20"/>
              </w:rPr>
              <w:t>159</w:t>
            </w:r>
          </w:p>
        </w:tc>
        <w:tc>
          <w:tcPr>
            <w:tcW w:w="1788" w:type="dxa"/>
            <w:tcBorders>
              <w:top w:val="single" w:sz="4" w:space="0" w:color="auto"/>
              <w:left w:val="nil"/>
              <w:bottom w:val="single" w:sz="4" w:space="0" w:color="auto"/>
              <w:right w:val="single" w:sz="4" w:space="0" w:color="auto"/>
            </w:tcBorders>
            <w:vAlign w:val="center"/>
          </w:tcPr>
          <w:p w:rsidR="0051457E" w:rsidRPr="005C1FF8" w:rsidRDefault="004C5E47" w:rsidP="002B0DF6">
            <w:pPr>
              <w:jc w:val="center"/>
              <w:rPr>
                <w:sz w:val="20"/>
                <w:szCs w:val="20"/>
              </w:rPr>
            </w:pPr>
            <w:r>
              <w:rPr>
                <w:sz w:val="20"/>
                <w:szCs w:val="20"/>
              </w:rPr>
              <w:t>53</w:t>
            </w:r>
            <w:r w:rsidR="002B0DF6">
              <w:rPr>
                <w:sz w:val="20"/>
                <w:szCs w:val="20"/>
              </w:rPr>
              <w:t>6</w:t>
            </w:r>
            <w:r>
              <w:rPr>
                <w:sz w:val="20"/>
                <w:szCs w:val="20"/>
              </w:rPr>
              <w:t> 698,7</w:t>
            </w:r>
          </w:p>
        </w:tc>
      </w:tr>
      <w:tr w:rsidR="0051457E" w:rsidRPr="007708C9" w:rsidTr="00122ADB">
        <w:trPr>
          <w:trHeight w:val="211"/>
        </w:trPr>
        <w:tc>
          <w:tcPr>
            <w:tcW w:w="454" w:type="dxa"/>
            <w:tcBorders>
              <w:top w:val="nil"/>
              <w:left w:val="single" w:sz="8" w:space="0" w:color="auto"/>
              <w:bottom w:val="single" w:sz="4" w:space="0" w:color="auto"/>
              <w:right w:val="single" w:sz="4" w:space="0" w:color="auto"/>
            </w:tcBorders>
            <w:noWrap/>
            <w:vAlign w:val="bottom"/>
          </w:tcPr>
          <w:p w:rsidR="0051457E" w:rsidRPr="00505F8F" w:rsidRDefault="0051457E" w:rsidP="00122ADB">
            <w:pPr>
              <w:rPr>
                <w:sz w:val="16"/>
                <w:szCs w:val="16"/>
              </w:rPr>
            </w:pPr>
            <w:r w:rsidRPr="00505F8F">
              <w:rPr>
                <w:sz w:val="16"/>
                <w:szCs w:val="16"/>
              </w:rPr>
              <w:lastRenderedPageBreak/>
              <w:t>2</w:t>
            </w:r>
          </w:p>
        </w:tc>
        <w:tc>
          <w:tcPr>
            <w:tcW w:w="3969" w:type="dxa"/>
            <w:tcBorders>
              <w:top w:val="nil"/>
              <w:left w:val="single" w:sz="4" w:space="0" w:color="auto"/>
              <w:bottom w:val="single" w:sz="4" w:space="0" w:color="auto"/>
              <w:right w:val="single" w:sz="4" w:space="0" w:color="auto"/>
            </w:tcBorders>
            <w:vAlign w:val="bottom"/>
          </w:tcPr>
          <w:p w:rsidR="0051457E" w:rsidRPr="003100E2" w:rsidRDefault="008A11AF" w:rsidP="00122ADB">
            <w:pPr>
              <w:rPr>
                <w:sz w:val="22"/>
                <w:szCs w:val="22"/>
              </w:rPr>
            </w:pPr>
            <w:r w:rsidRPr="003100E2">
              <w:rPr>
                <w:sz w:val="22"/>
                <w:szCs w:val="22"/>
              </w:rPr>
              <w:t>Запрос котировок в электронной форме</w:t>
            </w:r>
          </w:p>
        </w:tc>
        <w:tc>
          <w:tcPr>
            <w:tcW w:w="3118"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51457E" w:rsidRPr="005C1FF8" w:rsidRDefault="004C5E47" w:rsidP="004C5E47">
            <w:pPr>
              <w:jc w:val="center"/>
              <w:rPr>
                <w:sz w:val="20"/>
                <w:szCs w:val="20"/>
              </w:rPr>
            </w:pPr>
            <w:r>
              <w:rPr>
                <w:sz w:val="20"/>
                <w:szCs w:val="20"/>
              </w:rPr>
              <w:t>0</w:t>
            </w:r>
          </w:p>
        </w:tc>
        <w:tc>
          <w:tcPr>
            <w:tcW w:w="1788" w:type="dxa"/>
            <w:tcBorders>
              <w:top w:val="nil"/>
              <w:left w:val="nil"/>
              <w:bottom w:val="single" w:sz="4" w:space="0" w:color="auto"/>
              <w:right w:val="single" w:sz="4" w:space="0" w:color="auto"/>
            </w:tcBorders>
            <w:vAlign w:val="center"/>
          </w:tcPr>
          <w:p w:rsidR="0051457E" w:rsidRPr="005C1FF8" w:rsidRDefault="004C5E47" w:rsidP="004C5E47">
            <w:pPr>
              <w:jc w:val="center"/>
              <w:rPr>
                <w:sz w:val="20"/>
                <w:szCs w:val="20"/>
              </w:rPr>
            </w:pPr>
            <w:r>
              <w:rPr>
                <w:sz w:val="20"/>
                <w:szCs w:val="20"/>
              </w:rPr>
              <w:t>0,0</w:t>
            </w:r>
          </w:p>
        </w:tc>
      </w:tr>
      <w:tr w:rsidR="0051457E" w:rsidRPr="007708C9" w:rsidTr="00122ADB">
        <w:trPr>
          <w:trHeight w:val="326"/>
        </w:trPr>
        <w:tc>
          <w:tcPr>
            <w:tcW w:w="454" w:type="dxa"/>
            <w:tcBorders>
              <w:top w:val="nil"/>
              <w:left w:val="single" w:sz="8" w:space="0" w:color="auto"/>
              <w:bottom w:val="single" w:sz="4" w:space="0" w:color="auto"/>
              <w:right w:val="single" w:sz="4" w:space="0" w:color="auto"/>
            </w:tcBorders>
            <w:noWrap/>
            <w:vAlign w:val="bottom"/>
          </w:tcPr>
          <w:p w:rsidR="0051457E" w:rsidRPr="00505F8F" w:rsidRDefault="004C5E47" w:rsidP="00122ADB">
            <w:pPr>
              <w:rPr>
                <w:sz w:val="16"/>
                <w:szCs w:val="16"/>
              </w:rPr>
            </w:pPr>
            <w:r>
              <w:rPr>
                <w:sz w:val="16"/>
                <w:szCs w:val="16"/>
              </w:rPr>
              <w:t>3</w:t>
            </w:r>
          </w:p>
        </w:tc>
        <w:tc>
          <w:tcPr>
            <w:tcW w:w="3969" w:type="dxa"/>
            <w:tcBorders>
              <w:top w:val="nil"/>
              <w:left w:val="single" w:sz="4" w:space="0" w:color="auto"/>
              <w:bottom w:val="single" w:sz="4" w:space="0" w:color="auto"/>
              <w:right w:val="single" w:sz="4" w:space="0" w:color="auto"/>
            </w:tcBorders>
            <w:vAlign w:val="bottom"/>
          </w:tcPr>
          <w:p w:rsidR="00122ADB" w:rsidRPr="003100E2" w:rsidRDefault="004C5E47" w:rsidP="004C5E47">
            <w:pPr>
              <w:rPr>
                <w:sz w:val="22"/>
                <w:szCs w:val="22"/>
              </w:rPr>
            </w:pPr>
            <w:r>
              <w:rPr>
                <w:sz w:val="22"/>
                <w:szCs w:val="22"/>
              </w:rPr>
              <w:t>Электронный  к</w:t>
            </w:r>
            <w:r w:rsidR="008A11AF" w:rsidRPr="003100E2">
              <w:rPr>
                <w:sz w:val="22"/>
                <w:szCs w:val="22"/>
              </w:rPr>
              <w:t>онкурс</w:t>
            </w:r>
            <w:r w:rsidR="00ED42E3">
              <w:rPr>
                <w:sz w:val="22"/>
                <w:szCs w:val="22"/>
              </w:rPr>
              <w:t xml:space="preserve"> </w:t>
            </w:r>
          </w:p>
        </w:tc>
        <w:tc>
          <w:tcPr>
            <w:tcW w:w="3118"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51457E" w:rsidRPr="005C1FF8" w:rsidRDefault="004C5E47" w:rsidP="00ED42E3">
            <w:pPr>
              <w:jc w:val="center"/>
              <w:rPr>
                <w:sz w:val="20"/>
                <w:szCs w:val="20"/>
              </w:rPr>
            </w:pPr>
            <w:r>
              <w:rPr>
                <w:sz w:val="20"/>
                <w:szCs w:val="20"/>
              </w:rPr>
              <w:t>8</w:t>
            </w:r>
          </w:p>
        </w:tc>
        <w:tc>
          <w:tcPr>
            <w:tcW w:w="1788" w:type="dxa"/>
            <w:tcBorders>
              <w:top w:val="nil"/>
              <w:left w:val="nil"/>
              <w:bottom w:val="single" w:sz="4" w:space="0" w:color="auto"/>
              <w:right w:val="single" w:sz="4" w:space="0" w:color="auto"/>
            </w:tcBorders>
            <w:vAlign w:val="center"/>
          </w:tcPr>
          <w:p w:rsidR="0051457E" w:rsidRPr="005C1FF8" w:rsidRDefault="004C5E47" w:rsidP="004C5E47">
            <w:pPr>
              <w:jc w:val="center"/>
              <w:rPr>
                <w:sz w:val="20"/>
                <w:szCs w:val="20"/>
              </w:rPr>
            </w:pPr>
            <w:r>
              <w:rPr>
                <w:sz w:val="20"/>
                <w:szCs w:val="20"/>
              </w:rPr>
              <w:t>115 906,6</w:t>
            </w:r>
          </w:p>
        </w:tc>
      </w:tr>
      <w:tr w:rsidR="0051457E" w:rsidRPr="007708C9" w:rsidTr="00122ADB">
        <w:trPr>
          <w:trHeight w:val="502"/>
        </w:trPr>
        <w:tc>
          <w:tcPr>
            <w:tcW w:w="454" w:type="dxa"/>
            <w:tcBorders>
              <w:top w:val="nil"/>
              <w:left w:val="single" w:sz="8" w:space="0" w:color="auto"/>
              <w:bottom w:val="single" w:sz="4" w:space="0" w:color="auto"/>
              <w:right w:val="single" w:sz="4" w:space="0" w:color="auto"/>
            </w:tcBorders>
            <w:noWrap/>
            <w:vAlign w:val="bottom"/>
          </w:tcPr>
          <w:p w:rsidR="0051457E" w:rsidRPr="00505F8F" w:rsidRDefault="0051457E" w:rsidP="00122ADB">
            <w:pPr>
              <w:rPr>
                <w:sz w:val="16"/>
                <w:szCs w:val="16"/>
              </w:rPr>
            </w:pPr>
          </w:p>
          <w:p w:rsidR="0051457E" w:rsidRPr="00505F8F" w:rsidRDefault="004C5E47" w:rsidP="00122ADB">
            <w:pPr>
              <w:rPr>
                <w:sz w:val="16"/>
                <w:szCs w:val="16"/>
              </w:rPr>
            </w:pPr>
            <w:r>
              <w:rPr>
                <w:sz w:val="16"/>
                <w:szCs w:val="16"/>
              </w:rPr>
              <w:t>4</w:t>
            </w:r>
          </w:p>
        </w:tc>
        <w:tc>
          <w:tcPr>
            <w:tcW w:w="3969" w:type="dxa"/>
            <w:tcBorders>
              <w:top w:val="nil"/>
              <w:left w:val="single" w:sz="4" w:space="0" w:color="auto"/>
              <w:bottom w:val="single" w:sz="4" w:space="0" w:color="auto"/>
              <w:right w:val="single" w:sz="4" w:space="0" w:color="auto"/>
            </w:tcBorders>
            <w:vAlign w:val="bottom"/>
          </w:tcPr>
          <w:p w:rsidR="0051457E" w:rsidRPr="003100E2" w:rsidRDefault="008A11AF" w:rsidP="00122ADB">
            <w:pPr>
              <w:rPr>
                <w:sz w:val="22"/>
                <w:szCs w:val="22"/>
              </w:rPr>
            </w:pPr>
            <w:r w:rsidRPr="003100E2">
              <w:rPr>
                <w:sz w:val="22"/>
                <w:szCs w:val="22"/>
              </w:rPr>
              <w:t>Закупка у единственного поставщика (исполнителя, подрядчика)</w:t>
            </w:r>
          </w:p>
        </w:tc>
        <w:tc>
          <w:tcPr>
            <w:tcW w:w="3118"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51457E" w:rsidRPr="005C1FF8" w:rsidRDefault="004C5E47" w:rsidP="004C5E47">
            <w:pPr>
              <w:jc w:val="center"/>
              <w:rPr>
                <w:sz w:val="20"/>
                <w:szCs w:val="20"/>
              </w:rPr>
            </w:pPr>
            <w:r>
              <w:rPr>
                <w:sz w:val="20"/>
                <w:szCs w:val="20"/>
              </w:rPr>
              <w:t>87</w:t>
            </w:r>
          </w:p>
        </w:tc>
        <w:tc>
          <w:tcPr>
            <w:tcW w:w="1788" w:type="dxa"/>
            <w:tcBorders>
              <w:top w:val="nil"/>
              <w:left w:val="nil"/>
              <w:bottom w:val="single" w:sz="4" w:space="0" w:color="auto"/>
              <w:right w:val="single" w:sz="4" w:space="0" w:color="auto"/>
            </w:tcBorders>
            <w:vAlign w:val="center"/>
          </w:tcPr>
          <w:p w:rsidR="0051457E" w:rsidRPr="005C1FF8" w:rsidRDefault="00B44F10" w:rsidP="00B44F10">
            <w:pPr>
              <w:jc w:val="center"/>
              <w:rPr>
                <w:sz w:val="20"/>
                <w:szCs w:val="20"/>
              </w:rPr>
            </w:pPr>
            <w:r>
              <w:rPr>
                <w:sz w:val="20"/>
                <w:szCs w:val="20"/>
              </w:rPr>
              <w:t>356 463,4</w:t>
            </w:r>
          </w:p>
        </w:tc>
      </w:tr>
      <w:tr w:rsidR="0051457E" w:rsidRPr="007708C9" w:rsidTr="00122ADB">
        <w:trPr>
          <w:trHeight w:val="312"/>
        </w:trPr>
        <w:tc>
          <w:tcPr>
            <w:tcW w:w="454" w:type="dxa"/>
            <w:tcBorders>
              <w:top w:val="single" w:sz="4" w:space="0" w:color="auto"/>
              <w:left w:val="single" w:sz="8" w:space="0" w:color="auto"/>
              <w:bottom w:val="single" w:sz="4" w:space="0" w:color="auto"/>
              <w:right w:val="single" w:sz="4" w:space="0" w:color="auto"/>
            </w:tcBorders>
            <w:noWrap/>
            <w:vAlign w:val="bottom"/>
          </w:tcPr>
          <w:p w:rsidR="0051457E" w:rsidRPr="00505F8F" w:rsidRDefault="004C5E47" w:rsidP="00122ADB">
            <w:pPr>
              <w:rPr>
                <w:sz w:val="16"/>
                <w:szCs w:val="16"/>
              </w:rPr>
            </w:pPr>
            <w:r>
              <w:rPr>
                <w:sz w:val="16"/>
                <w:szCs w:val="16"/>
              </w:rPr>
              <w:t>5</w:t>
            </w:r>
          </w:p>
        </w:tc>
        <w:tc>
          <w:tcPr>
            <w:tcW w:w="3969" w:type="dxa"/>
            <w:tcBorders>
              <w:top w:val="single" w:sz="4" w:space="0" w:color="auto"/>
              <w:left w:val="single" w:sz="4" w:space="0" w:color="auto"/>
              <w:bottom w:val="single" w:sz="4" w:space="0" w:color="auto"/>
              <w:right w:val="single" w:sz="4" w:space="0" w:color="auto"/>
            </w:tcBorders>
            <w:vAlign w:val="bottom"/>
          </w:tcPr>
          <w:p w:rsidR="0051457E" w:rsidRPr="003100E2" w:rsidRDefault="003100E2" w:rsidP="00122ADB">
            <w:pPr>
              <w:rPr>
                <w:sz w:val="22"/>
                <w:szCs w:val="22"/>
              </w:rPr>
            </w:pPr>
            <w:r w:rsidRPr="003100E2">
              <w:rPr>
                <w:sz w:val="22"/>
                <w:szCs w:val="22"/>
              </w:rPr>
              <w:t>Особые закупки</w:t>
            </w:r>
          </w:p>
        </w:tc>
        <w:tc>
          <w:tcPr>
            <w:tcW w:w="3118"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51457E" w:rsidRPr="005C1FF8" w:rsidRDefault="00596C6B" w:rsidP="00122ADB">
            <w:pPr>
              <w:jc w:val="center"/>
              <w:rPr>
                <w:sz w:val="20"/>
                <w:szCs w:val="20"/>
              </w:rPr>
            </w:pPr>
            <w:r>
              <w:rPr>
                <w:sz w:val="20"/>
                <w:szCs w:val="20"/>
              </w:rPr>
              <w:t>14</w:t>
            </w:r>
          </w:p>
        </w:tc>
        <w:tc>
          <w:tcPr>
            <w:tcW w:w="1788" w:type="dxa"/>
            <w:tcBorders>
              <w:top w:val="single" w:sz="4" w:space="0" w:color="auto"/>
              <w:left w:val="nil"/>
              <w:bottom w:val="single" w:sz="4" w:space="0" w:color="auto"/>
              <w:right w:val="single" w:sz="4" w:space="0" w:color="auto"/>
            </w:tcBorders>
            <w:vAlign w:val="center"/>
          </w:tcPr>
          <w:p w:rsidR="0051457E" w:rsidRPr="005C1FF8" w:rsidRDefault="00B44F10" w:rsidP="00612932">
            <w:pPr>
              <w:jc w:val="center"/>
              <w:rPr>
                <w:sz w:val="20"/>
                <w:szCs w:val="20"/>
              </w:rPr>
            </w:pPr>
            <w:r>
              <w:rPr>
                <w:sz w:val="20"/>
                <w:szCs w:val="20"/>
              </w:rPr>
              <w:t>188 354,8</w:t>
            </w:r>
          </w:p>
        </w:tc>
      </w:tr>
      <w:tr w:rsidR="0051457E" w:rsidRPr="007708C9" w:rsidTr="004C5E47">
        <w:trPr>
          <w:trHeight w:val="226"/>
        </w:trPr>
        <w:tc>
          <w:tcPr>
            <w:tcW w:w="454" w:type="dxa"/>
            <w:tcBorders>
              <w:top w:val="nil"/>
              <w:left w:val="single" w:sz="8" w:space="0" w:color="auto"/>
              <w:bottom w:val="single" w:sz="4" w:space="0" w:color="auto"/>
              <w:right w:val="single" w:sz="4" w:space="0" w:color="auto"/>
            </w:tcBorders>
            <w:shd w:val="clear" w:color="auto" w:fill="EEECE1" w:themeFill="background2"/>
            <w:noWrap/>
            <w:vAlign w:val="bottom"/>
          </w:tcPr>
          <w:p w:rsidR="0051457E" w:rsidRPr="007708C9" w:rsidRDefault="0051457E" w:rsidP="00122ADB">
            <w:pPr>
              <w:rPr>
                <w:b/>
                <w:sz w:val="20"/>
                <w:szCs w:val="20"/>
              </w:rPr>
            </w:pPr>
          </w:p>
          <w:p w:rsidR="0051457E" w:rsidRPr="007708C9" w:rsidRDefault="0051457E" w:rsidP="00122ADB">
            <w:pPr>
              <w:rPr>
                <w:b/>
                <w:sz w:val="20"/>
                <w:szCs w:val="20"/>
              </w:rPr>
            </w:pPr>
          </w:p>
        </w:tc>
        <w:tc>
          <w:tcPr>
            <w:tcW w:w="3969" w:type="dxa"/>
            <w:tcBorders>
              <w:top w:val="nil"/>
              <w:left w:val="single" w:sz="4" w:space="0" w:color="auto"/>
              <w:bottom w:val="single" w:sz="4" w:space="0" w:color="auto"/>
              <w:right w:val="single" w:sz="4" w:space="0" w:color="auto"/>
            </w:tcBorders>
            <w:shd w:val="clear" w:color="auto" w:fill="EEECE1" w:themeFill="background2"/>
            <w:vAlign w:val="bottom"/>
          </w:tcPr>
          <w:p w:rsidR="0051457E" w:rsidRPr="005C1FF8" w:rsidRDefault="003100E2" w:rsidP="00122ADB">
            <w:pPr>
              <w:rPr>
                <w:b/>
                <w:sz w:val="20"/>
                <w:szCs w:val="20"/>
              </w:rPr>
            </w:pPr>
            <w:r w:rsidRPr="00671C10">
              <w:rPr>
                <w:b/>
              </w:rPr>
              <w:t>Общий итог:</w:t>
            </w:r>
          </w:p>
        </w:tc>
        <w:tc>
          <w:tcPr>
            <w:tcW w:w="3118" w:type="dxa"/>
            <w:tcBorders>
              <w:top w:val="nil"/>
              <w:left w:val="nil"/>
              <w:bottom w:val="single" w:sz="4" w:space="0" w:color="auto"/>
              <w:right w:val="single" w:sz="4" w:space="0" w:color="auto"/>
            </w:tcBorders>
            <w:shd w:val="clear" w:color="auto" w:fill="EEECE1" w:themeFill="background2"/>
            <w:noWrap/>
            <w:tcMar>
              <w:top w:w="0" w:type="dxa"/>
              <w:left w:w="0" w:type="dxa"/>
              <w:bottom w:w="0" w:type="dxa"/>
              <w:right w:w="0" w:type="dxa"/>
            </w:tcMar>
            <w:vAlign w:val="center"/>
          </w:tcPr>
          <w:p w:rsidR="0051457E" w:rsidRPr="005C1FF8" w:rsidRDefault="0036655E" w:rsidP="0036655E">
            <w:pPr>
              <w:jc w:val="center"/>
              <w:rPr>
                <w:b/>
                <w:sz w:val="20"/>
                <w:szCs w:val="20"/>
              </w:rPr>
            </w:pPr>
            <w:r>
              <w:rPr>
                <w:b/>
                <w:sz w:val="20"/>
                <w:szCs w:val="20"/>
              </w:rPr>
              <w:t>268</w:t>
            </w:r>
          </w:p>
        </w:tc>
        <w:tc>
          <w:tcPr>
            <w:tcW w:w="1788" w:type="dxa"/>
            <w:tcBorders>
              <w:top w:val="nil"/>
              <w:left w:val="nil"/>
              <w:bottom w:val="single" w:sz="4" w:space="0" w:color="auto"/>
              <w:right w:val="single" w:sz="4" w:space="0" w:color="auto"/>
            </w:tcBorders>
            <w:shd w:val="clear" w:color="auto" w:fill="EEECE1" w:themeFill="background2"/>
            <w:vAlign w:val="center"/>
          </w:tcPr>
          <w:p w:rsidR="0051457E" w:rsidRPr="005C1FF8" w:rsidRDefault="00B44F10" w:rsidP="00B44F10">
            <w:pPr>
              <w:jc w:val="center"/>
              <w:rPr>
                <w:b/>
                <w:sz w:val="20"/>
                <w:szCs w:val="20"/>
              </w:rPr>
            </w:pPr>
            <w:r>
              <w:rPr>
                <w:b/>
                <w:sz w:val="20"/>
                <w:szCs w:val="20"/>
              </w:rPr>
              <w:t>1 197 423,5</w:t>
            </w:r>
          </w:p>
        </w:tc>
      </w:tr>
    </w:tbl>
    <w:p w:rsidR="00B4470C" w:rsidRDefault="00B4470C" w:rsidP="002F2957">
      <w:pPr>
        <w:spacing w:line="120" w:lineRule="auto"/>
        <w:ind w:firstLine="425"/>
        <w:jc w:val="both"/>
      </w:pPr>
    </w:p>
    <w:p w:rsidR="002F2957" w:rsidRDefault="002F2957" w:rsidP="002F2957">
      <w:pPr>
        <w:spacing w:line="120" w:lineRule="auto"/>
        <w:ind w:firstLine="425"/>
        <w:jc w:val="both"/>
      </w:pPr>
    </w:p>
    <w:p w:rsidR="00596C6B" w:rsidRDefault="00102A81" w:rsidP="00596C6B">
      <w:pPr>
        <w:spacing w:line="264" w:lineRule="auto"/>
        <w:ind w:firstLine="426"/>
        <w:jc w:val="both"/>
      </w:pPr>
      <w:r>
        <w:t>Традиционно н</w:t>
      </w:r>
      <w:r w:rsidR="00596C6B">
        <w:t>аибольшее количество позиций планов – графиков и наибольший стоимостный объем</w:t>
      </w:r>
      <w:r w:rsidR="00C24CE7">
        <w:t xml:space="preserve"> НМЦК позиций планов – графиков, </w:t>
      </w:r>
      <w:r>
        <w:t>как и в аналогичном периоде 20</w:t>
      </w:r>
      <w:r w:rsidR="0036655E">
        <w:t>21</w:t>
      </w:r>
      <w:r>
        <w:t xml:space="preserve"> года </w:t>
      </w:r>
      <w:r w:rsidR="00596C6B">
        <w:t>пришлись на закупки, планируемые заказчиками путем</w:t>
      </w:r>
      <w:r w:rsidR="009C17A0">
        <w:t xml:space="preserve"> проведения</w:t>
      </w:r>
      <w:r w:rsidR="00596C6B">
        <w:t>:</w:t>
      </w:r>
    </w:p>
    <w:p w:rsidR="00596C6B" w:rsidRPr="00274A92" w:rsidRDefault="003566E1" w:rsidP="00225262">
      <w:pPr>
        <w:numPr>
          <w:ilvl w:val="0"/>
          <w:numId w:val="3"/>
        </w:numPr>
        <w:autoSpaceDE w:val="0"/>
        <w:autoSpaceDN w:val="0"/>
        <w:adjustRightInd w:val="0"/>
        <w:ind w:left="0" w:firstLine="425"/>
        <w:jc w:val="both"/>
        <w:rPr>
          <w:rFonts w:eastAsia="Calibri"/>
        </w:rPr>
      </w:pPr>
      <w:r w:rsidRPr="00274A92">
        <w:rPr>
          <w:rStyle w:val="af"/>
          <w:rFonts w:cs="Times New Roman CYR"/>
          <w:b/>
          <w:color w:val="auto"/>
        </w:rPr>
        <w:t>Э</w:t>
      </w:r>
      <w:r w:rsidR="00596C6B" w:rsidRPr="00274A92">
        <w:rPr>
          <w:rStyle w:val="af"/>
          <w:rFonts w:cs="Times New Roman CYR"/>
          <w:b/>
          <w:color w:val="auto"/>
        </w:rPr>
        <w:t>лектронного аукциона</w:t>
      </w:r>
      <w:r w:rsidR="00596C6B" w:rsidRPr="00274A92">
        <w:rPr>
          <w:rFonts w:eastAsia="Calibri"/>
        </w:rPr>
        <w:t xml:space="preserve"> – </w:t>
      </w:r>
      <w:r w:rsidR="00804156">
        <w:rPr>
          <w:rFonts w:eastAsia="Calibri"/>
          <w:b/>
        </w:rPr>
        <w:t>5</w:t>
      </w:r>
      <w:r w:rsidR="000C314B">
        <w:rPr>
          <w:rFonts w:eastAsia="Calibri"/>
          <w:b/>
        </w:rPr>
        <w:t>9,3%</w:t>
      </w:r>
      <w:r w:rsidR="00596C6B" w:rsidRPr="00274A92">
        <w:rPr>
          <w:rFonts w:eastAsia="Calibri"/>
          <w:b/>
          <w:bCs/>
        </w:rPr>
        <w:t xml:space="preserve"> </w:t>
      </w:r>
      <w:r w:rsidR="00596C6B" w:rsidRPr="00274A92">
        <w:rPr>
          <w:rFonts w:eastAsia="Calibri"/>
        </w:rPr>
        <w:t>(</w:t>
      </w:r>
      <w:r w:rsidRPr="00274A92">
        <w:rPr>
          <w:rFonts w:eastAsia="Calibri"/>
        </w:rPr>
        <w:t>1</w:t>
      </w:r>
      <w:r w:rsidR="000C314B">
        <w:rPr>
          <w:rFonts w:eastAsia="Calibri"/>
        </w:rPr>
        <w:t xml:space="preserve">59 </w:t>
      </w:r>
      <w:r w:rsidR="00596C6B" w:rsidRPr="00274A92">
        <w:rPr>
          <w:rFonts w:eastAsia="Calibri"/>
        </w:rPr>
        <w:t xml:space="preserve">позиций планов-графиков) от общего количества позиций планов-графиков и </w:t>
      </w:r>
      <w:r w:rsidR="00804156" w:rsidRPr="00804156">
        <w:rPr>
          <w:rFonts w:eastAsia="Calibri"/>
          <w:b/>
        </w:rPr>
        <w:t>4</w:t>
      </w:r>
      <w:r w:rsidR="00CC0316">
        <w:rPr>
          <w:rFonts w:eastAsia="Calibri"/>
          <w:b/>
        </w:rPr>
        <w:t>4,8</w:t>
      </w:r>
      <w:r w:rsidR="00596C6B" w:rsidRPr="00804156">
        <w:rPr>
          <w:rFonts w:eastAsia="Calibri"/>
          <w:b/>
          <w:bCs/>
        </w:rPr>
        <w:t>%</w:t>
      </w:r>
      <w:r w:rsidR="00596C6B" w:rsidRPr="00274A92">
        <w:rPr>
          <w:rFonts w:eastAsia="Calibri"/>
          <w:b/>
          <w:bCs/>
        </w:rPr>
        <w:t xml:space="preserve"> </w:t>
      </w:r>
      <w:r w:rsidR="00596C6B" w:rsidRPr="00274A92">
        <w:rPr>
          <w:rFonts w:eastAsia="Calibri"/>
        </w:rPr>
        <w:t>(</w:t>
      </w:r>
      <w:r w:rsidR="000C314B">
        <w:rPr>
          <w:rFonts w:eastAsia="Calibri"/>
        </w:rPr>
        <w:t>53</w:t>
      </w:r>
      <w:r w:rsidR="00CC0316">
        <w:rPr>
          <w:rFonts w:eastAsia="Calibri"/>
        </w:rPr>
        <w:t>6</w:t>
      </w:r>
      <w:r w:rsidR="000C314B">
        <w:rPr>
          <w:rFonts w:eastAsia="Calibri"/>
        </w:rPr>
        <w:t> 698,7</w:t>
      </w:r>
      <w:r w:rsidR="00C24CE7" w:rsidRPr="00274A92">
        <w:rPr>
          <w:rFonts w:eastAsia="Calibri"/>
        </w:rPr>
        <w:t xml:space="preserve"> </w:t>
      </w:r>
      <w:r w:rsidRPr="00274A92">
        <w:rPr>
          <w:rFonts w:eastAsia="Calibri"/>
        </w:rPr>
        <w:t>тыс. руб.</w:t>
      </w:r>
      <w:r w:rsidR="00596C6B" w:rsidRPr="00274A92">
        <w:rPr>
          <w:rFonts w:eastAsia="Calibri"/>
        </w:rPr>
        <w:t xml:space="preserve">) от общего объема НМЦК; </w:t>
      </w:r>
    </w:p>
    <w:p w:rsidR="00596C6B" w:rsidRPr="00274A92" w:rsidRDefault="00596C6B" w:rsidP="004C3FDB">
      <w:pPr>
        <w:numPr>
          <w:ilvl w:val="0"/>
          <w:numId w:val="3"/>
        </w:numPr>
        <w:autoSpaceDE w:val="0"/>
        <w:autoSpaceDN w:val="0"/>
        <w:adjustRightInd w:val="0"/>
        <w:ind w:left="0" w:firstLine="425"/>
        <w:jc w:val="both"/>
        <w:rPr>
          <w:rFonts w:eastAsia="Calibri"/>
        </w:rPr>
      </w:pPr>
      <w:r w:rsidRPr="00274A92">
        <w:rPr>
          <w:rFonts w:eastAsia="Calibri"/>
        </w:rPr>
        <w:t xml:space="preserve"> </w:t>
      </w:r>
      <w:r w:rsidR="00010228" w:rsidRPr="00274A92">
        <w:rPr>
          <w:rStyle w:val="af"/>
          <w:rFonts w:cs="Times New Roman CYR"/>
          <w:b/>
          <w:color w:val="auto"/>
        </w:rPr>
        <w:t>З</w:t>
      </w:r>
      <w:r w:rsidRPr="00274A92">
        <w:rPr>
          <w:rStyle w:val="af"/>
          <w:rFonts w:cs="Times New Roman CYR"/>
          <w:b/>
          <w:color w:val="auto"/>
        </w:rPr>
        <w:t>акупки у единственного поставщика</w:t>
      </w:r>
      <w:r w:rsidRPr="00274A92">
        <w:rPr>
          <w:rFonts w:eastAsia="Calibri"/>
        </w:rPr>
        <w:t xml:space="preserve"> (исполнителя, подрядчика) – </w:t>
      </w:r>
      <w:r w:rsidR="00AE6CB7">
        <w:rPr>
          <w:rFonts w:eastAsia="Calibri"/>
          <w:b/>
        </w:rPr>
        <w:t>3</w:t>
      </w:r>
      <w:r w:rsidR="000E0505">
        <w:rPr>
          <w:rFonts w:eastAsia="Calibri"/>
          <w:b/>
        </w:rPr>
        <w:t>2,5</w:t>
      </w:r>
      <w:r w:rsidRPr="00274A92">
        <w:rPr>
          <w:rFonts w:eastAsia="Calibri"/>
          <w:b/>
          <w:bCs/>
        </w:rPr>
        <w:t xml:space="preserve">% </w:t>
      </w:r>
      <w:r w:rsidRPr="00274A92">
        <w:rPr>
          <w:rFonts w:eastAsia="Calibri"/>
        </w:rPr>
        <w:t>(</w:t>
      </w:r>
      <w:r w:rsidR="000E0505">
        <w:rPr>
          <w:rFonts w:eastAsia="Calibri"/>
        </w:rPr>
        <w:t>87</w:t>
      </w:r>
      <w:r w:rsidR="0062435D" w:rsidRPr="00274A92">
        <w:rPr>
          <w:rFonts w:eastAsia="Calibri"/>
        </w:rPr>
        <w:t xml:space="preserve"> </w:t>
      </w:r>
      <w:r w:rsidRPr="00274A92">
        <w:rPr>
          <w:rFonts w:eastAsia="Calibri"/>
        </w:rPr>
        <w:t xml:space="preserve">позиций планов-графиков) от общего количества позиций планов-графиков и </w:t>
      </w:r>
      <w:r w:rsidR="000E0505">
        <w:rPr>
          <w:rFonts w:eastAsia="Calibri"/>
          <w:b/>
        </w:rPr>
        <w:t>29,8</w:t>
      </w:r>
      <w:r w:rsidRPr="00274A92">
        <w:rPr>
          <w:rFonts w:eastAsia="Calibri"/>
          <w:b/>
          <w:bCs/>
        </w:rPr>
        <w:t xml:space="preserve">% </w:t>
      </w:r>
      <w:r w:rsidRPr="00274A92">
        <w:rPr>
          <w:rFonts w:eastAsia="Calibri"/>
        </w:rPr>
        <w:t>(</w:t>
      </w:r>
      <w:r w:rsidR="000E0505">
        <w:rPr>
          <w:rFonts w:eastAsia="Calibri"/>
        </w:rPr>
        <w:t>356 463,4</w:t>
      </w:r>
      <w:r w:rsidR="0062435D" w:rsidRPr="00274A92">
        <w:rPr>
          <w:rFonts w:eastAsia="Calibri"/>
        </w:rPr>
        <w:t xml:space="preserve"> тыс. руб.</w:t>
      </w:r>
      <w:r w:rsidRPr="00274A92">
        <w:rPr>
          <w:rFonts w:eastAsia="Calibri"/>
        </w:rPr>
        <w:t xml:space="preserve">) от общего объема НМЦК. </w:t>
      </w:r>
    </w:p>
    <w:p w:rsidR="00102A81" w:rsidRDefault="00C24CE7" w:rsidP="00F61713">
      <w:pPr>
        <w:spacing w:line="264" w:lineRule="auto"/>
        <w:jc w:val="both"/>
        <w:rPr>
          <w:i/>
        </w:rPr>
      </w:pPr>
      <w:r w:rsidRPr="00274A92">
        <w:t xml:space="preserve">      </w:t>
      </w:r>
      <w:r w:rsidR="00AE6CB7" w:rsidRPr="002255E1">
        <w:rPr>
          <w:i/>
        </w:rPr>
        <w:t>Как уже отмечалось, применение заказчиками электронных аукционов обусловлено минимизацией временных и материальных затрат, что в сравнении с другими процедурами, делает их наиболее привлекательными как для заказчиков, так и для поставщиков (подрядчиков, исполнителей).</w:t>
      </w:r>
    </w:p>
    <w:p w:rsidR="00AE6CB7" w:rsidRDefault="00AE6CB7" w:rsidP="00225262">
      <w:pPr>
        <w:spacing w:line="120" w:lineRule="auto"/>
        <w:jc w:val="both"/>
        <w:rPr>
          <w:rFonts w:ascii="Arial" w:hAnsi="Arial" w:cs="Arial"/>
          <w:b/>
          <w:sz w:val="21"/>
          <w:szCs w:val="21"/>
        </w:rPr>
      </w:pPr>
    </w:p>
    <w:p w:rsidR="00F61713" w:rsidRPr="008B2D8A" w:rsidRDefault="00F61713" w:rsidP="00F61713">
      <w:pPr>
        <w:spacing w:line="264" w:lineRule="auto"/>
        <w:jc w:val="both"/>
      </w:pPr>
      <w:r w:rsidRPr="008B2D8A">
        <w:rPr>
          <w:b/>
        </w:rPr>
        <w:t>4.</w:t>
      </w:r>
      <w:r w:rsidR="00CD4B12" w:rsidRPr="008B2D8A">
        <w:rPr>
          <w:b/>
        </w:rPr>
        <w:t xml:space="preserve">  </w:t>
      </w:r>
      <w:r w:rsidR="00FD37FB">
        <w:rPr>
          <w:b/>
        </w:rPr>
        <w:t>Осуществление закупок</w:t>
      </w:r>
      <w:r w:rsidRPr="008B2D8A">
        <w:t xml:space="preserve"> </w:t>
      </w:r>
    </w:p>
    <w:p w:rsidR="00F61713" w:rsidRPr="008B2D8A" w:rsidRDefault="00CD4B12" w:rsidP="00CD4B12">
      <w:pPr>
        <w:jc w:val="both"/>
        <w:rPr>
          <w:b/>
        </w:rPr>
      </w:pPr>
      <w:r w:rsidRPr="008B2D8A">
        <w:rPr>
          <w:b/>
        </w:rPr>
        <w:t xml:space="preserve">4.1. </w:t>
      </w:r>
      <w:r w:rsidR="00596D53">
        <w:rPr>
          <w:b/>
        </w:rPr>
        <w:t>Определение поставщиков (подрядчиков, исполнителей)</w:t>
      </w:r>
    </w:p>
    <w:p w:rsidR="007F7E3A" w:rsidRDefault="007F7E3A" w:rsidP="002E70D8">
      <w:pPr>
        <w:spacing w:line="120" w:lineRule="auto"/>
      </w:pPr>
      <w:r>
        <w:t xml:space="preserve">   </w:t>
      </w:r>
    </w:p>
    <w:p w:rsidR="007F7E3A" w:rsidRPr="00274A92" w:rsidRDefault="007F7E3A" w:rsidP="00822F34">
      <w:pPr>
        <w:jc w:val="both"/>
      </w:pPr>
      <w:r>
        <w:t xml:space="preserve">   </w:t>
      </w:r>
      <w:r w:rsidR="00822F34">
        <w:t xml:space="preserve">    </w:t>
      </w:r>
      <w:r w:rsidRPr="00274A92">
        <w:t xml:space="preserve">Закон N 44-ФЗ разделяет способы определения поставщиков (подрядчиков, исполнителей) на две неравные категории: </w:t>
      </w:r>
      <w:r w:rsidRPr="00274A92">
        <w:rPr>
          <w:b/>
        </w:rPr>
        <w:t>закупка у единственного контрагента</w:t>
      </w:r>
      <w:r w:rsidRPr="00274A92">
        <w:t xml:space="preserve"> противопоставляется всем остальным - </w:t>
      </w:r>
      <w:r w:rsidRPr="00274A92">
        <w:rPr>
          <w:b/>
        </w:rPr>
        <w:t>конкурентным</w:t>
      </w:r>
      <w:r w:rsidRPr="00274A92">
        <w:t xml:space="preserve"> - способам (</w:t>
      </w:r>
      <w:hyperlink r:id="rId39" w:history="1">
        <w:r w:rsidRPr="00274A92">
          <w:rPr>
            <w:rStyle w:val="af"/>
            <w:rFonts w:cs="Times New Roman CYR"/>
            <w:b/>
            <w:color w:val="auto"/>
          </w:rPr>
          <w:t>ч. 1 ст.  24</w:t>
        </w:r>
      </w:hyperlink>
      <w:r w:rsidRPr="00274A92">
        <w:t xml:space="preserve"> Закона N 44-ФЗ).</w:t>
      </w:r>
    </w:p>
    <w:p w:rsidR="00D14B8E" w:rsidRDefault="00596D53" w:rsidP="00596D53">
      <w:pPr>
        <w:autoSpaceDE w:val="0"/>
        <w:autoSpaceDN w:val="0"/>
        <w:adjustRightInd w:val="0"/>
        <w:jc w:val="both"/>
        <w:rPr>
          <w:rFonts w:eastAsia="Calibri"/>
        </w:rPr>
      </w:pPr>
      <w:r>
        <w:rPr>
          <w:rFonts w:eastAsia="Calibri"/>
        </w:rPr>
        <w:t xml:space="preserve">       Заказчики при осуществлении закупок применяют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D14B8E" w:rsidRDefault="00D14B8E" w:rsidP="00596D53">
      <w:pPr>
        <w:autoSpaceDE w:val="0"/>
        <w:autoSpaceDN w:val="0"/>
        <w:adjustRightInd w:val="0"/>
        <w:jc w:val="both"/>
        <w:rPr>
          <w:rFonts w:eastAsia="Calibri"/>
        </w:rPr>
      </w:pPr>
      <w:r>
        <w:rPr>
          <w:rFonts w:eastAsia="Calibri"/>
        </w:rPr>
        <w:t xml:space="preserve">       </w:t>
      </w:r>
      <w:r w:rsidR="00596D53">
        <w:rPr>
          <w:rFonts w:eastAsia="Calibri"/>
        </w:rPr>
        <w:t xml:space="preserve">Конкурентные способы могут быть </w:t>
      </w:r>
      <w:r w:rsidR="00596D53" w:rsidRPr="00D14B8E">
        <w:rPr>
          <w:rFonts w:eastAsia="Calibri"/>
          <w:b/>
        </w:rPr>
        <w:t xml:space="preserve">открытыми </w:t>
      </w:r>
      <w:r w:rsidR="00596D53" w:rsidRPr="00D14B8E">
        <w:rPr>
          <w:rFonts w:eastAsia="Calibri"/>
        </w:rPr>
        <w:t>и</w:t>
      </w:r>
      <w:r w:rsidR="00596D53" w:rsidRPr="00D14B8E">
        <w:rPr>
          <w:rFonts w:eastAsia="Calibri"/>
          <w:b/>
        </w:rPr>
        <w:t xml:space="preserve"> закрытыми</w:t>
      </w:r>
      <w:r w:rsidR="00596D53">
        <w:rPr>
          <w:rFonts w:eastAsia="Calibri"/>
        </w:rPr>
        <w:t xml:space="preserve">. </w:t>
      </w:r>
    </w:p>
    <w:p w:rsidR="00D14B8E" w:rsidRDefault="00D14B8E" w:rsidP="00596D53">
      <w:pPr>
        <w:autoSpaceDE w:val="0"/>
        <w:autoSpaceDN w:val="0"/>
        <w:adjustRightInd w:val="0"/>
        <w:jc w:val="both"/>
        <w:rPr>
          <w:rFonts w:eastAsia="Calibri"/>
        </w:rPr>
      </w:pPr>
      <w:r>
        <w:rPr>
          <w:rFonts w:eastAsia="Calibri"/>
        </w:rPr>
        <w:t xml:space="preserve">        </w:t>
      </w:r>
      <w:r w:rsidR="00596D53">
        <w:rPr>
          <w:rFonts w:eastAsia="Calibri"/>
        </w:rPr>
        <w:t xml:space="preserve">При </w:t>
      </w:r>
      <w:r w:rsidR="00596D53" w:rsidRPr="00D14B8E">
        <w:rPr>
          <w:rFonts w:eastAsia="Calibri"/>
          <w:b/>
        </w:rPr>
        <w:t>открытом</w:t>
      </w:r>
      <w:r w:rsidR="00596D53">
        <w:rPr>
          <w:rFonts w:eastAsia="Calibri"/>
        </w:rPr>
        <w:t xml:space="preserve">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w:t>
      </w:r>
    </w:p>
    <w:p w:rsidR="00596D53" w:rsidRDefault="00D14B8E" w:rsidP="00596D53">
      <w:pPr>
        <w:autoSpaceDE w:val="0"/>
        <w:autoSpaceDN w:val="0"/>
        <w:adjustRightInd w:val="0"/>
        <w:jc w:val="both"/>
        <w:rPr>
          <w:rFonts w:eastAsia="Calibri"/>
        </w:rPr>
      </w:pPr>
      <w:r>
        <w:rPr>
          <w:rFonts w:eastAsia="Calibri"/>
        </w:rPr>
        <w:t xml:space="preserve">       </w:t>
      </w:r>
      <w:r w:rsidR="00596D53">
        <w:rPr>
          <w:rFonts w:eastAsia="Calibri"/>
        </w:rPr>
        <w:t xml:space="preserve">При </w:t>
      </w:r>
      <w:r w:rsidR="00596D53" w:rsidRPr="00D14B8E">
        <w:rPr>
          <w:rFonts w:eastAsia="Calibri"/>
          <w:b/>
        </w:rPr>
        <w:t>закрытом</w:t>
      </w:r>
      <w:r w:rsidR="00596D53">
        <w:rPr>
          <w:rFonts w:eastAsia="Calibri"/>
        </w:rPr>
        <w:t xml:space="preserve">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ограниченному кругу лиц, которые способны осуществить поставки товаров, выполнение работ, оказание услуг, являющихся объектами закупок.</w:t>
      </w:r>
    </w:p>
    <w:p w:rsidR="00596D53" w:rsidRDefault="00596D53" w:rsidP="00ED7A18">
      <w:pPr>
        <w:pStyle w:val="ConsPlusNormal"/>
        <w:spacing w:line="120" w:lineRule="auto"/>
        <w:ind w:firstLine="539"/>
        <w:jc w:val="both"/>
        <w:rPr>
          <w:rFonts w:ascii="Times New Roman" w:eastAsia="Times New Roman" w:hAnsi="Times New Roman" w:cs="Times New Roman"/>
          <w:sz w:val="24"/>
          <w:szCs w:val="24"/>
        </w:rPr>
      </w:pPr>
    </w:p>
    <w:p w:rsidR="00596D53" w:rsidRPr="00274A92" w:rsidRDefault="00596D53" w:rsidP="00ED7A18">
      <w:pPr>
        <w:pStyle w:val="ConsPlusNormal"/>
        <w:spacing w:line="120" w:lineRule="auto"/>
        <w:ind w:firstLine="539"/>
        <w:jc w:val="both"/>
        <w:rPr>
          <w:rFonts w:ascii="Times New Roman" w:eastAsia="Times New Roman" w:hAnsi="Times New Roman" w:cs="Times New Roman"/>
          <w:sz w:val="24"/>
          <w:szCs w:val="24"/>
        </w:rPr>
      </w:pPr>
    </w:p>
    <w:p w:rsidR="00D14B8E" w:rsidRPr="00D14B8E" w:rsidRDefault="00D14B8E" w:rsidP="00D14B8E">
      <w:pPr>
        <w:autoSpaceDE w:val="0"/>
        <w:autoSpaceDN w:val="0"/>
        <w:adjustRightInd w:val="0"/>
        <w:ind w:firstLine="426"/>
        <w:jc w:val="both"/>
        <w:rPr>
          <w:rFonts w:eastAsia="Calibri"/>
        </w:rPr>
      </w:pPr>
      <w:r w:rsidRPr="00D14B8E">
        <w:rPr>
          <w:rFonts w:eastAsia="Calibri"/>
        </w:rPr>
        <w:t xml:space="preserve">Способ определения поставщика </w:t>
      </w:r>
      <w:r>
        <w:rPr>
          <w:rFonts w:eastAsia="Calibri"/>
        </w:rPr>
        <w:t xml:space="preserve">Заказчики выбирают </w:t>
      </w:r>
      <w:r w:rsidRPr="00D14B8E">
        <w:rPr>
          <w:rFonts w:eastAsia="Calibri"/>
        </w:rPr>
        <w:t xml:space="preserve"> самостоятельно в зависимости от объекта и иных условий закупки. Для каждого способа предусмотрены правила выбора претендента на заключение контракта. Ошибка при выборе способа закупки может привести к штрафу (</w:t>
      </w:r>
      <w:hyperlink r:id="rId40" w:history="1">
        <w:r w:rsidRPr="00D14B8E">
          <w:rPr>
            <w:rFonts w:eastAsia="Calibri"/>
          </w:rPr>
          <w:t>ч. 1</w:t>
        </w:r>
      </w:hyperlink>
      <w:r w:rsidRPr="00D14B8E">
        <w:rPr>
          <w:rFonts w:eastAsia="Calibri"/>
        </w:rPr>
        <w:t xml:space="preserve">, </w:t>
      </w:r>
      <w:hyperlink r:id="rId41" w:history="1">
        <w:r w:rsidRPr="00D14B8E">
          <w:rPr>
            <w:rFonts w:eastAsia="Calibri"/>
          </w:rPr>
          <w:t>2</w:t>
        </w:r>
      </w:hyperlink>
      <w:r w:rsidRPr="00D14B8E">
        <w:rPr>
          <w:rFonts w:eastAsia="Calibri"/>
        </w:rPr>
        <w:t xml:space="preserve">, </w:t>
      </w:r>
      <w:hyperlink r:id="rId42" w:history="1">
        <w:r w:rsidRPr="00D14B8E">
          <w:rPr>
            <w:rFonts w:eastAsia="Calibri"/>
          </w:rPr>
          <w:t>2.1</w:t>
        </w:r>
      </w:hyperlink>
      <w:r w:rsidRPr="00D14B8E">
        <w:rPr>
          <w:rFonts w:eastAsia="Calibri"/>
        </w:rPr>
        <w:t xml:space="preserve">, </w:t>
      </w:r>
      <w:hyperlink r:id="rId43" w:history="1">
        <w:r w:rsidRPr="00D14B8E">
          <w:rPr>
            <w:rFonts w:eastAsia="Calibri"/>
          </w:rPr>
          <w:t>4 ст. 7.29</w:t>
        </w:r>
      </w:hyperlink>
      <w:r w:rsidRPr="00D14B8E">
        <w:rPr>
          <w:rFonts w:eastAsia="Calibri"/>
        </w:rPr>
        <w:t xml:space="preserve"> КоАП РФ).</w:t>
      </w:r>
    </w:p>
    <w:p w:rsidR="00D14B8E" w:rsidRDefault="00D14B8E" w:rsidP="00D14B8E">
      <w:pPr>
        <w:autoSpaceDE w:val="0"/>
        <w:autoSpaceDN w:val="0"/>
        <w:adjustRightInd w:val="0"/>
        <w:ind w:firstLine="426"/>
        <w:jc w:val="both"/>
        <w:rPr>
          <w:rFonts w:eastAsia="Calibri"/>
        </w:rPr>
      </w:pPr>
      <w:r w:rsidRPr="00D14B8E">
        <w:rPr>
          <w:rFonts w:eastAsia="Calibri"/>
          <w:b/>
          <w:bCs/>
        </w:rPr>
        <w:t xml:space="preserve">Конкурентные способы определения поставщика (конкурентные закупки) по </w:t>
      </w:r>
      <w:hyperlink r:id="rId44" w:history="1">
        <w:r w:rsidRPr="00D14B8E">
          <w:rPr>
            <w:rFonts w:eastAsia="Calibri"/>
            <w:b/>
            <w:bCs/>
          </w:rPr>
          <w:t>Закону</w:t>
        </w:r>
      </w:hyperlink>
      <w:r w:rsidRPr="00D14B8E">
        <w:rPr>
          <w:rFonts w:eastAsia="Calibri"/>
          <w:b/>
          <w:bCs/>
        </w:rPr>
        <w:t xml:space="preserve"> N 44-ФЗ</w:t>
      </w:r>
      <w:r w:rsidRPr="00D14B8E">
        <w:rPr>
          <w:rFonts w:eastAsia="Calibri"/>
        </w:rPr>
        <w:t xml:space="preserve"> </w:t>
      </w:r>
      <w:r>
        <w:rPr>
          <w:rFonts w:eastAsia="Calibri"/>
        </w:rPr>
        <w:t>–</w:t>
      </w:r>
      <w:r w:rsidRPr="00D14B8E">
        <w:rPr>
          <w:rFonts w:eastAsia="Calibri"/>
        </w:rPr>
        <w:t xml:space="preserve"> это</w:t>
      </w:r>
      <w:r>
        <w:rPr>
          <w:rFonts w:eastAsia="Calibri"/>
        </w:rPr>
        <w:t>:</w:t>
      </w:r>
    </w:p>
    <w:p w:rsidR="001F5869" w:rsidRDefault="001F5869" w:rsidP="001F5869">
      <w:pPr>
        <w:autoSpaceDE w:val="0"/>
        <w:autoSpaceDN w:val="0"/>
        <w:adjustRightInd w:val="0"/>
        <w:ind w:firstLine="425"/>
        <w:jc w:val="both"/>
        <w:rPr>
          <w:rFonts w:eastAsia="Calibri"/>
        </w:rPr>
      </w:pPr>
      <w:r>
        <w:rPr>
          <w:rFonts w:eastAsia="Calibri"/>
        </w:rPr>
        <w:t>1) конкурсы (открытый конкурс в электронной форме (далее - электронный конкурс), закрытый конкурс, закрытый конкурс в электронной форме;</w:t>
      </w:r>
    </w:p>
    <w:p w:rsidR="001F5869" w:rsidRDefault="001F5869" w:rsidP="001F5869">
      <w:pPr>
        <w:autoSpaceDE w:val="0"/>
        <w:autoSpaceDN w:val="0"/>
        <w:adjustRightInd w:val="0"/>
        <w:ind w:firstLine="425"/>
        <w:jc w:val="both"/>
        <w:rPr>
          <w:rFonts w:eastAsia="Calibri"/>
        </w:rPr>
      </w:pPr>
      <w:r>
        <w:rPr>
          <w:rFonts w:eastAsia="Calibri"/>
        </w:rPr>
        <w:t>2) аукционы (открытый аукцион в электронной форме (далее - электронный аукцион), закрытый аукцион, закрытый аукцион в электронной форме;</w:t>
      </w:r>
    </w:p>
    <w:p w:rsidR="001F5869" w:rsidRDefault="001F5869" w:rsidP="001F5869">
      <w:pPr>
        <w:autoSpaceDE w:val="0"/>
        <w:autoSpaceDN w:val="0"/>
        <w:adjustRightInd w:val="0"/>
        <w:ind w:firstLine="425"/>
        <w:jc w:val="both"/>
        <w:rPr>
          <w:rFonts w:eastAsia="Calibri"/>
        </w:rPr>
      </w:pPr>
      <w:r>
        <w:rPr>
          <w:rFonts w:eastAsia="Calibri"/>
        </w:rPr>
        <w:lastRenderedPageBreak/>
        <w:t>3) запрос котировок в электронной форме (далее - электронный запрос котировок).</w:t>
      </w:r>
    </w:p>
    <w:p w:rsidR="00D14B8E" w:rsidRDefault="00D14B8E" w:rsidP="00D14B8E">
      <w:pPr>
        <w:autoSpaceDE w:val="0"/>
        <w:autoSpaceDN w:val="0"/>
        <w:adjustRightInd w:val="0"/>
        <w:ind w:firstLine="426"/>
        <w:jc w:val="both"/>
        <w:rPr>
          <w:rFonts w:eastAsia="Calibri"/>
        </w:rPr>
      </w:pPr>
      <w:r w:rsidRPr="00D14B8E">
        <w:rPr>
          <w:rFonts w:eastAsia="Calibri"/>
        </w:rPr>
        <w:t xml:space="preserve">Конкурсы и аукционы бывают открытые и закрытые, запрос котировок - только открытый. </w:t>
      </w:r>
    </w:p>
    <w:p w:rsidR="00D14B8E" w:rsidRDefault="00D14B8E" w:rsidP="00D14B8E">
      <w:pPr>
        <w:autoSpaceDE w:val="0"/>
        <w:autoSpaceDN w:val="0"/>
        <w:adjustRightInd w:val="0"/>
        <w:ind w:firstLine="426"/>
        <w:jc w:val="both"/>
        <w:rPr>
          <w:rFonts w:eastAsia="Calibri"/>
        </w:rPr>
      </w:pPr>
      <w:r w:rsidRPr="00D14B8E">
        <w:rPr>
          <w:rFonts w:eastAsia="Calibri"/>
        </w:rPr>
        <w:t xml:space="preserve">При проведении открытых процедур заказчик сообщает информацию о закупке неограниченному кругу лиц, размещая в ЕИС извещение. </w:t>
      </w:r>
    </w:p>
    <w:p w:rsidR="001F5869" w:rsidRDefault="00D14B8E" w:rsidP="001F5869">
      <w:pPr>
        <w:autoSpaceDE w:val="0"/>
        <w:autoSpaceDN w:val="0"/>
        <w:adjustRightInd w:val="0"/>
        <w:ind w:firstLine="425"/>
        <w:jc w:val="both"/>
        <w:rPr>
          <w:rFonts w:eastAsia="Calibri"/>
        </w:rPr>
      </w:pPr>
      <w:r w:rsidRPr="00D14B8E">
        <w:rPr>
          <w:rFonts w:eastAsia="Calibri"/>
        </w:rPr>
        <w:t>При проведении закрытых процедур заказчик сообщает сведения о закупке ограниченному кругу лиц, направляя приглашения принять в ней участие (</w:t>
      </w:r>
      <w:hyperlink r:id="rId45" w:history="1">
        <w:r w:rsidRPr="00D14B8E">
          <w:rPr>
            <w:rFonts w:eastAsia="Calibri"/>
          </w:rPr>
          <w:t>ч. 1</w:t>
        </w:r>
      </w:hyperlink>
      <w:r w:rsidRPr="00D14B8E">
        <w:rPr>
          <w:rFonts w:eastAsia="Calibri"/>
        </w:rPr>
        <w:t xml:space="preserve">, </w:t>
      </w:r>
      <w:hyperlink r:id="rId46" w:history="1">
        <w:r w:rsidRPr="00D14B8E">
          <w:rPr>
            <w:rFonts w:eastAsia="Calibri"/>
          </w:rPr>
          <w:t>2 ст. 24</w:t>
        </w:r>
      </w:hyperlink>
      <w:r w:rsidRPr="00D14B8E">
        <w:rPr>
          <w:rFonts w:eastAsia="Calibri"/>
        </w:rPr>
        <w:t xml:space="preserve"> Закона N 44-ФЗ).</w:t>
      </w:r>
    </w:p>
    <w:p w:rsidR="001F5869" w:rsidRDefault="001F5869" w:rsidP="001F5869">
      <w:pPr>
        <w:autoSpaceDE w:val="0"/>
        <w:autoSpaceDN w:val="0"/>
        <w:adjustRightInd w:val="0"/>
        <w:ind w:firstLine="425"/>
        <w:jc w:val="both"/>
        <w:rPr>
          <w:rFonts w:eastAsia="Calibri"/>
        </w:rPr>
      </w:pPr>
      <w:r>
        <w:rPr>
          <w:rFonts w:eastAsia="Calibri"/>
        </w:rPr>
        <w:t xml:space="preserve">Электронный конкурс, электронный аукцион, электронный запрос котировок, закупка товара у единственного поставщика на сумму, предусмотренную </w:t>
      </w:r>
      <w:hyperlink r:id="rId47" w:history="1">
        <w:r w:rsidRPr="001F5869">
          <w:rPr>
            <w:rFonts w:eastAsia="Calibri"/>
          </w:rPr>
          <w:t>частью 12 статьи 93</w:t>
        </w:r>
      </w:hyperlink>
      <w:r w:rsidRPr="001F5869">
        <w:rPr>
          <w:rFonts w:eastAsia="Calibri"/>
        </w:rPr>
        <w:t xml:space="preserve"> </w:t>
      </w:r>
      <w:r>
        <w:rPr>
          <w:rFonts w:eastAsia="Calibri"/>
        </w:rPr>
        <w:t>Закона №44-ФЗ, считаются также электронными процедурами, а закрытый электронный конкурс, закрытый электронный аукцион - закрытыми электронными процедурами.</w:t>
      </w:r>
    </w:p>
    <w:p w:rsidR="00D14B8E" w:rsidRPr="00D14B8E" w:rsidRDefault="00D14B8E" w:rsidP="00D14B8E">
      <w:pPr>
        <w:autoSpaceDE w:val="0"/>
        <w:autoSpaceDN w:val="0"/>
        <w:adjustRightInd w:val="0"/>
        <w:ind w:firstLine="426"/>
        <w:jc w:val="both"/>
        <w:rPr>
          <w:rFonts w:eastAsia="Calibri"/>
        </w:rPr>
      </w:pPr>
      <w:r w:rsidRPr="00D14B8E">
        <w:rPr>
          <w:rFonts w:eastAsia="Calibri"/>
          <w:b/>
          <w:bCs/>
        </w:rPr>
        <w:t>Неконкурентный способ определения поставщика (неконкурентная закупка) по Закону N 44-ФЗ</w:t>
      </w:r>
      <w:r w:rsidRPr="00D14B8E">
        <w:rPr>
          <w:rFonts w:eastAsia="Calibri"/>
        </w:rPr>
        <w:t xml:space="preserve"> - это закупка у единственного поставщика (</w:t>
      </w:r>
      <w:hyperlink r:id="rId48" w:history="1">
        <w:r w:rsidRPr="00D14B8E">
          <w:rPr>
            <w:rFonts w:eastAsia="Calibri"/>
          </w:rPr>
          <w:t>ч. 1 ст. 24</w:t>
        </w:r>
      </w:hyperlink>
      <w:r w:rsidRPr="00D14B8E">
        <w:rPr>
          <w:rFonts w:eastAsia="Calibri"/>
        </w:rPr>
        <w:t xml:space="preserve"> Закона N 44-ФЗ).</w:t>
      </w:r>
    </w:p>
    <w:p w:rsidR="0062473C" w:rsidRDefault="00225262" w:rsidP="00225262">
      <w:pPr>
        <w:jc w:val="both"/>
        <w:rPr>
          <w:b/>
        </w:rPr>
      </w:pPr>
      <w:r>
        <w:rPr>
          <w:b/>
        </w:rPr>
        <w:t xml:space="preserve">      </w:t>
      </w:r>
      <w:r w:rsidR="00D14B8E" w:rsidRPr="001F5869">
        <w:rPr>
          <w:b/>
        </w:rPr>
        <w:t>Необходимо отметить</w:t>
      </w:r>
      <w:r w:rsidR="001F5869">
        <w:t>, что</w:t>
      </w:r>
      <w:r w:rsidR="0062473C">
        <w:t xml:space="preserve"> </w:t>
      </w:r>
      <w:r w:rsidR="00325D88">
        <w:t xml:space="preserve">в </w:t>
      </w:r>
      <w:r w:rsidR="0062473C">
        <w:t xml:space="preserve">начале июля 2021 года были приняты масштабные поправки в Закон о контрактной системе </w:t>
      </w:r>
      <w:r w:rsidR="00DE1AED">
        <w:t>(</w:t>
      </w:r>
      <w:r w:rsidR="0062473C">
        <w:t>Закон №44-ФЗ</w:t>
      </w:r>
      <w:r w:rsidR="00DE1AED">
        <w:t>)</w:t>
      </w:r>
      <w:r w:rsidR="0062473C">
        <w:t>. Новеллы вн</w:t>
      </w:r>
      <w:r w:rsidR="004F0A0D">
        <w:t>если</w:t>
      </w:r>
      <w:r w:rsidR="0062473C">
        <w:t xml:space="preserve"> существенные изменения в порядок проведения закупочных процедур и </w:t>
      </w:r>
      <w:proofErr w:type="gramStart"/>
      <w:r w:rsidR="0062473C">
        <w:t>участия</w:t>
      </w:r>
      <w:proofErr w:type="gramEnd"/>
      <w:r w:rsidR="0062473C">
        <w:t xml:space="preserve"> в них начиная </w:t>
      </w:r>
      <w:r w:rsidR="0062473C" w:rsidRPr="0062473C">
        <w:rPr>
          <w:b/>
        </w:rPr>
        <w:t>с 2022 года.</w:t>
      </w:r>
    </w:p>
    <w:p w:rsidR="00A357F9" w:rsidRDefault="00A357F9" w:rsidP="00A357F9">
      <w:pPr>
        <w:jc w:val="both"/>
      </w:pPr>
      <w:r>
        <w:t xml:space="preserve">    </w:t>
      </w:r>
      <w:r w:rsidR="00093C34" w:rsidRPr="00093C34">
        <w:t xml:space="preserve">    </w:t>
      </w:r>
      <w:r w:rsidR="00093C34" w:rsidRPr="00093C34">
        <w:rPr>
          <w:rStyle w:val="af3"/>
        </w:rPr>
        <w:t>Федеральный закон от 02.07.2021 № 360-ФЗ</w:t>
      </w:r>
      <w:r>
        <w:rPr>
          <w:rStyle w:val="af3"/>
        </w:rPr>
        <w:t xml:space="preserve"> </w:t>
      </w:r>
      <w:r w:rsidRPr="00A357F9">
        <w:rPr>
          <w:rStyle w:val="af3"/>
          <w:b w:val="0"/>
        </w:rPr>
        <w:t>в</w:t>
      </w:r>
      <w:r w:rsidR="00093C34" w:rsidRPr="00093C34">
        <w:t xml:space="preserve">ключает пакет следующих оптимизационных изменений: </w:t>
      </w:r>
    </w:p>
    <w:p w:rsidR="00093C34" w:rsidRPr="00093C34" w:rsidRDefault="00A357F9" w:rsidP="00A357F9">
      <w:pPr>
        <w:jc w:val="both"/>
      </w:pPr>
      <w:r>
        <w:t xml:space="preserve">         - </w:t>
      </w:r>
      <w:r w:rsidR="00093C34" w:rsidRPr="00093C34">
        <w:t>сокращение количества способов закупок, унификация сроков проведения закупок по отдельным этапам, упразднение документации закупки, новые процедурные особенности проведения закупочных процедур, изменения в части предоставления обеспечения участником закупки, новые требования</w:t>
      </w:r>
      <w:r w:rsidR="00093C34" w:rsidRPr="00093C34">
        <w:br/>
        <w:t>к участникам, изменения в части заключения контракта, нововведения при обжаловании действий (бездействия) заказчика, оператора электронной площадки и др.</w:t>
      </w:r>
    </w:p>
    <w:p w:rsidR="00CF1731" w:rsidRPr="00093C34" w:rsidRDefault="00093C34" w:rsidP="00CF1731">
      <w:pPr>
        <w:jc w:val="both"/>
      </w:pPr>
      <w:r>
        <w:t xml:space="preserve">    </w:t>
      </w:r>
      <w:r w:rsidR="00A357F9">
        <w:t xml:space="preserve">  </w:t>
      </w:r>
      <w:r w:rsidR="00DE1AED" w:rsidRPr="00093C34">
        <w:t xml:space="preserve">Правки </w:t>
      </w:r>
      <w:proofErr w:type="gramStart"/>
      <w:r w:rsidR="00DE1AED" w:rsidRPr="00093C34">
        <w:t xml:space="preserve">закона </w:t>
      </w:r>
      <w:r w:rsidR="00DE1AED" w:rsidRPr="00A357F9">
        <w:rPr>
          <w:b/>
        </w:rPr>
        <w:t>по срокам</w:t>
      </w:r>
      <w:proofErr w:type="gramEnd"/>
      <w:r w:rsidR="00DE1AED" w:rsidRPr="00A357F9">
        <w:rPr>
          <w:b/>
        </w:rPr>
        <w:t xml:space="preserve"> и способам закупок</w:t>
      </w:r>
      <w:r w:rsidR="00DE1AED" w:rsidRPr="00093C34">
        <w:t xml:space="preserve"> стали самыми масштабными за всю историю Закона №44-ФЗ. Эти новые правила повлекли за собой множество других локальных изменений практически на всех стадиях закупок.</w:t>
      </w:r>
    </w:p>
    <w:p w:rsidR="00DE1AED" w:rsidRDefault="00A357F9" w:rsidP="00A357F9">
      <w:pPr>
        <w:pStyle w:val="3"/>
        <w:spacing w:before="0" w:after="0"/>
        <w:jc w:val="both"/>
        <w:rPr>
          <w:rFonts w:ascii="Arial" w:eastAsia="Calibri" w:hAnsi="Arial" w:cs="Arial"/>
          <w:b w:val="0"/>
          <w:bCs w:val="0"/>
          <w:sz w:val="20"/>
          <w:szCs w:val="20"/>
        </w:rPr>
      </w:pPr>
      <w:r w:rsidRPr="00A357F9">
        <w:rPr>
          <w:rFonts w:ascii="Times New Roman" w:eastAsia="Calibri" w:hAnsi="Times New Roman"/>
          <w:bCs w:val="0"/>
          <w:sz w:val="24"/>
          <w:szCs w:val="24"/>
        </w:rPr>
        <w:t xml:space="preserve">       </w:t>
      </w:r>
      <w:r w:rsidRPr="00A357F9">
        <w:rPr>
          <w:rFonts w:ascii="Times New Roman" w:hAnsi="Times New Roman"/>
          <w:sz w:val="24"/>
          <w:szCs w:val="24"/>
        </w:rPr>
        <w:t xml:space="preserve">Главным изменением </w:t>
      </w:r>
      <w:r w:rsidRPr="00A357F9">
        <w:rPr>
          <w:rFonts w:ascii="Times New Roman" w:hAnsi="Times New Roman"/>
          <w:b w:val="0"/>
          <w:sz w:val="24"/>
          <w:szCs w:val="24"/>
        </w:rPr>
        <w:t>стало</w:t>
      </w:r>
      <w:r w:rsidRPr="00A357F9">
        <w:rPr>
          <w:rFonts w:ascii="Times New Roman" w:hAnsi="Times New Roman"/>
          <w:b w:val="0"/>
        </w:rPr>
        <w:t xml:space="preserve"> - </w:t>
      </w:r>
      <w:r w:rsidRPr="00A357F9">
        <w:rPr>
          <w:rFonts w:ascii="Times New Roman" w:hAnsi="Times New Roman"/>
          <w:b w:val="0"/>
          <w:sz w:val="24"/>
          <w:szCs w:val="24"/>
        </w:rPr>
        <w:t>о</w:t>
      </w:r>
      <w:r w:rsidRPr="00A357F9">
        <w:rPr>
          <w:rFonts w:ascii="Times New Roman" w:hAnsi="Times New Roman"/>
          <w:b w:val="0"/>
          <w:bCs w:val="0"/>
          <w:sz w:val="24"/>
          <w:szCs w:val="24"/>
        </w:rPr>
        <w:t>птимизация (сокращение) конкурентных способов закупок и изменения «внутри» процедур</w:t>
      </w:r>
      <w:r>
        <w:rPr>
          <w:rFonts w:ascii="Times New Roman" w:hAnsi="Times New Roman"/>
          <w:b w:val="0"/>
          <w:bCs w:val="0"/>
          <w:sz w:val="24"/>
          <w:szCs w:val="24"/>
        </w:rPr>
        <w:t xml:space="preserve"> </w:t>
      </w:r>
      <w:r w:rsidRPr="00A357F9">
        <w:rPr>
          <w:rFonts w:ascii="Times New Roman" w:eastAsia="Calibri" w:hAnsi="Times New Roman"/>
          <w:bCs w:val="0"/>
          <w:sz w:val="24"/>
          <w:szCs w:val="24"/>
        </w:rPr>
        <w:t>с</w:t>
      </w:r>
      <w:r w:rsidR="00DE1AED" w:rsidRPr="00A357F9">
        <w:rPr>
          <w:rFonts w:ascii="Times New Roman" w:eastAsia="Calibri" w:hAnsi="Times New Roman"/>
          <w:bCs w:val="0"/>
          <w:sz w:val="24"/>
          <w:szCs w:val="24"/>
        </w:rPr>
        <w:t xml:space="preserve"> 1 января 2022 года</w:t>
      </w:r>
      <w:r w:rsidRPr="00A357F9">
        <w:rPr>
          <w:rFonts w:ascii="Times New Roman" w:eastAsia="Calibri" w:hAnsi="Times New Roman"/>
          <w:bCs w:val="0"/>
          <w:sz w:val="24"/>
          <w:szCs w:val="24"/>
        </w:rPr>
        <w:t>.</w:t>
      </w:r>
      <w:r w:rsidR="00DE1AED" w:rsidRPr="00A357F9">
        <w:rPr>
          <w:rFonts w:ascii="Times New Roman" w:eastAsia="Calibri" w:hAnsi="Times New Roman"/>
          <w:bCs w:val="0"/>
          <w:sz w:val="24"/>
          <w:szCs w:val="24"/>
        </w:rPr>
        <w:t xml:space="preserve"> </w:t>
      </w:r>
    </w:p>
    <w:p w:rsidR="00093C34" w:rsidRDefault="00A357F9" w:rsidP="00FD43FE">
      <w:pPr>
        <w:jc w:val="both"/>
      </w:pPr>
      <w:r>
        <w:t xml:space="preserve">      </w:t>
      </w:r>
      <w:r w:rsidR="00093C34">
        <w:t xml:space="preserve">Теперь заказчики используют только </w:t>
      </w:r>
      <w:r w:rsidR="00093C34" w:rsidRPr="00575131">
        <w:rPr>
          <w:i/>
        </w:rPr>
        <w:t>электронные конкурсы, аукционы, запросы котировок и малые электронные закупки у единственного поставщика</w:t>
      </w:r>
      <w:r w:rsidR="00093C34">
        <w:t xml:space="preserve">. Все закупочные процедуры изменились по срокам. </w:t>
      </w:r>
    </w:p>
    <w:p w:rsidR="007942EF" w:rsidRDefault="00575131" w:rsidP="00575131">
      <w:pPr>
        <w:jc w:val="both"/>
      </w:pPr>
      <w:r>
        <w:t xml:space="preserve">      </w:t>
      </w:r>
      <w:r w:rsidRPr="00575131">
        <w:t xml:space="preserve">Таким образом, способ закупки </w:t>
      </w:r>
      <w:r w:rsidRPr="00575131">
        <w:rPr>
          <w:i/>
        </w:rPr>
        <w:t>«запрос предложений»</w:t>
      </w:r>
      <w:r w:rsidRPr="00575131">
        <w:t xml:space="preserve"> перестанет существовать</w:t>
      </w:r>
      <w:r w:rsidRPr="00575131">
        <w:br/>
        <w:t>с 2022 года. </w:t>
      </w:r>
    </w:p>
    <w:p w:rsidR="00575131" w:rsidRPr="00575131" w:rsidRDefault="007942EF" w:rsidP="00575131">
      <w:pPr>
        <w:jc w:val="both"/>
      </w:pPr>
      <w:r>
        <w:t xml:space="preserve">      </w:t>
      </w:r>
      <w:r w:rsidR="00575131" w:rsidRPr="00575131">
        <w:t xml:space="preserve">Такие «подвиды» способов закупок, как конкурс с ограниченным участием, двухэтапный конкурс, закрытый конкурс с ограниченным участием, закрытый двухэтапный конкурс, также не будут применяться с учетом новой редакции 44-ФЗ. Эти изменения внесены Законом </w:t>
      </w:r>
      <w:r w:rsidR="00575131" w:rsidRPr="00575131">
        <w:rPr>
          <w:b/>
        </w:rPr>
        <w:t>№ 360-ФЗ</w:t>
      </w:r>
      <w:r w:rsidR="00575131" w:rsidRPr="00575131">
        <w:t>.</w:t>
      </w:r>
    </w:p>
    <w:p w:rsidR="00575131" w:rsidRDefault="00575131" w:rsidP="00575131">
      <w:pPr>
        <w:jc w:val="both"/>
      </w:pPr>
      <w:r>
        <w:t xml:space="preserve">      </w:t>
      </w:r>
      <w:r w:rsidRPr="00575131">
        <w:t>Помимо изменений количества способов закупок предусмотрены и нововведения внутри самих процедур.</w:t>
      </w:r>
    </w:p>
    <w:p w:rsidR="00F73C02" w:rsidRDefault="00F73C02" w:rsidP="00225262">
      <w:pPr>
        <w:spacing w:line="120" w:lineRule="auto"/>
        <w:jc w:val="both"/>
      </w:pPr>
    </w:p>
    <w:p w:rsidR="00F61713" w:rsidRPr="008B2D8A" w:rsidRDefault="00CF1731" w:rsidP="006A4B1A">
      <w:pPr>
        <w:jc w:val="both"/>
      </w:pPr>
      <w:r w:rsidRPr="008B2D8A">
        <w:rPr>
          <w:b/>
        </w:rPr>
        <w:t>4.</w:t>
      </w:r>
      <w:r w:rsidR="00906D39" w:rsidRPr="008B2D8A">
        <w:rPr>
          <w:b/>
        </w:rPr>
        <w:t>2</w:t>
      </w:r>
      <w:r w:rsidRPr="008B2D8A">
        <w:rPr>
          <w:b/>
        </w:rPr>
        <w:t xml:space="preserve">. </w:t>
      </w:r>
      <w:r w:rsidR="00596D53">
        <w:rPr>
          <w:b/>
        </w:rPr>
        <w:t xml:space="preserve">Проведение процедур определения  </w:t>
      </w:r>
      <w:r w:rsidR="006A4B1A" w:rsidRPr="008B2D8A">
        <w:rPr>
          <w:b/>
        </w:rPr>
        <w:t>поставщиков (подрядчиков, исполнителей)</w:t>
      </w:r>
    </w:p>
    <w:p w:rsidR="00DC225F" w:rsidRPr="00274A92" w:rsidRDefault="00DC225F" w:rsidP="00622255">
      <w:pPr>
        <w:spacing w:line="120" w:lineRule="auto"/>
        <w:ind w:firstLine="567"/>
        <w:jc w:val="both"/>
      </w:pPr>
    </w:p>
    <w:p w:rsidR="003A5CE5" w:rsidRPr="00274A92" w:rsidRDefault="00365D12" w:rsidP="00365D12">
      <w:pPr>
        <w:ind w:firstLine="425"/>
        <w:jc w:val="both"/>
        <w:rPr>
          <w:rFonts w:eastAsia="Calibri"/>
        </w:rPr>
      </w:pPr>
      <w:r w:rsidRPr="00274A92">
        <w:t xml:space="preserve">В соответствии со статьей 24 Закона №44-ФЗ заказчики при осуществлении закупок используют </w:t>
      </w:r>
      <w:r w:rsidRPr="00274A92">
        <w:rPr>
          <w:b/>
        </w:rPr>
        <w:t>конкурентные способы</w:t>
      </w:r>
      <w:r w:rsidRPr="00274A92">
        <w:t xml:space="preserve"> определения поставщиков (подрядчиков, исполнителей) или осуществляют закупки у </w:t>
      </w:r>
      <w:r w:rsidRPr="00274A92">
        <w:rPr>
          <w:b/>
        </w:rPr>
        <w:t>единственного поставщика</w:t>
      </w:r>
      <w:r w:rsidRPr="00274A92">
        <w:t xml:space="preserve"> (подрядчика, исполнителя)</w:t>
      </w:r>
    </w:p>
    <w:p w:rsidR="00FD43FE" w:rsidRDefault="00365D12" w:rsidP="00FD43FE">
      <w:pPr>
        <w:pStyle w:val="ConsPlusNormal"/>
        <w:jc w:val="both"/>
        <w:rPr>
          <w:rFonts w:ascii="Times New Roman" w:hAnsi="Times New Roman" w:cs="Times New Roman"/>
          <w:sz w:val="24"/>
          <w:szCs w:val="24"/>
        </w:rPr>
      </w:pPr>
      <w:r w:rsidRPr="00274A92">
        <w:rPr>
          <w:rFonts w:ascii="Times New Roman" w:hAnsi="Times New Roman" w:cs="Times New Roman"/>
          <w:sz w:val="24"/>
          <w:szCs w:val="24"/>
        </w:rPr>
        <w:t xml:space="preserve">       Способ определения поставщика заказчики выбирают самостоятельно в зависимости от объекта и иных условий закупки. Для каждого из способов предусмотрены определенные правила выбора претендента на заключение контракта. Также необходимо </w:t>
      </w:r>
      <w:r w:rsidRPr="00274A92">
        <w:rPr>
          <w:rFonts w:ascii="Times New Roman" w:hAnsi="Times New Roman" w:cs="Times New Roman"/>
          <w:sz w:val="24"/>
          <w:szCs w:val="24"/>
        </w:rPr>
        <w:lastRenderedPageBreak/>
        <w:t>учитывать ограничения, установленные законом. Ошибка при выборе способа закупки может привести к наложению административного штрафа (</w:t>
      </w:r>
      <w:hyperlink r:id="rId49" w:history="1">
        <w:r w:rsidRPr="00274A92">
          <w:rPr>
            <w:rStyle w:val="af"/>
            <w:rFonts w:ascii="Times New Roman" w:eastAsia="Times New Roman" w:hAnsi="Times New Roman"/>
            <w:b/>
            <w:color w:val="auto"/>
            <w:sz w:val="24"/>
            <w:szCs w:val="24"/>
          </w:rPr>
          <w:t>ч. 1</w:t>
        </w:r>
      </w:hyperlink>
      <w:r w:rsidRPr="00274A92">
        <w:rPr>
          <w:rStyle w:val="af"/>
          <w:rFonts w:ascii="Times New Roman" w:eastAsia="Times New Roman" w:hAnsi="Times New Roman"/>
          <w:b/>
          <w:color w:val="auto"/>
          <w:sz w:val="24"/>
          <w:szCs w:val="24"/>
        </w:rPr>
        <w:t xml:space="preserve">, </w:t>
      </w:r>
      <w:hyperlink r:id="rId50" w:history="1">
        <w:r w:rsidRPr="00274A92">
          <w:rPr>
            <w:rStyle w:val="af"/>
            <w:rFonts w:ascii="Times New Roman" w:eastAsia="Times New Roman" w:hAnsi="Times New Roman"/>
            <w:b/>
            <w:color w:val="auto"/>
            <w:sz w:val="24"/>
            <w:szCs w:val="24"/>
          </w:rPr>
          <w:t>2</w:t>
        </w:r>
      </w:hyperlink>
      <w:r w:rsidRPr="00274A92">
        <w:rPr>
          <w:rStyle w:val="af"/>
          <w:rFonts w:ascii="Times New Roman" w:eastAsia="Times New Roman" w:hAnsi="Times New Roman"/>
          <w:b/>
          <w:color w:val="auto"/>
          <w:sz w:val="24"/>
          <w:szCs w:val="24"/>
        </w:rPr>
        <w:t xml:space="preserve">, </w:t>
      </w:r>
      <w:hyperlink r:id="rId51" w:history="1">
        <w:r w:rsidRPr="00274A92">
          <w:rPr>
            <w:rStyle w:val="af"/>
            <w:rFonts w:ascii="Times New Roman" w:eastAsia="Times New Roman" w:hAnsi="Times New Roman"/>
            <w:b/>
            <w:color w:val="auto"/>
            <w:sz w:val="24"/>
            <w:szCs w:val="24"/>
          </w:rPr>
          <w:t>2.1</w:t>
        </w:r>
        <w:r w:rsidR="00AE6CB7">
          <w:rPr>
            <w:rStyle w:val="af"/>
            <w:rFonts w:ascii="Times New Roman" w:eastAsia="Times New Roman" w:hAnsi="Times New Roman"/>
            <w:b/>
            <w:color w:val="auto"/>
            <w:sz w:val="24"/>
            <w:szCs w:val="24"/>
          </w:rPr>
          <w:t>,4</w:t>
        </w:r>
        <w:r w:rsidRPr="00274A92">
          <w:rPr>
            <w:rStyle w:val="af"/>
            <w:rFonts w:ascii="Times New Roman" w:eastAsia="Times New Roman" w:hAnsi="Times New Roman"/>
            <w:b/>
            <w:color w:val="auto"/>
            <w:sz w:val="24"/>
            <w:szCs w:val="24"/>
          </w:rPr>
          <w:t xml:space="preserve"> ст. 7.29</w:t>
        </w:r>
      </w:hyperlink>
      <w:r w:rsidRPr="00274A92">
        <w:rPr>
          <w:rFonts w:ascii="Times New Roman" w:hAnsi="Times New Roman" w:cs="Times New Roman"/>
          <w:sz w:val="24"/>
          <w:szCs w:val="24"/>
        </w:rPr>
        <w:t xml:space="preserve"> КоАП РФ).</w:t>
      </w:r>
    </w:p>
    <w:p w:rsidR="00930614" w:rsidRPr="00F73C02" w:rsidRDefault="00FD43FE" w:rsidP="00F73C02">
      <w:pPr>
        <w:pStyle w:val="ConsPlusNormal"/>
        <w:jc w:val="both"/>
        <w:rPr>
          <w:rFonts w:ascii="Times New Roman" w:hAnsi="Times New Roman" w:cs="Times New Roman"/>
          <w:sz w:val="24"/>
          <w:szCs w:val="24"/>
        </w:rPr>
      </w:pPr>
      <w:r w:rsidRPr="00F73C02">
        <w:rPr>
          <w:rFonts w:ascii="Times New Roman" w:hAnsi="Times New Roman" w:cs="Times New Roman"/>
          <w:sz w:val="24"/>
          <w:szCs w:val="24"/>
        </w:rPr>
        <w:t xml:space="preserve">       </w:t>
      </w:r>
      <w:r w:rsidR="009E1911" w:rsidRPr="00F73C02">
        <w:rPr>
          <w:rFonts w:ascii="Times New Roman" w:hAnsi="Times New Roman" w:cs="Times New Roman"/>
          <w:sz w:val="24"/>
          <w:szCs w:val="24"/>
        </w:rPr>
        <w:t xml:space="preserve">В </w:t>
      </w:r>
      <w:r w:rsidR="001F5869" w:rsidRPr="00F73C02">
        <w:rPr>
          <w:rFonts w:ascii="Times New Roman" w:hAnsi="Times New Roman" w:cs="Times New Roman"/>
          <w:sz w:val="24"/>
          <w:szCs w:val="24"/>
        </w:rPr>
        <w:t>Е</w:t>
      </w:r>
      <w:r w:rsidR="009E1911" w:rsidRPr="00F73C02">
        <w:rPr>
          <w:rFonts w:ascii="Times New Roman" w:hAnsi="Times New Roman" w:cs="Times New Roman"/>
          <w:sz w:val="24"/>
          <w:szCs w:val="24"/>
        </w:rPr>
        <w:t>диной информационной системе в сфере закупок (ЕИС) в случаях, предусмотренных Законом № 44-ФЗ</w:t>
      </w:r>
      <w:proofErr w:type="gramStart"/>
      <w:r w:rsidR="00482429" w:rsidRPr="00F73C02">
        <w:rPr>
          <w:rFonts w:ascii="Times New Roman" w:hAnsi="Times New Roman" w:cs="Times New Roman"/>
          <w:sz w:val="24"/>
          <w:szCs w:val="24"/>
        </w:rPr>
        <w:t xml:space="preserve"> </w:t>
      </w:r>
      <w:r w:rsidR="009E1911" w:rsidRPr="00F73C02">
        <w:rPr>
          <w:rFonts w:ascii="Times New Roman" w:hAnsi="Times New Roman" w:cs="Times New Roman"/>
          <w:sz w:val="24"/>
          <w:szCs w:val="24"/>
        </w:rPr>
        <w:t>,</w:t>
      </w:r>
      <w:proofErr w:type="gramEnd"/>
      <w:r w:rsidR="009E1911" w:rsidRPr="00F73C02">
        <w:rPr>
          <w:rFonts w:ascii="Times New Roman" w:hAnsi="Times New Roman" w:cs="Times New Roman"/>
          <w:sz w:val="24"/>
          <w:szCs w:val="24"/>
        </w:rPr>
        <w:t xml:space="preserve"> </w:t>
      </w:r>
      <w:r w:rsidR="00861E9F" w:rsidRPr="00F73C02">
        <w:rPr>
          <w:rFonts w:ascii="Times New Roman" w:hAnsi="Times New Roman" w:cs="Times New Roman"/>
          <w:bCs/>
          <w:sz w:val="24"/>
          <w:szCs w:val="24"/>
        </w:rPr>
        <w:t xml:space="preserve">поселениями </w:t>
      </w:r>
      <w:r w:rsidR="00482429" w:rsidRPr="00F73C02">
        <w:rPr>
          <w:rFonts w:ascii="Times New Roman" w:hAnsi="Times New Roman" w:cs="Times New Roman"/>
          <w:bCs/>
          <w:sz w:val="24"/>
          <w:szCs w:val="24"/>
        </w:rPr>
        <w:t xml:space="preserve"> </w:t>
      </w:r>
      <w:r w:rsidR="00861E9F" w:rsidRPr="00F73C02">
        <w:rPr>
          <w:rFonts w:ascii="Times New Roman" w:hAnsi="Times New Roman" w:cs="Times New Roman"/>
          <w:bCs/>
          <w:sz w:val="24"/>
          <w:szCs w:val="24"/>
        </w:rPr>
        <w:t>П</w:t>
      </w:r>
      <w:r w:rsidR="00555293" w:rsidRPr="00F73C02">
        <w:rPr>
          <w:rFonts w:ascii="Times New Roman" w:hAnsi="Times New Roman" w:cs="Times New Roman"/>
          <w:sz w:val="24"/>
          <w:szCs w:val="24"/>
        </w:rPr>
        <w:t xml:space="preserve">риозерского </w:t>
      </w:r>
      <w:r w:rsidR="001F5869" w:rsidRPr="00F73C02">
        <w:rPr>
          <w:rFonts w:ascii="Times New Roman" w:hAnsi="Times New Roman" w:cs="Times New Roman"/>
          <w:sz w:val="24"/>
          <w:szCs w:val="24"/>
        </w:rPr>
        <w:t xml:space="preserve">муниципального </w:t>
      </w:r>
      <w:r w:rsidR="00555293" w:rsidRPr="00F73C02">
        <w:rPr>
          <w:rFonts w:ascii="Times New Roman" w:hAnsi="Times New Roman" w:cs="Times New Roman"/>
          <w:sz w:val="24"/>
          <w:szCs w:val="24"/>
        </w:rPr>
        <w:t xml:space="preserve">района в </w:t>
      </w:r>
      <w:r w:rsidR="00482429" w:rsidRPr="00F73C02">
        <w:rPr>
          <w:rFonts w:ascii="Times New Roman" w:hAnsi="Times New Roman" w:cs="Times New Roman"/>
          <w:sz w:val="24"/>
          <w:szCs w:val="24"/>
        </w:rPr>
        <w:t xml:space="preserve"> </w:t>
      </w:r>
      <w:r w:rsidR="00555293" w:rsidRPr="00F73C02">
        <w:rPr>
          <w:rFonts w:ascii="Times New Roman" w:hAnsi="Times New Roman" w:cs="Times New Roman"/>
          <w:b/>
          <w:sz w:val="24"/>
          <w:szCs w:val="24"/>
        </w:rPr>
        <w:t>20</w:t>
      </w:r>
      <w:r w:rsidR="001F5869" w:rsidRPr="00F73C02">
        <w:rPr>
          <w:rFonts w:ascii="Times New Roman" w:hAnsi="Times New Roman" w:cs="Times New Roman"/>
          <w:b/>
          <w:sz w:val="24"/>
          <w:szCs w:val="24"/>
        </w:rPr>
        <w:t>22</w:t>
      </w:r>
      <w:r w:rsidR="00555293" w:rsidRPr="00F73C02">
        <w:rPr>
          <w:rFonts w:ascii="Times New Roman" w:hAnsi="Times New Roman" w:cs="Times New Roman"/>
          <w:b/>
          <w:sz w:val="24"/>
          <w:szCs w:val="24"/>
        </w:rPr>
        <w:t xml:space="preserve"> году</w:t>
      </w:r>
      <w:r w:rsidR="00555293" w:rsidRPr="00F73C02">
        <w:rPr>
          <w:rFonts w:ascii="Times New Roman" w:hAnsi="Times New Roman" w:cs="Times New Roman"/>
          <w:sz w:val="24"/>
          <w:szCs w:val="24"/>
        </w:rPr>
        <w:t xml:space="preserve"> </w:t>
      </w:r>
      <w:r w:rsidR="00ED61CA" w:rsidRPr="00F73C02">
        <w:rPr>
          <w:rFonts w:ascii="Times New Roman" w:hAnsi="Times New Roman" w:cs="Times New Roman"/>
          <w:sz w:val="24"/>
          <w:szCs w:val="24"/>
        </w:rPr>
        <w:t xml:space="preserve">размещено </w:t>
      </w:r>
      <w:r w:rsidR="009E1911" w:rsidRPr="00F73C02">
        <w:rPr>
          <w:rFonts w:ascii="Times New Roman" w:hAnsi="Times New Roman" w:cs="Times New Roman"/>
          <w:sz w:val="24"/>
          <w:szCs w:val="24"/>
        </w:rPr>
        <w:t xml:space="preserve">  </w:t>
      </w:r>
      <w:r w:rsidR="009E1911" w:rsidRPr="00F73C02">
        <w:rPr>
          <w:rFonts w:ascii="Times New Roman" w:hAnsi="Times New Roman" w:cs="Times New Roman"/>
          <w:b/>
          <w:sz w:val="24"/>
          <w:szCs w:val="24"/>
        </w:rPr>
        <w:t>1</w:t>
      </w:r>
      <w:r w:rsidR="00482429" w:rsidRPr="00F73C02">
        <w:rPr>
          <w:rFonts w:ascii="Times New Roman" w:hAnsi="Times New Roman" w:cs="Times New Roman"/>
          <w:b/>
          <w:sz w:val="24"/>
          <w:szCs w:val="24"/>
        </w:rPr>
        <w:t>67</w:t>
      </w:r>
      <w:r w:rsidR="00B06B4D" w:rsidRPr="00F73C02">
        <w:rPr>
          <w:rFonts w:ascii="Times New Roman" w:hAnsi="Times New Roman" w:cs="Times New Roman"/>
          <w:b/>
          <w:sz w:val="24"/>
          <w:szCs w:val="24"/>
        </w:rPr>
        <w:t xml:space="preserve"> </w:t>
      </w:r>
      <w:r w:rsidR="00ED61CA" w:rsidRPr="00F73C02">
        <w:rPr>
          <w:rFonts w:ascii="Times New Roman" w:hAnsi="Times New Roman" w:cs="Times New Roman"/>
          <w:b/>
          <w:sz w:val="24"/>
          <w:szCs w:val="24"/>
        </w:rPr>
        <w:t>извещени</w:t>
      </w:r>
      <w:r w:rsidR="001D6D17" w:rsidRPr="00F73C02">
        <w:rPr>
          <w:rFonts w:ascii="Times New Roman" w:hAnsi="Times New Roman" w:cs="Times New Roman"/>
          <w:b/>
          <w:sz w:val="24"/>
          <w:szCs w:val="24"/>
        </w:rPr>
        <w:t>й</w:t>
      </w:r>
      <w:r w:rsidR="00ED61CA" w:rsidRPr="00F73C02">
        <w:rPr>
          <w:rFonts w:ascii="Times New Roman" w:hAnsi="Times New Roman" w:cs="Times New Roman"/>
          <w:sz w:val="24"/>
          <w:szCs w:val="24"/>
        </w:rPr>
        <w:t xml:space="preserve"> </w:t>
      </w:r>
      <w:r w:rsidR="00482429" w:rsidRPr="00F73C02">
        <w:rPr>
          <w:rFonts w:ascii="Times New Roman" w:hAnsi="Times New Roman" w:cs="Times New Roman"/>
          <w:sz w:val="24"/>
          <w:szCs w:val="24"/>
        </w:rPr>
        <w:t xml:space="preserve"> </w:t>
      </w:r>
      <w:r w:rsidR="00ED61CA" w:rsidRPr="00F73C02">
        <w:rPr>
          <w:rFonts w:ascii="Times New Roman" w:hAnsi="Times New Roman" w:cs="Times New Roman"/>
          <w:sz w:val="24"/>
          <w:szCs w:val="24"/>
        </w:rPr>
        <w:t xml:space="preserve">о проведении </w:t>
      </w:r>
      <w:r w:rsidR="00B5707B" w:rsidRPr="00F73C02">
        <w:rPr>
          <w:rFonts w:ascii="Times New Roman" w:hAnsi="Times New Roman" w:cs="Times New Roman"/>
          <w:sz w:val="24"/>
          <w:szCs w:val="24"/>
        </w:rPr>
        <w:t>закупочны</w:t>
      </w:r>
      <w:r w:rsidR="00ED61CA" w:rsidRPr="00F73C02">
        <w:rPr>
          <w:rFonts w:ascii="Times New Roman" w:hAnsi="Times New Roman" w:cs="Times New Roman"/>
          <w:sz w:val="24"/>
          <w:szCs w:val="24"/>
        </w:rPr>
        <w:t>х</w:t>
      </w:r>
      <w:r w:rsidR="00B5707B" w:rsidRPr="00F73C02">
        <w:rPr>
          <w:rFonts w:ascii="Times New Roman" w:hAnsi="Times New Roman" w:cs="Times New Roman"/>
          <w:sz w:val="24"/>
          <w:szCs w:val="24"/>
        </w:rPr>
        <w:t xml:space="preserve"> процедур определения поставщика (подрядчика, исполнителя) с целью заключения контрактов путем проведения </w:t>
      </w:r>
      <w:r w:rsidR="005C35C2" w:rsidRPr="00F73C02">
        <w:rPr>
          <w:rFonts w:ascii="Times New Roman" w:hAnsi="Times New Roman" w:cs="Times New Roman"/>
          <w:sz w:val="24"/>
          <w:szCs w:val="24"/>
        </w:rPr>
        <w:t>конкурентных способов проведения закупок</w:t>
      </w:r>
      <w:r w:rsidR="004A2DBF" w:rsidRPr="00F73C02">
        <w:rPr>
          <w:rFonts w:ascii="Times New Roman" w:hAnsi="Times New Roman" w:cs="Times New Roman"/>
          <w:sz w:val="24"/>
          <w:szCs w:val="24"/>
        </w:rPr>
        <w:t xml:space="preserve"> </w:t>
      </w:r>
      <w:r w:rsidR="007D0EB5" w:rsidRPr="00F73C02">
        <w:rPr>
          <w:rFonts w:ascii="Times New Roman" w:hAnsi="Times New Roman" w:cs="Times New Roman"/>
          <w:sz w:val="24"/>
          <w:szCs w:val="24"/>
        </w:rPr>
        <w:t xml:space="preserve"> </w:t>
      </w:r>
      <w:r w:rsidR="004C25DD" w:rsidRPr="00F73C02">
        <w:rPr>
          <w:rFonts w:ascii="Times New Roman" w:hAnsi="Times New Roman" w:cs="Times New Roman"/>
          <w:sz w:val="24"/>
          <w:szCs w:val="24"/>
        </w:rPr>
        <w:t>с общим суммарным значением начальн</w:t>
      </w:r>
      <w:r w:rsidR="009E1911" w:rsidRPr="00F73C02">
        <w:rPr>
          <w:rFonts w:ascii="Times New Roman" w:hAnsi="Times New Roman" w:cs="Times New Roman"/>
          <w:sz w:val="24"/>
          <w:szCs w:val="24"/>
        </w:rPr>
        <w:t>ых</w:t>
      </w:r>
      <w:r w:rsidR="004C25DD" w:rsidRPr="00F73C02">
        <w:rPr>
          <w:rFonts w:ascii="Times New Roman" w:hAnsi="Times New Roman" w:cs="Times New Roman"/>
          <w:sz w:val="24"/>
          <w:szCs w:val="24"/>
        </w:rPr>
        <w:t xml:space="preserve"> (максимальн</w:t>
      </w:r>
      <w:r w:rsidR="009E1911" w:rsidRPr="00F73C02">
        <w:rPr>
          <w:rFonts w:ascii="Times New Roman" w:hAnsi="Times New Roman" w:cs="Times New Roman"/>
          <w:sz w:val="24"/>
          <w:szCs w:val="24"/>
        </w:rPr>
        <w:t>ых</w:t>
      </w:r>
      <w:r w:rsidR="004C25DD" w:rsidRPr="00F73C02">
        <w:rPr>
          <w:rFonts w:ascii="Times New Roman" w:hAnsi="Times New Roman" w:cs="Times New Roman"/>
          <w:sz w:val="24"/>
          <w:szCs w:val="24"/>
        </w:rPr>
        <w:t>) цен контракт</w:t>
      </w:r>
      <w:r w:rsidR="009E1911" w:rsidRPr="00F73C02">
        <w:rPr>
          <w:rFonts w:ascii="Times New Roman" w:hAnsi="Times New Roman" w:cs="Times New Roman"/>
          <w:sz w:val="24"/>
          <w:szCs w:val="24"/>
        </w:rPr>
        <w:t xml:space="preserve">ов </w:t>
      </w:r>
      <w:r w:rsidR="00930614" w:rsidRPr="00F73C02">
        <w:rPr>
          <w:rFonts w:ascii="Times New Roman" w:hAnsi="Times New Roman" w:cs="Times New Roman"/>
          <w:sz w:val="24"/>
          <w:szCs w:val="24"/>
        </w:rPr>
        <w:t>–</w:t>
      </w:r>
      <w:r w:rsidR="009E1911" w:rsidRPr="00F73C02">
        <w:rPr>
          <w:rFonts w:ascii="Times New Roman" w:hAnsi="Times New Roman" w:cs="Times New Roman"/>
          <w:sz w:val="24"/>
          <w:szCs w:val="24"/>
        </w:rPr>
        <w:t xml:space="preserve"> </w:t>
      </w:r>
      <w:r w:rsidR="00482429" w:rsidRPr="00F73C02">
        <w:rPr>
          <w:rFonts w:ascii="Times New Roman" w:hAnsi="Times New Roman" w:cs="Times New Roman"/>
          <w:b/>
          <w:sz w:val="24"/>
          <w:szCs w:val="24"/>
        </w:rPr>
        <w:t>652 605,3</w:t>
      </w:r>
      <w:r w:rsidR="00671C10" w:rsidRPr="00F73C02">
        <w:rPr>
          <w:rFonts w:ascii="Times New Roman" w:hAnsi="Times New Roman" w:cs="Times New Roman"/>
          <w:b/>
          <w:sz w:val="24"/>
          <w:szCs w:val="24"/>
        </w:rPr>
        <w:t xml:space="preserve"> </w:t>
      </w:r>
      <w:r w:rsidR="00B5707B" w:rsidRPr="00F73C02">
        <w:rPr>
          <w:rFonts w:ascii="Times New Roman" w:hAnsi="Times New Roman" w:cs="Times New Roman"/>
          <w:b/>
          <w:sz w:val="24"/>
          <w:szCs w:val="24"/>
        </w:rPr>
        <w:t>тыс. руб.</w:t>
      </w:r>
      <w:r w:rsidR="009E1911" w:rsidRPr="00F73C02">
        <w:rPr>
          <w:rFonts w:ascii="Times New Roman" w:hAnsi="Times New Roman" w:cs="Times New Roman"/>
          <w:b/>
          <w:sz w:val="24"/>
          <w:szCs w:val="24"/>
        </w:rPr>
        <w:t>,</w:t>
      </w:r>
      <w:r w:rsidR="009E1911" w:rsidRPr="00F73C02">
        <w:rPr>
          <w:rFonts w:ascii="Times New Roman" w:hAnsi="Times New Roman" w:cs="Times New Roman"/>
          <w:sz w:val="24"/>
          <w:szCs w:val="24"/>
        </w:rPr>
        <w:t xml:space="preserve"> запланированных в планах - графиках закупок на 20</w:t>
      </w:r>
      <w:r w:rsidR="00482429" w:rsidRPr="00F73C02">
        <w:rPr>
          <w:rFonts w:ascii="Times New Roman" w:hAnsi="Times New Roman" w:cs="Times New Roman"/>
          <w:sz w:val="24"/>
          <w:szCs w:val="24"/>
        </w:rPr>
        <w:t>22</w:t>
      </w:r>
      <w:r w:rsidR="009E1911" w:rsidRPr="00F73C02">
        <w:rPr>
          <w:rFonts w:ascii="Times New Roman" w:hAnsi="Times New Roman" w:cs="Times New Roman"/>
          <w:sz w:val="24"/>
          <w:szCs w:val="24"/>
        </w:rPr>
        <w:t xml:space="preserve"> год</w:t>
      </w:r>
      <w:r w:rsidR="00814CBA" w:rsidRPr="00F73C02">
        <w:rPr>
          <w:rFonts w:ascii="Times New Roman" w:hAnsi="Times New Roman" w:cs="Times New Roman"/>
          <w:sz w:val="24"/>
          <w:szCs w:val="24"/>
        </w:rPr>
        <w:t xml:space="preserve">, </w:t>
      </w:r>
      <w:r w:rsidR="00930614" w:rsidRPr="00F73C02">
        <w:rPr>
          <w:rFonts w:ascii="Times New Roman" w:hAnsi="Times New Roman" w:cs="Times New Roman"/>
          <w:sz w:val="24"/>
          <w:szCs w:val="24"/>
        </w:rPr>
        <w:t xml:space="preserve">что на </w:t>
      </w:r>
      <w:r w:rsidR="00482429" w:rsidRPr="00F73C02">
        <w:rPr>
          <w:rFonts w:ascii="Times New Roman" w:hAnsi="Times New Roman" w:cs="Times New Roman"/>
          <w:b/>
          <w:sz w:val="24"/>
          <w:szCs w:val="24"/>
        </w:rPr>
        <w:t>16,0</w:t>
      </w:r>
      <w:r w:rsidR="00930614" w:rsidRPr="00F73C02">
        <w:rPr>
          <w:rFonts w:ascii="Times New Roman" w:hAnsi="Times New Roman" w:cs="Times New Roman"/>
          <w:b/>
          <w:sz w:val="24"/>
          <w:szCs w:val="24"/>
        </w:rPr>
        <w:t>%</w:t>
      </w:r>
      <w:r w:rsidR="00930614" w:rsidRPr="00F73C02">
        <w:rPr>
          <w:rFonts w:ascii="Times New Roman" w:hAnsi="Times New Roman" w:cs="Times New Roman"/>
          <w:sz w:val="24"/>
          <w:szCs w:val="24"/>
        </w:rPr>
        <w:t xml:space="preserve"> в количественном и на </w:t>
      </w:r>
      <w:r w:rsidR="007865D0" w:rsidRPr="00F73C02">
        <w:rPr>
          <w:rFonts w:ascii="Times New Roman" w:hAnsi="Times New Roman" w:cs="Times New Roman"/>
          <w:b/>
          <w:sz w:val="24"/>
          <w:szCs w:val="24"/>
        </w:rPr>
        <w:t>102,7</w:t>
      </w:r>
      <w:r w:rsidR="00930614" w:rsidRPr="00F73C02">
        <w:rPr>
          <w:rFonts w:ascii="Times New Roman" w:hAnsi="Times New Roman" w:cs="Times New Roman"/>
          <w:b/>
          <w:sz w:val="24"/>
          <w:szCs w:val="24"/>
        </w:rPr>
        <w:t>%</w:t>
      </w:r>
      <w:r w:rsidR="00930614" w:rsidRPr="00F73C02">
        <w:rPr>
          <w:rFonts w:ascii="Times New Roman" w:hAnsi="Times New Roman" w:cs="Times New Roman"/>
          <w:sz w:val="24"/>
          <w:szCs w:val="24"/>
        </w:rPr>
        <w:t xml:space="preserve"> в стоимостном выражении </w:t>
      </w:r>
      <w:r w:rsidR="007865D0" w:rsidRPr="00F73C02">
        <w:rPr>
          <w:rFonts w:ascii="Times New Roman" w:hAnsi="Times New Roman" w:cs="Times New Roman"/>
          <w:sz w:val="24"/>
          <w:szCs w:val="24"/>
        </w:rPr>
        <w:t>больше</w:t>
      </w:r>
      <w:r w:rsidR="00930614" w:rsidRPr="00F73C02">
        <w:rPr>
          <w:rFonts w:ascii="Times New Roman" w:hAnsi="Times New Roman" w:cs="Times New Roman"/>
          <w:sz w:val="24"/>
          <w:szCs w:val="24"/>
        </w:rPr>
        <w:t xml:space="preserve"> чем </w:t>
      </w:r>
      <w:r w:rsidR="007865D0" w:rsidRPr="00F73C02">
        <w:rPr>
          <w:rFonts w:ascii="Times New Roman" w:hAnsi="Times New Roman" w:cs="Times New Roman"/>
          <w:sz w:val="24"/>
          <w:szCs w:val="24"/>
        </w:rPr>
        <w:t xml:space="preserve">в </w:t>
      </w:r>
      <w:r w:rsidR="00930614" w:rsidRPr="00F73C02">
        <w:rPr>
          <w:rFonts w:ascii="Times New Roman" w:hAnsi="Times New Roman" w:cs="Times New Roman"/>
          <w:sz w:val="24"/>
          <w:szCs w:val="24"/>
        </w:rPr>
        <w:t>20</w:t>
      </w:r>
      <w:r w:rsidR="007865D0" w:rsidRPr="00F73C02">
        <w:rPr>
          <w:rFonts w:ascii="Times New Roman" w:hAnsi="Times New Roman" w:cs="Times New Roman"/>
          <w:sz w:val="24"/>
          <w:szCs w:val="24"/>
        </w:rPr>
        <w:t>21</w:t>
      </w:r>
      <w:r w:rsidR="00930614" w:rsidRPr="00F73C02">
        <w:rPr>
          <w:rFonts w:ascii="Times New Roman" w:hAnsi="Times New Roman" w:cs="Times New Roman"/>
          <w:sz w:val="24"/>
          <w:szCs w:val="24"/>
        </w:rPr>
        <w:t xml:space="preserve"> году (</w:t>
      </w:r>
      <w:r w:rsidR="007865D0" w:rsidRPr="00F73C02">
        <w:rPr>
          <w:rFonts w:ascii="Times New Roman" w:hAnsi="Times New Roman" w:cs="Times New Roman"/>
          <w:sz w:val="24"/>
          <w:szCs w:val="24"/>
        </w:rPr>
        <w:t>144</w:t>
      </w:r>
      <w:r w:rsidR="00930614" w:rsidRPr="00F73C02">
        <w:rPr>
          <w:rFonts w:ascii="Times New Roman" w:hAnsi="Times New Roman" w:cs="Times New Roman"/>
          <w:sz w:val="24"/>
          <w:szCs w:val="24"/>
        </w:rPr>
        <w:t xml:space="preserve"> извещен</w:t>
      </w:r>
      <w:r w:rsidR="007865D0" w:rsidRPr="00F73C02">
        <w:rPr>
          <w:rFonts w:ascii="Times New Roman" w:hAnsi="Times New Roman" w:cs="Times New Roman"/>
          <w:sz w:val="24"/>
          <w:szCs w:val="24"/>
        </w:rPr>
        <w:t>ий общим стоимостным объемом – 321 886,1</w:t>
      </w:r>
      <w:r w:rsidR="00930614" w:rsidRPr="00F73C02">
        <w:rPr>
          <w:rFonts w:ascii="Times New Roman" w:hAnsi="Times New Roman" w:cs="Times New Roman"/>
          <w:sz w:val="24"/>
          <w:szCs w:val="24"/>
        </w:rPr>
        <w:t xml:space="preserve"> тыс. руб.)</w:t>
      </w:r>
    </w:p>
    <w:p w:rsidR="00B5707B" w:rsidRPr="00274A92" w:rsidRDefault="00930614" w:rsidP="008B346A">
      <w:pPr>
        <w:shd w:val="clear" w:color="auto" w:fill="FFFFFF"/>
        <w:spacing w:line="264" w:lineRule="auto"/>
        <w:ind w:firstLine="426"/>
        <w:jc w:val="both"/>
      </w:pPr>
      <w:r>
        <w:t>И</w:t>
      </w:r>
      <w:r w:rsidR="00814CBA" w:rsidRPr="00274A92">
        <w:t>з них:</w:t>
      </w:r>
    </w:p>
    <w:p w:rsidR="00814CBA" w:rsidRPr="00274A92" w:rsidRDefault="00991575" w:rsidP="00456F59">
      <w:pPr>
        <w:numPr>
          <w:ilvl w:val="0"/>
          <w:numId w:val="10"/>
        </w:numPr>
        <w:shd w:val="clear" w:color="auto" w:fill="FFFFFF"/>
        <w:ind w:left="0" w:firstLine="425"/>
        <w:jc w:val="both"/>
      </w:pPr>
      <w:r>
        <w:rPr>
          <w:b/>
        </w:rPr>
        <w:t>89,2</w:t>
      </w:r>
      <w:r w:rsidR="00814CBA" w:rsidRPr="00274A92">
        <w:rPr>
          <w:b/>
        </w:rPr>
        <w:t xml:space="preserve">% </w:t>
      </w:r>
      <w:r w:rsidR="00814CBA" w:rsidRPr="00274A92">
        <w:t xml:space="preserve">извещений  </w:t>
      </w:r>
      <w:r>
        <w:t xml:space="preserve">(149 ед.) </w:t>
      </w:r>
      <w:r w:rsidR="00814CBA" w:rsidRPr="00274A92">
        <w:rPr>
          <w:b/>
        </w:rPr>
        <w:t>привели</w:t>
      </w:r>
      <w:r w:rsidR="00814CBA" w:rsidRPr="00274A92">
        <w:t xml:space="preserve"> к заключению контрактов, в том числе:</w:t>
      </w:r>
    </w:p>
    <w:p w:rsidR="00814CBA" w:rsidRPr="00274A92" w:rsidRDefault="00991575" w:rsidP="00FD43FE">
      <w:pPr>
        <w:shd w:val="clear" w:color="auto" w:fill="FFFFFF"/>
        <w:ind w:firstLine="425"/>
        <w:jc w:val="both"/>
      </w:pPr>
      <w:r>
        <w:rPr>
          <w:b/>
        </w:rPr>
        <w:t>-  67,8</w:t>
      </w:r>
      <w:r w:rsidR="00814CBA" w:rsidRPr="00274A92">
        <w:rPr>
          <w:b/>
        </w:rPr>
        <w:t>%</w:t>
      </w:r>
      <w:r w:rsidR="007B1B3A" w:rsidRPr="00274A92">
        <w:rPr>
          <w:b/>
        </w:rPr>
        <w:t xml:space="preserve"> </w:t>
      </w:r>
      <w:r w:rsidRPr="00991575">
        <w:t>(101 ед.)</w:t>
      </w:r>
      <w:r>
        <w:rPr>
          <w:b/>
        </w:rPr>
        <w:t xml:space="preserve"> </w:t>
      </w:r>
      <w:r w:rsidR="007B1B3A" w:rsidRPr="00274A92">
        <w:t>извещений</w:t>
      </w:r>
      <w:r w:rsidR="007B1B3A" w:rsidRPr="00274A92">
        <w:rPr>
          <w:b/>
        </w:rPr>
        <w:t xml:space="preserve"> </w:t>
      </w:r>
      <w:r w:rsidR="00814CBA" w:rsidRPr="00274A92">
        <w:rPr>
          <w:b/>
        </w:rPr>
        <w:t xml:space="preserve">- </w:t>
      </w:r>
      <w:r w:rsidR="00814CBA" w:rsidRPr="00274A92">
        <w:t xml:space="preserve">с единственным поставщиком в связи с признанием конкурентных закупок </w:t>
      </w:r>
      <w:proofErr w:type="gramStart"/>
      <w:r w:rsidR="00814CBA" w:rsidRPr="00274A92">
        <w:t>несостоявшимися</w:t>
      </w:r>
      <w:proofErr w:type="gramEnd"/>
      <w:r w:rsidR="00814CBA" w:rsidRPr="00274A92">
        <w:t>;</w:t>
      </w:r>
    </w:p>
    <w:p w:rsidR="00B77E98" w:rsidRPr="00274A92" w:rsidRDefault="00991575" w:rsidP="00456F59">
      <w:pPr>
        <w:numPr>
          <w:ilvl w:val="0"/>
          <w:numId w:val="11"/>
        </w:numPr>
        <w:shd w:val="clear" w:color="auto" w:fill="FFFFFF"/>
        <w:ind w:left="0" w:firstLine="425"/>
        <w:jc w:val="both"/>
      </w:pPr>
      <w:r>
        <w:rPr>
          <w:b/>
        </w:rPr>
        <w:t>9,0</w:t>
      </w:r>
      <w:r w:rsidR="00B77E98" w:rsidRPr="00274A92">
        <w:rPr>
          <w:b/>
        </w:rPr>
        <w:t>%</w:t>
      </w:r>
      <w:r w:rsidR="007B1B3A" w:rsidRPr="00274A92">
        <w:rPr>
          <w:b/>
        </w:rPr>
        <w:t xml:space="preserve"> </w:t>
      </w:r>
      <w:r w:rsidRPr="00991575">
        <w:t>(15 ед.)</w:t>
      </w:r>
      <w:r>
        <w:rPr>
          <w:b/>
        </w:rPr>
        <w:t xml:space="preserve"> </w:t>
      </w:r>
      <w:r w:rsidR="007B1B3A" w:rsidRPr="00274A92">
        <w:t xml:space="preserve">извещений </w:t>
      </w:r>
      <w:r w:rsidR="007B1B3A" w:rsidRPr="00274A92">
        <w:rPr>
          <w:b/>
        </w:rPr>
        <w:t>не привели</w:t>
      </w:r>
      <w:r w:rsidR="007B1B3A" w:rsidRPr="00274A92">
        <w:t xml:space="preserve"> к заключению контрактов в связи с признанием конкурентных закупок </w:t>
      </w:r>
      <w:proofErr w:type="gramStart"/>
      <w:r w:rsidR="007B1B3A" w:rsidRPr="00274A92">
        <w:t>несостоявшимися</w:t>
      </w:r>
      <w:proofErr w:type="gramEnd"/>
      <w:r>
        <w:t xml:space="preserve"> -</w:t>
      </w:r>
      <w:r w:rsidR="007B1B3A" w:rsidRPr="00274A92">
        <w:t xml:space="preserve"> п</w:t>
      </w:r>
      <w:r w:rsidR="00B77E98" w:rsidRPr="00274A92">
        <w:t>о окончании срока подачи заявок не подано ни одной заявки</w:t>
      </w:r>
      <w:r w:rsidR="00A81164" w:rsidRPr="00274A92">
        <w:t>; по результатам рассмотрения единственной заявки, данная заявка отклонена и по другим причинам;</w:t>
      </w:r>
    </w:p>
    <w:p w:rsidR="00A81164" w:rsidRDefault="00991575" w:rsidP="00456F59">
      <w:pPr>
        <w:numPr>
          <w:ilvl w:val="0"/>
          <w:numId w:val="11"/>
        </w:numPr>
        <w:shd w:val="clear" w:color="auto" w:fill="FFFFFF"/>
        <w:ind w:left="0" w:firstLine="426"/>
        <w:jc w:val="both"/>
      </w:pPr>
      <w:r>
        <w:rPr>
          <w:b/>
        </w:rPr>
        <w:t>1,8</w:t>
      </w:r>
      <w:r w:rsidR="00A81164" w:rsidRPr="00274A92">
        <w:rPr>
          <w:b/>
        </w:rPr>
        <w:t xml:space="preserve">% </w:t>
      </w:r>
      <w:r>
        <w:rPr>
          <w:b/>
        </w:rPr>
        <w:t xml:space="preserve"> </w:t>
      </w:r>
      <w:r w:rsidRPr="00991575">
        <w:t>(3 ед.)</w:t>
      </w:r>
      <w:r>
        <w:rPr>
          <w:b/>
        </w:rPr>
        <w:t xml:space="preserve"> </w:t>
      </w:r>
      <w:r w:rsidR="00A81164" w:rsidRPr="00274A92">
        <w:t>извещений</w:t>
      </w:r>
      <w:r w:rsidR="00A81164" w:rsidRPr="00274A92">
        <w:rPr>
          <w:b/>
        </w:rPr>
        <w:t xml:space="preserve"> отменены </w:t>
      </w:r>
      <w:r w:rsidR="00A81164" w:rsidRPr="00274A92">
        <w:t>в связи с принятием решения об отмене определения поставщика (подрядчика, исполнителя).</w:t>
      </w:r>
    </w:p>
    <w:p w:rsidR="000656E6" w:rsidRDefault="000656E6" w:rsidP="00FD43FE">
      <w:pPr>
        <w:spacing w:line="120" w:lineRule="auto"/>
        <w:ind w:firstLine="425"/>
        <w:jc w:val="both"/>
      </w:pPr>
    </w:p>
    <w:p w:rsidR="00860D81" w:rsidRDefault="000656E6" w:rsidP="00FD43FE">
      <w:pPr>
        <w:ind w:firstLine="426"/>
        <w:jc w:val="both"/>
      </w:pPr>
      <w:r w:rsidRPr="000656E6">
        <w:t xml:space="preserve">С целью определения </w:t>
      </w:r>
      <w:r w:rsidRPr="000656E6">
        <w:rPr>
          <w:b/>
        </w:rPr>
        <w:t>результативности закупок</w:t>
      </w:r>
      <w:r w:rsidRPr="000656E6">
        <w:t xml:space="preserve"> </w:t>
      </w:r>
      <w:r>
        <w:t xml:space="preserve"> К</w:t>
      </w:r>
      <w:r w:rsidR="001C2E62">
        <w:t>онтрольно-счетным органом</w:t>
      </w:r>
      <w:r w:rsidRPr="000656E6">
        <w:t xml:space="preserve">, проанализированы закупки, проведенные </w:t>
      </w:r>
      <w:r w:rsidR="00482429">
        <w:t>администрациями</w:t>
      </w:r>
      <w:r w:rsidRPr="000656E6">
        <w:t xml:space="preserve"> </w:t>
      </w:r>
      <w:r>
        <w:t>городских и сельских поселений Приозерск</w:t>
      </w:r>
      <w:r w:rsidR="00482429">
        <w:t>ого</w:t>
      </w:r>
      <w:r>
        <w:t xml:space="preserve"> муниципальн</w:t>
      </w:r>
      <w:r w:rsidR="00482429">
        <w:t>ого</w:t>
      </w:r>
      <w:r>
        <w:t xml:space="preserve"> район</w:t>
      </w:r>
      <w:r w:rsidR="00482429">
        <w:t xml:space="preserve">а в </w:t>
      </w:r>
      <w:r w:rsidRPr="000656E6">
        <w:t xml:space="preserve"> разрезе по способам определения поставщиков (подрядчиков, исполнителей) </w:t>
      </w:r>
      <w:r w:rsidRPr="00482429">
        <w:rPr>
          <w:b/>
        </w:rPr>
        <w:t>за 20</w:t>
      </w:r>
      <w:r w:rsidR="00482429">
        <w:rPr>
          <w:b/>
        </w:rPr>
        <w:t>22</w:t>
      </w:r>
      <w:r w:rsidRPr="00482429">
        <w:rPr>
          <w:b/>
        </w:rPr>
        <w:t xml:space="preserve"> год</w:t>
      </w:r>
      <w:r>
        <w:t>.</w:t>
      </w:r>
    </w:p>
    <w:p w:rsidR="00FD43FE" w:rsidRPr="000656E6" w:rsidRDefault="00FD43FE" w:rsidP="00FD43FE">
      <w:pPr>
        <w:spacing w:line="120" w:lineRule="auto"/>
        <w:ind w:firstLine="425"/>
        <w:jc w:val="both"/>
      </w:pPr>
    </w:p>
    <w:p w:rsidR="00603EE5" w:rsidRPr="00274A92" w:rsidRDefault="00D21D39" w:rsidP="00860D81">
      <w:pPr>
        <w:spacing w:line="264" w:lineRule="auto"/>
        <w:ind w:firstLine="426"/>
        <w:jc w:val="center"/>
        <w:rPr>
          <w:i/>
        </w:rPr>
      </w:pPr>
      <w:r w:rsidRPr="00274A92">
        <w:rPr>
          <w:i/>
        </w:rPr>
        <w:t xml:space="preserve">Сведения об объеме извещений  в разбивке по процедурам определения поставщика (подрядчика, исполнителя) </w:t>
      </w:r>
      <w:r w:rsidR="007D0EB5" w:rsidRPr="00274A92">
        <w:rPr>
          <w:i/>
        </w:rPr>
        <w:t xml:space="preserve"> по итогам 20</w:t>
      </w:r>
      <w:r w:rsidR="00482429">
        <w:rPr>
          <w:i/>
        </w:rPr>
        <w:t>22</w:t>
      </w:r>
      <w:r w:rsidR="007D0EB5" w:rsidRPr="00274A92">
        <w:rPr>
          <w:i/>
        </w:rPr>
        <w:t xml:space="preserve"> года представлены в таблице </w:t>
      </w:r>
      <w:r w:rsidR="00507B81" w:rsidRPr="00274A92">
        <w:rPr>
          <w:i/>
        </w:rPr>
        <w:t>3</w:t>
      </w:r>
      <w:r w:rsidR="007D0EB5" w:rsidRPr="00274A92">
        <w:rPr>
          <w:i/>
        </w:rPr>
        <w:t>.</w:t>
      </w:r>
    </w:p>
    <w:p w:rsidR="00860D81" w:rsidRDefault="00507B81" w:rsidP="00225262">
      <w:pPr>
        <w:rPr>
          <w:i/>
        </w:rPr>
      </w:pPr>
      <w:r w:rsidRPr="008A6525">
        <w:rPr>
          <w:b/>
          <w:sz w:val="20"/>
          <w:szCs w:val="20"/>
        </w:rPr>
        <w:t xml:space="preserve">Таблица </w:t>
      </w:r>
      <w:r>
        <w:rPr>
          <w:b/>
          <w:sz w:val="20"/>
          <w:szCs w:val="20"/>
        </w:rPr>
        <w:t>3</w:t>
      </w:r>
      <w:r w:rsidR="00225262">
        <w:rPr>
          <w:b/>
          <w:sz w:val="20"/>
          <w:szCs w:val="20"/>
        </w:rPr>
        <w:t xml:space="preserve">                                                                                                                                                     тыс. руб.</w:t>
      </w:r>
    </w:p>
    <w:tbl>
      <w:tblPr>
        <w:tblpPr w:leftFromText="180" w:rightFromText="180" w:vertAnchor="text" w:horzAnchor="margin" w:tblpXSpec="center" w:tblpY="254"/>
        <w:tblW w:w="9301" w:type="dxa"/>
        <w:tblLayout w:type="fixed"/>
        <w:tblLook w:val="00A0" w:firstRow="1" w:lastRow="0" w:firstColumn="1" w:lastColumn="0" w:noHBand="0" w:noVBand="0"/>
      </w:tblPr>
      <w:tblGrid>
        <w:gridCol w:w="595"/>
        <w:gridCol w:w="4993"/>
        <w:gridCol w:w="1925"/>
        <w:gridCol w:w="1788"/>
      </w:tblGrid>
      <w:tr w:rsidR="00D21D39" w:rsidRPr="00C80AAE" w:rsidTr="00482429">
        <w:trPr>
          <w:trHeight w:val="253"/>
          <w:tblHeader/>
        </w:trPr>
        <w:tc>
          <w:tcPr>
            <w:tcW w:w="595" w:type="dxa"/>
            <w:vMerge w:val="restart"/>
            <w:tcBorders>
              <w:top w:val="single" w:sz="8" w:space="0" w:color="auto"/>
              <w:left w:val="single" w:sz="8" w:space="0" w:color="auto"/>
              <w:bottom w:val="single" w:sz="8" w:space="0" w:color="000000"/>
              <w:right w:val="single" w:sz="4" w:space="0" w:color="auto"/>
            </w:tcBorders>
            <w:shd w:val="clear" w:color="auto" w:fill="EEECE1" w:themeFill="background2"/>
            <w:tcMar>
              <w:top w:w="0" w:type="dxa"/>
              <w:left w:w="28" w:type="dxa"/>
              <w:bottom w:w="0" w:type="dxa"/>
              <w:right w:w="28" w:type="dxa"/>
            </w:tcMar>
          </w:tcPr>
          <w:p w:rsidR="00D21D39" w:rsidRDefault="00D21D39" w:rsidP="00507B81">
            <w:pPr>
              <w:pStyle w:val="Default"/>
              <w:ind w:left="66" w:firstLine="34"/>
              <w:jc w:val="center"/>
              <w:rPr>
                <w:rFonts w:ascii="Times New Roman" w:hAnsi="Times New Roman" w:cs="Times New Roman"/>
                <w:b/>
                <w:bCs/>
                <w:sz w:val="20"/>
                <w:szCs w:val="20"/>
              </w:rPr>
            </w:pPr>
          </w:p>
          <w:p w:rsidR="00D21D39" w:rsidRPr="007708C9" w:rsidRDefault="00D21D39" w:rsidP="00507B81">
            <w:pPr>
              <w:pStyle w:val="Default"/>
              <w:jc w:val="center"/>
              <w:rPr>
                <w:rFonts w:ascii="Times New Roman" w:eastAsia="Times New Roman" w:hAnsi="Times New Roman" w:cs="Times New Roman"/>
                <w:color w:val="auto"/>
                <w:sz w:val="16"/>
                <w:szCs w:val="16"/>
              </w:rPr>
            </w:pPr>
            <w:r w:rsidRPr="007708C9">
              <w:rPr>
                <w:rFonts w:ascii="Times New Roman" w:hAnsi="Times New Roman" w:cs="Times New Roman"/>
                <w:b/>
                <w:bCs/>
                <w:sz w:val="16"/>
                <w:szCs w:val="16"/>
              </w:rPr>
              <w:t>№</w:t>
            </w:r>
            <w:r w:rsidR="00AF5698">
              <w:rPr>
                <w:rFonts w:ascii="Times New Roman" w:hAnsi="Times New Roman" w:cs="Times New Roman"/>
                <w:b/>
                <w:bCs/>
                <w:sz w:val="16"/>
                <w:szCs w:val="16"/>
              </w:rPr>
              <w:t xml:space="preserve"> </w:t>
            </w:r>
            <w:proofErr w:type="spellStart"/>
            <w:r w:rsidRPr="007708C9">
              <w:rPr>
                <w:rFonts w:ascii="Times New Roman" w:hAnsi="Times New Roman" w:cs="Times New Roman"/>
                <w:b/>
                <w:bCs/>
                <w:sz w:val="16"/>
                <w:szCs w:val="16"/>
              </w:rPr>
              <w:t>пп</w:t>
            </w:r>
            <w:proofErr w:type="spellEnd"/>
          </w:p>
        </w:tc>
        <w:tc>
          <w:tcPr>
            <w:tcW w:w="4993" w:type="dxa"/>
            <w:vMerge w:val="restart"/>
            <w:tcBorders>
              <w:top w:val="single" w:sz="4" w:space="0" w:color="auto"/>
              <w:left w:val="single" w:sz="4" w:space="0" w:color="auto"/>
              <w:bottom w:val="single" w:sz="8" w:space="0" w:color="000000"/>
              <w:right w:val="single" w:sz="4" w:space="0" w:color="auto"/>
            </w:tcBorders>
            <w:shd w:val="clear" w:color="auto" w:fill="EEECE1" w:themeFill="background2"/>
          </w:tcPr>
          <w:p w:rsidR="00D21D39" w:rsidRDefault="00D21D39" w:rsidP="00507B81">
            <w:pPr>
              <w:pStyle w:val="Default"/>
              <w:jc w:val="center"/>
              <w:rPr>
                <w:rFonts w:ascii="Times New Roman" w:hAnsi="Times New Roman" w:cs="Times New Roman"/>
                <w:b/>
                <w:bCs/>
                <w:sz w:val="20"/>
                <w:szCs w:val="20"/>
              </w:rPr>
            </w:pPr>
            <w:r w:rsidRPr="00D50FF4">
              <w:rPr>
                <w:rFonts w:ascii="Times New Roman" w:hAnsi="Times New Roman" w:cs="Times New Roman"/>
                <w:b/>
                <w:bCs/>
                <w:sz w:val="20"/>
                <w:szCs w:val="20"/>
              </w:rPr>
              <w:t xml:space="preserve">Способ определения поставщика </w:t>
            </w:r>
          </w:p>
          <w:p w:rsidR="00D21D39" w:rsidRDefault="00D21D39" w:rsidP="00507B81">
            <w:pPr>
              <w:pStyle w:val="Default"/>
              <w:jc w:val="center"/>
              <w:rPr>
                <w:rFonts w:ascii="Times New Roman" w:eastAsia="Times New Roman" w:hAnsi="Times New Roman" w:cs="Times New Roman"/>
                <w:color w:val="auto"/>
              </w:rPr>
            </w:pPr>
            <w:r w:rsidRPr="00D50FF4">
              <w:rPr>
                <w:rFonts w:ascii="Times New Roman" w:hAnsi="Times New Roman" w:cs="Times New Roman"/>
                <w:b/>
                <w:bCs/>
                <w:sz w:val="20"/>
                <w:szCs w:val="20"/>
              </w:rPr>
              <w:t>(подрядчика, исполнителя)</w:t>
            </w:r>
          </w:p>
        </w:tc>
        <w:tc>
          <w:tcPr>
            <w:tcW w:w="1925" w:type="dxa"/>
            <w:vMerge w:val="restart"/>
            <w:tcBorders>
              <w:top w:val="single" w:sz="8" w:space="0" w:color="auto"/>
              <w:left w:val="nil"/>
              <w:right w:val="single" w:sz="4" w:space="0" w:color="auto"/>
            </w:tcBorders>
            <w:shd w:val="clear" w:color="auto" w:fill="EEECE1" w:themeFill="background2"/>
            <w:tcMar>
              <w:top w:w="0" w:type="dxa"/>
              <w:left w:w="28" w:type="dxa"/>
              <w:bottom w:w="0" w:type="dxa"/>
              <w:right w:w="28" w:type="dxa"/>
            </w:tcMar>
          </w:tcPr>
          <w:p w:rsidR="00D21D39" w:rsidRPr="00CC1DBB" w:rsidRDefault="00D21D39" w:rsidP="00225262">
            <w:pPr>
              <w:jc w:val="center"/>
              <w:rPr>
                <w:rFonts w:eastAsia="Calibri"/>
                <w:b/>
                <w:bCs/>
                <w:color w:val="000000"/>
                <w:sz w:val="18"/>
                <w:szCs w:val="18"/>
              </w:rPr>
            </w:pPr>
            <w:r w:rsidRPr="00CC1DBB">
              <w:rPr>
                <w:rFonts w:eastAsia="Calibri"/>
                <w:b/>
                <w:bCs/>
                <w:color w:val="000000"/>
                <w:sz w:val="18"/>
                <w:szCs w:val="18"/>
              </w:rPr>
              <w:t>Количество размещенных извещений</w:t>
            </w:r>
            <w:r w:rsidR="002B1FE2" w:rsidRPr="00CC1DBB">
              <w:rPr>
                <w:rFonts w:eastAsia="Calibri"/>
                <w:b/>
                <w:bCs/>
                <w:color w:val="000000"/>
                <w:sz w:val="18"/>
                <w:szCs w:val="18"/>
              </w:rPr>
              <w:t xml:space="preserve">      </w:t>
            </w:r>
            <w:r w:rsidRPr="00CC1DBB">
              <w:rPr>
                <w:rFonts w:eastAsia="Calibri"/>
                <w:b/>
                <w:bCs/>
                <w:color w:val="000000"/>
                <w:sz w:val="18"/>
                <w:szCs w:val="18"/>
              </w:rPr>
              <w:t xml:space="preserve"> </w:t>
            </w:r>
            <w:r w:rsidR="005C35C2" w:rsidRPr="00CC1DBB">
              <w:rPr>
                <w:rFonts w:eastAsia="Calibri"/>
                <w:b/>
                <w:bCs/>
                <w:color w:val="000000"/>
                <w:sz w:val="18"/>
                <w:szCs w:val="18"/>
              </w:rPr>
              <w:t xml:space="preserve"> </w:t>
            </w:r>
            <w:r w:rsidR="00CC1DBB">
              <w:rPr>
                <w:rFonts w:eastAsia="Calibri"/>
                <w:b/>
                <w:bCs/>
                <w:color w:val="000000"/>
                <w:sz w:val="18"/>
                <w:szCs w:val="18"/>
              </w:rPr>
              <w:t xml:space="preserve">    </w:t>
            </w:r>
            <w:r w:rsidRPr="00CC1DBB">
              <w:rPr>
                <w:rFonts w:eastAsia="Calibri"/>
                <w:b/>
                <w:bCs/>
                <w:color w:val="000000"/>
                <w:sz w:val="18"/>
                <w:szCs w:val="18"/>
              </w:rPr>
              <w:t xml:space="preserve"> </w:t>
            </w:r>
            <w:r w:rsidR="005C35C2" w:rsidRPr="00CC1DBB">
              <w:rPr>
                <w:rFonts w:eastAsia="Calibri"/>
                <w:b/>
                <w:bCs/>
                <w:color w:val="000000"/>
                <w:sz w:val="18"/>
                <w:szCs w:val="18"/>
              </w:rPr>
              <w:t xml:space="preserve">    </w:t>
            </w:r>
          </w:p>
        </w:tc>
        <w:tc>
          <w:tcPr>
            <w:tcW w:w="1788" w:type="dxa"/>
            <w:vMerge w:val="restart"/>
            <w:tcBorders>
              <w:top w:val="single" w:sz="8" w:space="0" w:color="auto"/>
              <w:left w:val="nil"/>
              <w:right w:val="single" w:sz="4" w:space="0" w:color="auto"/>
            </w:tcBorders>
            <w:shd w:val="clear" w:color="auto" w:fill="EEECE1" w:themeFill="background2"/>
          </w:tcPr>
          <w:p w:rsidR="00D21D39" w:rsidRPr="00CC1DBB" w:rsidRDefault="00D21D39" w:rsidP="00225262">
            <w:pPr>
              <w:jc w:val="center"/>
              <w:rPr>
                <w:rFonts w:eastAsia="Calibri"/>
                <w:b/>
                <w:bCs/>
                <w:color w:val="000000"/>
                <w:sz w:val="18"/>
                <w:szCs w:val="18"/>
              </w:rPr>
            </w:pPr>
            <w:r w:rsidRPr="00CC1DBB">
              <w:rPr>
                <w:rFonts w:eastAsia="Calibri"/>
                <w:b/>
                <w:bCs/>
                <w:color w:val="000000"/>
                <w:sz w:val="18"/>
                <w:szCs w:val="18"/>
              </w:rPr>
              <w:t>Доля в общем количестве</w:t>
            </w:r>
            <w:r w:rsidRPr="00CC1DBB">
              <w:rPr>
                <w:b/>
                <w:bCs/>
                <w:sz w:val="18"/>
                <w:szCs w:val="18"/>
              </w:rPr>
              <w:t xml:space="preserve"> </w:t>
            </w:r>
            <w:r w:rsidRPr="00CC1DBB">
              <w:rPr>
                <w:rFonts w:eastAsia="Calibri"/>
                <w:b/>
                <w:bCs/>
                <w:color w:val="000000"/>
                <w:sz w:val="18"/>
                <w:szCs w:val="18"/>
              </w:rPr>
              <w:t>закупок</w:t>
            </w:r>
            <w:r w:rsidR="005C35C2" w:rsidRPr="00CC1DBB">
              <w:rPr>
                <w:rFonts w:eastAsia="Calibri"/>
                <w:b/>
                <w:bCs/>
                <w:color w:val="000000"/>
                <w:sz w:val="18"/>
                <w:szCs w:val="18"/>
              </w:rPr>
              <w:t xml:space="preserve">                 </w:t>
            </w:r>
            <w:r w:rsidRPr="00CC1DBB">
              <w:rPr>
                <w:rFonts w:eastAsia="Calibri"/>
                <w:b/>
                <w:bCs/>
                <w:color w:val="000000"/>
                <w:sz w:val="18"/>
                <w:szCs w:val="18"/>
              </w:rPr>
              <w:t xml:space="preserve"> </w:t>
            </w:r>
          </w:p>
        </w:tc>
      </w:tr>
      <w:tr w:rsidR="00D21D39" w:rsidRPr="002B7FA2" w:rsidTr="00482429">
        <w:trPr>
          <w:trHeight w:val="540"/>
          <w:tblHeader/>
        </w:trPr>
        <w:tc>
          <w:tcPr>
            <w:tcW w:w="595" w:type="dxa"/>
            <w:vMerge/>
            <w:tcBorders>
              <w:top w:val="single" w:sz="8" w:space="0" w:color="auto"/>
              <w:left w:val="single" w:sz="8" w:space="0" w:color="auto"/>
              <w:bottom w:val="single" w:sz="8" w:space="0" w:color="000000"/>
              <w:right w:val="single" w:sz="4" w:space="0" w:color="auto"/>
            </w:tcBorders>
            <w:shd w:val="clear" w:color="auto" w:fill="EEECE1" w:themeFill="background2"/>
            <w:vAlign w:val="center"/>
          </w:tcPr>
          <w:p w:rsidR="00D21D39" w:rsidRPr="002B7FA2" w:rsidRDefault="00D21D39" w:rsidP="00507B81">
            <w:pPr>
              <w:rPr>
                <w:b/>
                <w:bCs/>
                <w:sz w:val="18"/>
                <w:szCs w:val="20"/>
              </w:rPr>
            </w:pPr>
          </w:p>
        </w:tc>
        <w:tc>
          <w:tcPr>
            <w:tcW w:w="4993" w:type="dxa"/>
            <w:vMerge/>
            <w:tcBorders>
              <w:top w:val="single" w:sz="8" w:space="0" w:color="auto"/>
              <w:left w:val="single" w:sz="4" w:space="0" w:color="auto"/>
              <w:bottom w:val="single" w:sz="8" w:space="0" w:color="000000"/>
              <w:right w:val="single" w:sz="4" w:space="0" w:color="auto"/>
            </w:tcBorders>
            <w:shd w:val="clear" w:color="auto" w:fill="EEECE1" w:themeFill="background2"/>
            <w:vAlign w:val="center"/>
          </w:tcPr>
          <w:p w:rsidR="00D21D39" w:rsidRPr="002B7FA2" w:rsidRDefault="00D21D39" w:rsidP="00507B81">
            <w:pPr>
              <w:rPr>
                <w:b/>
                <w:bCs/>
                <w:sz w:val="18"/>
                <w:szCs w:val="20"/>
              </w:rPr>
            </w:pPr>
          </w:p>
        </w:tc>
        <w:tc>
          <w:tcPr>
            <w:tcW w:w="1925" w:type="dxa"/>
            <w:vMerge/>
            <w:tcBorders>
              <w:left w:val="nil"/>
              <w:bottom w:val="single" w:sz="8" w:space="0" w:color="auto"/>
              <w:right w:val="single" w:sz="4" w:space="0" w:color="auto"/>
            </w:tcBorders>
            <w:shd w:val="clear" w:color="auto" w:fill="EEECE1" w:themeFill="background2"/>
            <w:tcMar>
              <w:top w:w="0" w:type="dxa"/>
              <w:left w:w="28" w:type="dxa"/>
              <w:bottom w:w="0" w:type="dxa"/>
              <w:right w:w="28" w:type="dxa"/>
            </w:tcMar>
            <w:vAlign w:val="center"/>
          </w:tcPr>
          <w:p w:rsidR="00D21D39" w:rsidRPr="002B7FA2" w:rsidRDefault="00D21D39" w:rsidP="00507B81">
            <w:pPr>
              <w:jc w:val="center"/>
              <w:rPr>
                <w:b/>
                <w:bCs/>
                <w:sz w:val="18"/>
                <w:szCs w:val="20"/>
              </w:rPr>
            </w:pPr>
          </w:p>
        </w:tc>
        <w:tc>
          <w:tcPr>
            <w:tcW w:w="1788" w:type="dxa"/>
            <w:vMerge/>
            <w:tcBorders>
              <w:left w:val="nil"/>
              <w:bottom w:val="single" w:sz="8" w:space="0" w:color="auto"/>
              <w:right w:val="single" w:sz="4" w:space="0" w:color="auto"/>
            </w:tcBorders>
            <w:shd w:val="clear" w:color="auto" w:fill="EEECE1" w:themeFill="background2"/>
            <w:vAlign w:val="center"/>
          </w:tcPr>
          <w:p w:rsidR="00D21D39" w:rsidRPr="002B7FA2" w:rsidRDefault="00D21D39" w:rsidP="00507B81">
            <w:pPr>
              <w:jc w:val="center"/>
              <w:rPr>
                <w:b/>
                <w:bCs/>
                <w:sz w:val="18"/>
                <w:szCs w:val="20"/>
              </w:rPr>
            </w:pPr>
          </w:p>
        </w:tc>
      </w:tr>
      <w:tr w:rsidR="00D21D39" w:rsidRPr="00D154DB" w:rsidTr="00507B81">
        <w:trPr>
          <w:trHeight w:val="89"/>
          <w:tblHeader/>
        </w:trPr>
        <w:tc>
          <w:tcPr>
            <w:tcW w:w="595"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D21D39" w:rsidRPr="00D154DB" w:rsidRDefault="00D21D39" w:rsidP="00507B81">
            <w:pPr>
              <w:jc w:val="center"/>
              <w:rPr>
                <w:b/>
                <w:sz w:val="18"/>
                <w:szCs w:val="20"/>
              </w:rPr>
            </w:pPr>
          </w:p>
        </w:tc>
        <w:tc>
          <w:tcPr>
            <w:tcW w:w="4993" w:type="dxa"/>
            <w:tcBorders>
              <w:top w:val="nil"/>
              <w:left w:val="single" w:sz="4" w:space="0" w:color="auto"/>
              <w:bottom w:val="single" w:sz="8" w:space="0" w:color="auto"/>
              <w:right w:val="single" w:sz="4" w:space="0" w:color="auto"/>
            </w:tcBorders>
            <w:vAlign w:val="center"/>
          </w:tcPr>
          <w:p w:rsidR="00D21D39" w:rsidRPr="00D154DB" w:rsidRDefault="00D21D39" w:rsidP="00507B81">
            <w:pPr>
              <w:jc w:val="center"/>
              <w:rPr>
                <w:b/>
                <w:sz w:val="18"/>
                <w:szCs w:val="20"/>
              </w:rPr>
            </w:pPr>
            <w:r w:rsidRPr="00D154DB">
              <w:rPr>
                <w:b/>
                <w:sz w:val="18"/>
                <w:szCs w:val="20"/>
              </w:rPr>
              <w:t>1</w:t>
            </w:r>
          </w:p>
        </w:tc>
        <w:tc>
          <w:tcPr>
            <w:tcW w:w="1925" w:type="dxa"/>
            <w:tcBorders>
              <w:top w:val="nil"/>
              <w:left w:val="nil"/>
              <w:bottom w:val="single" w:sz="8" w:space="0" w:color="auto"/>
              <w:right w:val="single" w:sz="4" w:space="0" w:color="auto"/>
            </w:tcBorders>
            <w:tcMar>
              <w:top w:w="0" w:type="dxa"/>
              <w:left w:w="28" w:type="dxa"/>
              <w:bottom w:w="0" w:type="dxa"/>
              <w:right w:w="28" w:type="dxa"/>
            </w:tcMar>
            <w:vAlign w:val="center"/>
          </w:tcPr>
          <w:p w:rsidR="00D21D39" w:rsidRPr="00D154DB" w:rsidRDefault="00D21D39" w:rsidP="00507B81">
            <w:pPr>
              <w:jc w:val="center"/>
              <w:rPr>
                <w:b/>
                <w:sz w:val="18"/>
                <w:szCs w:val="20"/>
              </w:rPr>
            </w:pPr>
            <w:r w:rsidRPr="00D154DB">
              <w:rPr>
                <w:b/>
                <w:sz w:val="18"/>
                <w:szCs w:val="20"/>
              </w:rPr>
              <w:t>2</w:t>
            </w:r>
          </w:p>
        </w:tc>
        <w:tc>
          <w:tcPr>
            <w:tcW w:w="1788" w:type="dxa"/>
            <w:tcBorders>
              <w:top w:val="nil"/>
              <w:left w:val="nil"/>
              <w:bottom w:val="single" w:sz="8" w:space="0" w:color="auto"/>
              <w:right w:val="single" w:sz="4" w:space="0" w:color="auto"/>
            </w:tcBorders>
            <w:vAlign w:val="center"/>
          </w:tcPr>
          <w:p w:rsidR="00D21D39" w:rsidRPr="00D154DB" w:rsidRDefault="00D21D39" w:rsidP="00507B81">
            <w:pPr>
              <w:jc w:val="center"/>
              <w:rPr>
                <w:b/>
                <w:sz w:val="18"/>
                <w:szCs w:val="20"/>
              </w:rPr>
            </w:pPr>
          </w:p>
        </w:tc>
      </w:tr>
      <w:tr w:rsidR="00D21D39" w:rsidRPr="007708C9" w:rsidTr="00CC427D">
        <w:trPr>
          <w:trHeight w:val="318"/>
        </w:trPr>
        <w:tc>
          <w:tcPr>
            <w:tcW w:w="595" w:type="dxa"/>
            <w:tcBorders>
              <w:top w:val="single" w:sz="4" w:space="0" w:color="auto"/>
              <w:left w:val="single" w:sz="8" w:space="0" w:color="auto"/>
              <w:bottom w:val="single" w:sz="4" w:space="0" w:color="auto"/>
              <w:right w:val="single" w:sz="4" w:space="0" w:color="auto"/>
            </w:tcBorders>
            <w:noWrap/>
            <w:vAlign w:val="bottom"/>
          </w:tcPr>
          <w:p w:rsidR="00D21D39" w:rsidRPr="007708C9" w:rsidRDefault="00D21D39" w:rsidP="00507B81">
            <w:pPr>
              <w:rPr>
                <w:sz w:val="20"/>
                <w:szCs w:val="20"/>
              </w:rPr>
            </w:pPr>
          </w:p>
          <w:p w:rsidR="00D21D39" w:rsidRPr="007708C9" w:rsidRDefault="00D21D39" w:rsidP="00507B81">
            <w:pPr>
              <w:rPr>
                <w:sz w:val="20"/>
                <w:szCs w:val="20"/>
              </w:rPr>
            </w:pPr>
            <w:r w:rsidRPr="007708C9">
              <w:rPr>
                <w:sz w:val="20"/>
                <w:szCs w:val="20"/>
              </w:rPr>
              <w:t>1</w:t>
            </w:r>
          </w:p>
        </w:tc>
        <w:tc>
          <w:tcPr>
            <w:tcW w:w="4993" w:type="dxa"/>
            <w:tcBorders>
              <w:top w:val="single" w:sz="4" w:space="0" w:color="auto"/>
              <w:left w:val="single" w:sz="4" w:space="0" w:color="auto"/>
              <w:bottom w:val="single" w:sz="4" w:space="0" w:color="auto"/>
              <w:right w:val="single" w:sz="4" w:space="0" w:color="auto"/>
            </w:tcBorders>
            <w:vAlign w:val="bottom"/>
          </w:tcPr>
          <w:p w:rsidR="00D21D39" w:rsidRPr="00B34039" w:rsidRDefault="00D21D39" w:rsidP="00507B81">
            <w:pPr>
              <w:rPr>
                <w:sz w:val="22"/>
                <w:szCs w:val="22"/>
              </w:rPr>
            </w:pPr>
            <w:r w:rsidRPr="00B34039">
              <w:rPr>
                <w:sz w:val="22"/>
                <w:szCs w:val="22"/>
              </w:rPr>
              <w:t>Электронный аукцион</w:t>
            </w:r>
          </w:p>
        </w:tc>
        <w:tc>
          <w:tcPr>
            <w:tcW w:w="1925"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D21D39" w:rsidRPr="00671C10" w:rsidRDefault="007865D0" w:rsidP="007865D0">
            <w:pPr>
              <w:jc w:val="center"/>
              <w:rPr>
                <w:sz w:val="22"/>
                <w:szCs w:val="22"/>
              </w:rPr>
            </w:pPr>
            <w:r>
              <w:rPr>
                <w:sz w:val="22"/>
                <w:szCs w:val="22"/>
              </w:rPr>
              <w:t>159</w:t>
            </w:r>
          </w:p>
        </w:tc>
        <w:tc>
          <w:tcPr>
            <w:tcW w:w="1788" w:type="dxa"/>
            <w:tcBorders>
              <w:top w:val="single" w:sz="4" w:space="0" w:color="auto"/>
              <w:left w:val="nil"/>
              <w:bottom w:val="single" w:sz="4" w:space="0" w:color="auto"/>
              <w:right w:val="single" w:sz="4" w:space="0" w:color="auto"/>
            </w:tcBorders>
            <w:vAlign w:val="center"/>
          </w:tcPr>
          <w:p w:rsidR="00D21D39" w:rsidRPr="00671C10" w:rsidRDefault="00A3712E" w:rsidP="00A3712E">
            <w:pPr>
              <w:jc w:val="center"/>
              <w:rPr>
                <w:sz w:val="22"/>
                <w:szCs w:val="22"/>
              </w:rPr>
            </w:pPr>
            <w:r>
              <w:rPr>
                <w:sz w:val="22"/>
                <w:szCs w:val="22"/>
              </w:rPr>
              <w:t>95,2</w:t>
            </w:r>
            <w:r w:rsidR="005E4AAB">
              <w:rPr>
                <w:sz w:val="22"/>
                <w:szCs w:val="22"/>
              </w:rPr>
              <w:t>%</w:t>
            </w:r>
          </w:p>
        </w:tc>
      </w:tr>
      <w:tr w:rsidR="00D21D39" w:rsidRPr="007708C9" w:rsidTr="00225262">
        <w:trPr>
          <w:trHeight w:val="305"/>
        </w:trPr>
        <w:tc>
          <w:tcPr>
            <w:tcW w:w="595" w:type="dxa"/>
            <w:tcBorders>
              <w:top w:val="nil"/>
              <w:left w:val="single" w:sz="8" w:space="0" w:color="auto"/>
              <w:bottom w:val="single" w:sz="4" w:space="0" w:color="auto"/>
              <w:right w:val="single" w:sz="4" w:space="0" w:color="auto"/>
            </w:tcBorders>
            <w:noWrap/>
            <w:vAlign w:val="bottom"/>
          </w:tcPr>
          <w:p w:rsidR="00D21D39" w:rsidRDefault="00D21D39" w:rsidP="00507B81">
            <w:pPr>
              <w:rPr>
                <w:sz w:val="20"/>
                <w:szCs w:val="20"/>
              </w:rPr>
            </w:pPr>
            <w:r>
              <w:rPr>
                <w:sz w:val="20"/>
                <w:szCs w:val="20"/>
              </w:rPr>
              <w:t>2</w:t>
            </w:r>
          </w:p>
          <w:p w:rsidR="00507B81" w:rsidRPr="007708C9" w:rsidRDefault="00507B81" w:rsidP="00507B81">
            <w:pPr>
              <w:rPr>
                <w:sz w:val="20"/>
                <w:szCs w:val="20"/>
              </w:rPr>
            </w:pPr>
          </w:p>
        </w:tc>
        <w:tc>
          <w:tcPr>
            <w:tcW w:w="4993" w:type="dxa"/>
            <w:tcBorders>
              <w:top w:val="nil"/>
              <w:left w:val="single" w:sz="4" w:space="0" w:color="auto"/>
              <w:bottom w:val="single" w:sz="4" w:space="0" w:color="auto"/>
              <w:right w:val="single" w:sz="4" w:space="0" w:color="auto"/>
            </w:tcBorders>
            <w:vAlign w:val="bottom"/>
          </w:tcPr>
          <w:p w:rsidR="00507B81" w:rsidRDefault="007865D0" w:rsidP="00507B81">
            <w:pPr>
              <w:rPr>
                <w:sz w:val="22"/>
                <w:szCs w:val="22"/>
              </w:rPr>
            </w:pPr>
            <w:r>
              <w:rPr>
                <w:sz w:val="22"/>
                <w:szCs w:val="22"/>
              </w:rPr>
              <w:t>Электронный  з</w:t>
            </w:r>
            <w:r w:rsidR="00D21D39" w:rsidRPr="00B34039">
              <w:rPr>
                <w:sz w:val="22"/>
                <w:szCs w:val="22"/>
              </w:rPr>
              <w:t>апрос котировок</w:t>
            </w:r>
          </w:p>
          <w:p w:rsidR="00507B81" w:rsidRPr="00B34039" w:rsidRDefault="00507B81" w:rsidP="00507B81">
            <w:pPr>
              <w:rPr>
                <w:sz w:val="22"/>
                <w:szCs w:val="22"/>
              </w:rPr>
            </w:pPr>
          </w:p>
        </w:tc>
        <w:tc>
          <w:tcPr>
            <w:tcW w:w="1925"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D21D39" w:rsidRPr="00671C10" w:rsidRDefault="007865D0" w:rsidP="007865D0">
            <w:pPr>
              <w:jc w:val="center"/>
              <w:rPr>
                <w:sz w:val="22"/>
                <w:szCs w:val="22"/>
              </w:rPr>
            </w:pPr>
            <w:r>
              <w:rPr>
                <w:sz w:val="22"/>
                <w:szCs w:val="22"/>
              </w:rPr>
              <w:t>-</w:t>
            </w:r>
          </w:p>
        </w:tc>
        <w:tc>
          <w:tcPr>
            <w:tcW w:w="1788" w:type="dxa"/>
            <w:tcBorders>
              <w:top w:val="nil"/>
              <w:left w:val="nil"/>
              <w:bottom w:val="single" w:sz="4" w:space="0" w:color="auto"/>
              <w:right w:val="single" w:sz="4" w:space="0" w:color="auto"/>
            </w:tcBorders>
            <w:vAlign w:val="center"/>
          </w:tcPr>
          <w:p w:rsidR="00D21D39" w:rsidRPr="00671C10" w:rsidRDefault="007865D0" w:rsidP="007865D0">
            <w:pPr>
              <w:jc w:val="center"/>
              <w:rPr>
                <w:sz w:val="22"/>
                <w:szCs w:val="22"/>
              </w:rPr>
            </w:pPr>
            <w:r>
              <w:rPr>
                <w:sz w:val="22"/>
                <w:szCs w:val="22"/>
              </w:rPr>
              <w:t>-</w:t>
            </w:r>
          </w:p>
        </w:tc>
      </w:tr>
      <w:tr w:rsidR="007865D0" w:rsidRPr="007708C9" w:rsidTr="00507B81">
        <w:trPr>
          <w:trHeight w:val="85"/>
        </w:trPr>
        <w:tc>
          <w:tcPr>
            <w:tcW w:w="595" w:type="dxa"/>
            <w:tcBorders>
              <w:top w:val="single" w:sz="4" w:space="0" w:color="auto"/>
              <w:left w:val="single" w:sz="8" w:space="0" w:color="auto"/>
              <w:bottom w:val="single" w:sz="4" w:space="0" w:color="auto"/>
              <w:right w:val="single" w:sz="4" w:space="0" w:color="auto"/>
            </w:tcBorders>
            <w:noWrap/>
            <w:vAlign w:val="bottom"/>
          </w:tcPr>
          <w:p w:rsidR="007865D0" w:rsidRDefault="007865D0" w:rsidP="007865D0">
            <w:pPr>
              <w:rPr>
                <w:sz w:val="20"/>
                <w:szCs w:val="20"/>
              </w:rPr>
            </w:pPr>
            <w:r>
              <w:rPr>
                <w:sz w:val="20"/>
                <w:szCs w:val="20"/>
              </w:rPr>
              <w:t>3</w:t>
            </w:r>
          </w:p>
        </w:tc>
        <w:tc>
          <w:tcPr>
            <w:tcW w:w="4993" w:type="dxa"/>
            <w:tcBorders>
              <w:top w:val="single" w:sz="4" w:space="0" w:color="auto"/>
              <w:left w:val="single" w:sz="4" w:space="0" w:color="auto"/>
              <w:bottom w:val="single" w:sz="4" w:space="0" w:color="auto"/>
              <w:right w:val="single" w:sz="4" w:space="0" w:color="auto"/>
            </w:tcBorders>
            <w:vAlign w:val="bottom"/>
          </w:tcPr>
          <w:p w:rsidR="007865D0" w:rsidRPr="00B34039" w:rsidRDefault="007865D0" w:rsidP="007865D0">
            <w:pPr>
              <w:rPr>
                <w:sz w:val="22"/>
                <w:szCs w:val="22"/>
              </w:rPr>
            </w:pPr>
            <w:r>
              <w:rPr>
                <w:sz w:val="22"/>
                <w:szCs w:val="22"/>
              </w:rPr>
              <w:t>Электронный конкурс</w:t>
            </w:r>
          </w:p>
        </w:tc>
        <w:tc>
          <w:tcPr>
            <w:tcW w:w="1925"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7865D0" w:rsidRDefault="007865D0" w:rsidP="007865D0">
            <w:pPr>
              <w:jc w:val="center"/>
              <w:rPr>
                <w:sz w:val="22"/>
                <w:szCs w:val="22"/>
              </w:rPr>
            </w:pPr>
            <w:r>
              <w:rPr>
                <w:sz w:val="22"/>
                <w:szCs w:val="22"/>
              </w:rPr>
              <w:t>8</w:t>
            </w:r>
          </w:p>
        </w:tc>
        <w:tc>
          <w:tcPr>
            <w:tcW w:w="1788" w:type="dxa"/>
            <w:tcBorders>
              <w:top w:val="single" w:sz="4" w:space="0" w:color="auto"/>
              <w:left w:val="nil"/>
              <w:bottom w:val="single" w:sz="4" w:space="0" w:color="auto"/>
              <w:right w:val="single" w:sz="4" w:space="0" w:color="auto"/>
            </w:tcBorders>
            <w:vAlign w:val="center"/>
          </w:tcPr>
          <w:p w:rsidR="007865D0" w:rsidRDefault="00A3712E" w:rsidP="00A3712E">
            <w:pPr>
              <w:jc w:val="center"/>
              <w:rPr>
                <w:sz w:val="22"/>
                <w:szCs w:val="22"/>
              </w:rPr>
            </w:pPr>
            <w:r>
              <w:rPr>
                <w:sz w:val="22"/>
                <w:szCs w:val="22"/>
              </w:rPr>
              <w:t>4,8%</w:t>
            </w:r>
          </w:p>
        </w:tc>
      </w:tr>
      <w:tr w:rsidR="00D21D39" w:rsidRPr="007708C9" w:rsidTr="00225262">
        <w:trPr>
          <w:trHeight w:val="279"/>
        </w:trPr>
        <w:tc>
          <w:tcPr>
            <w:tcW w:w="595" w:type="dxa"/>
            <w:tcBorders>
              <w:top w:val="nil"/>
              <w:left w:val="single" w:sz="8" w:space="0" w:color="auto"/>
              <w:bottom w:val="single" w:sz="4" w:space="0" w:color="auto"/>
              <w:right w:val="single" w:sz="4" w:space="0" w:color="auto"/>
            </w:tcBorders>
            <w:shd w:val="clear" w:color="auto" w:fill="EEECE1" w:themeFill="background2"/>
            <w:noWrap/>
            <w:vAlign w:val="bottom"/>
          </w:tcPr>
          <w:p w:rsidR="00D21D39" w:rsidRPr="007708C9" w:rsidRDefault="00D21D39" w:rsidP="00507B81">
            <w:pPr>
              <w:rPr>
                <w:b/>
                <w:sz w:val="20"/>
                <w:szCs w:val="20"/>
              </w:rPr>
            </w:pPr>
          </w:p>
          <w:p w:rsidR="00D21D39" w:rsidRPr="007708C9" w:rsidRDefault="00D21D39" w:rsidP="00507B81">
            <w:pPr>
              <w:rPr>
                <w:b/>
                <w:sz w:val="20"/>
                <w:szCs w:val="20"/>
              </w:rPr>
            </w:pPr>
          </w:p>
        </w:tc>
        <w:tc>
          <w:tcPr>
            <w:tcW w:w="4993" w:type="dxa"/>
            <w:tcBorders>
              <w:top w:val="nil"/>
              <w:left w:val="single" w:sz="4" w:space="0" w:color="auto"/>
              <w:bottom w:val="single" w:sz="4" w:space="0" w:color="auto"/>
              <w:right w:val="single" w:sz="4" w:space="0" w:color="auto"/>
            </w:tcBorders>
            <w:shd w:val="clear" w:color="auto" w:fill="EEECE1" w:themeFill="background2"/>
            <w:vAlign w:val="bottom"/>
          </w:tcPr>
          <w:p w:rsidR="00D21D39" w:rsidRPr="0083434C" w:rsidRDefault="00D21D39" w:rsidP="00507B81">
            <w:pPr>
              <w:rPr>
                <w:b/>
                <w:sz w:val="22"/>
                <w:szCs w:val="22"/>
              </w:rPr>
            </w:pPr>
            <w:r w:rsidRPr="0083434C">
              <w:rPr>
                <w:b/>
                <w:sz w:val="22"/>
                <w:szCs w:val="22"/>
              </w:rPr>
              <w:t>Общий итог:</w:t>
            </w:r>
          </w:p>
        </w:tc>
        <w:tc>
          <w:tcPr>
            <w:tcW w:w="1925" w:type="dxa"/>
            <w:tcBorders>
              <w:top w:val="nil"/>
              <w:left w:val="nil"/>
              <w:bottom w:val="single" w:sz="4" w:space="0" w:color="auto"/>
              <w:right w:val="single" w:sz="4" w:space="0" w:color="auto"/>
            </w:tcBorders>
            <w:shd w:val="clear" w:color="auto" w:fill="EEECE1" w:themeFill="background2"/>
            <w:noWrap/>
            <w:tcMar>
              <w:top w:w="0" w:type="dxa"/>
              <w:left w:w="0" w:type="dxa"/>
              <w:bottom w:w="0" w:type="dxa"/>
              <w:right w:w="0" w:type="dxa"/>
            </w:tcMar>
            <w:vAlign w:val="center"/>
          </w:tcPr>
          <w:p w:rsidR="00D21D39" w:rsidRPr="0083434C" w:rsidRDefault="005E4AAB" w:rsidP="00A3712E">
            <w:pPr>
              <w:jc w:val="center"/>
              <w:rPr>
                <w:b/>
                <w:sz w:val="22"/>
                <w:szCs w:val="22"/>
              </w:rPr>
            </w:pPr>
            <w:r w:rsidRPr="0083434C">
              <w:rPr>
                <w:b/>
                <w:sz w:val="22"/>
                <w:szCs w:val="22"/>
              </w:rPr>
              <w:t>1</w:t>
            </w:r>
            <w:r w:rsidR="00A3712E" w:rsidRPr="0083434C">
              <w:rPr>
                <w:b/>
                <w:sz w:val="22"/>
                <w:szCs w:val="22"/>
              </w:rPr>
              <w:t>67</w:t>
            </w:r>
          </w:p>
        </w:tc>
        <w:tc>
          <w:tcPr>
            <w:tcW w:w="1788" w:type="dxa"/>
            <w:tcBorders>
              <w:top w:val="nil"/>
              <w:left w:val="nil"/>
              <w:bottom w:val="single" w:sz="4" w:space="0" w:color="auto"/>
              <w:right w:val="single" w:sz="4" w:space="0" w:color="auto"/>
            </w:tcBorders>
            <w:shd w:val="clear" w:color="auto" w:fill="EEECE1" w:themeFill="background2"/>
            <w:vAlign w:val="center"/>
          </w:tcPr>
          <w:p w:rsidR="00D21D39" w:rsidRPr="0083434C" w:rsidRDefault="00D21D39" w:rsidP="00507B81">
            <w:pPr>
              <w:jc w:val="center"/>
              <w:rPr>
                <w:b/>
                <w:sz w:val="22"/>
                <w:szCs w:val="22"/>
              </w:rPr>
            </w:pPr>
            <w:r w:rsidRPr="0083434C">
              <w:rPr>
                <w:b/>
                <w:sz w:val="22"/>
                <w:szCs w:val="22"/>
              </w:rPr>
              <w:t>100,0%</w:t>
            </w:r>
          </w:p>
        </w:tc>
      </w:tr>
    </w:tbl>
    <w:p w:rsidR="005E4AAB" w:rsidRDefault="005E4AAB" w:rsidP="00AF5698">
      <w:pPr>
        <w:autoSpaceDE w:val="0"/>
        <w:autoSpaceDN w:val="0"/>
        <w:adjustRightInd w:val="0"/>
        <w:ind w:firstLine="567"/>
        <w:jc w:val="both"/>
        <w:rPr>
          <w:rFonts w:eastAsia="Calibri"/>
          <w:color w:val="000000"/>
        </w:rPr>
      </w:pPr>
    </w:p>
    <w:p w:rsidR="00991575" w:rsidRDefault="00991575" w:rsidP="00991575">
      <w:pPr>
        <w:autoSpaceDE w:val="0"/>
        <w:autoSpaceDN w:val="0"/>
        <w:adjustRightInd w:val="0"/>
        <w:ind w:firstLine="567"/>
        <w:jc w:val="both"/>
        <w:rPr>
          <w:rFonts w:eastAsia="Calibri"/>
          <w:color w:val="000000"/>
        </w:rPr>
      </w:pPr>
      <w:r>
        <w:rPr>
          <w:rFonts w:eastAsia="Calibri"/>
          <w:color w:val="000000"/>
        </w:rPr>
        <w:t xml:space="preserve">В сравнении с  показателями базисного периода 2021 года наблюдается  рост общего количества опубликованных извещений в 2022 году на </w:t>
      </w:r>
      <w:r w:rsidR="00521571" w:rsidRPr="00521571">
        <w:rPr>
          <w:rFonts w:eastAsia="Calibri"/>
          <w:b/>
          <w:color w:val="000000"/>
        </w:rPr>
        <w:t>16</w:t>
      </w:r>
      <w:r w:rsidRPr="00521571">
        <w:rPr>
          <w:rFonts w:eastAsia="Calibri"/>
          <w:b/>
          <w:color w:val="000000"/>
        </w:rPr>
        <w:t xml:space="preserve"> п</w:t>
      </w:r>
      <w:r>
        <w:rPr>
          <w:rFonts w:eastAsia="Calibri"/>
          <w:b/>
          <w:color w:val="000000"/>
        </w:rPr>
        <w:t xml:space="preserve">роцентных пунктов </w:t>
      </w:r>
      <w:r w:rsidRPr="00ED7174">
        <w:rPr>
          <w:rFonts w:eastAsia="Calibri"/>
          <w:color w:val="000000"/>
        </w:rPr>
        <w:t>при</w:t>
      </w:r>
      <w:r>
        <w:rPr>
          <w:rFonts w:eastAsia="Calibri"/>
          <w:color w:val="000000"/>
        </w:rPr>
        <w:t xml:space="preserve"> одновременном </w:t>
      </w:r>
      <w:r w:rsidR="00521571">
        <w:rPr>
          <w:rFonts w:eastAsia="Calibri"/>
          <w:color w:val="000000"/>
        </w:rPr>
        <w:t>увеличении</w:t>
      </w:r>
      <w:r>
        <w:rPr>
          <w:rFonts w:eastAsia="Calibri"/>
          <w:color w:val="000000"/>
        </w:rPr>
        <w:t xml:space="preserve"> стоимостного объема на </w:t>
      </w:r>
      <w:r w:rsidR="00521571" w:rsidRPr="00521571">
        <w:rPr>
          <w:rFonts w:eastAsia="Calibri"/>
          <w:b/>
          <w:color w:val="000000"/>
        </w:rPr>
        <w:t>102,7</w:t>
      </w:r>
      <w:r w:rsidRPr="00521571">
        <w:rPr>
          <w:rFonts w:eastAsia="Calibri"/>
          <w:b/>
          <w:color w:val="000000"/>
        </w:rPr>
        <w:t xml:space="preserve"> процентных</w:t>
      </w:r>
      <w:r w:rsidRPr="00ED7174">
        <w:rPr>
          <w:rFonts w:eastAsia="Calibri"/>
          <w:b/>
          <w:color w:val="000000"/>
        </w:rPr>
        <w:t xml:space="preserve"> пунктов</w:t>
      </w:r>
      <w:r>
        <w:rPr>
          <w:rFonts w:eastAsia="Calibri"/>
          <w:color w:val="000000"/>
        </w:rPr>
        <w:t>.</w:t>
      </w:r>
    </w:p>
    <w:p w:rsidR="00B665A9" w:rsidRDefault="00291C30" w:rsidP="00C20CC5">
      <w:pPr>
        <w:autoSpaceDE w:val="0"/>
        <w:autoSpaceDN w:val="0"/>
        <w:adjustRightInd w:val="0"/>
        <w:ind w:firstLine="567"/>
        <w:jc w:val="both"/>
      </w:pPr>
      <w:r>
        <w:rPr>
          <w:rFonts w:eastAsia="Calibri"/>
          <w:color w:val="000000"/>
        </w:rPr>
        <w:t xml:space="preserve">Данное </w:t>
      </w:r>
      <w:r w:rsidR="00521571" w:rsidRPr="00521571">
        <w:rPr>
          <w:rFonts w:eastAsia="Calibri"/>
          <w:color w:val="000000"/>
        </w:rPr>
        <w:t>увеличение может быть</w:t>
      </w:r>
      <w:r>
        <w:rPr>
          <w:rFonts w:eastAsia="Calibri"/>
          <w:color w:val="000000"/>
        </w:rPr>
        <w:t xml:space="preserve"> обусловлено </w:t>
      </w:r>
      <w:r w:rsidR="00C20CC5">
        <w:rPr>
          <w:rFonts w:eastAsia="Calibri"/>
          <w:color w:val="000000"/>
        </w:rPr>
        <w:t>н</w:t>
      </w:r>
      <w:r w:rsidR="00B665A9" w:rsidRPr="00B665A9">
        <w:rPr>
          <w:rFonts w:eastAsia="Calibri"/>
        </w:rPr>
        <w:t xml:space="preserve">ачалом </w:t>
      </w:r>
      <w:r w:rsidR="00B665A9" w:rsidRPr="00B665A9">
        <w:t>осуществления в 20</w:t>
      </w:r>
      <w:r w:rsidR="00C20CC5">
        <w:t>22</w:t>
      </w:r>
      <w:r w:rsidR="00B665A9" w:rsidRPr="00B665A9">
        <w:t xml:space="preserve"> год</w:t>
      </w:r>
      <w:r w:rsidR="00C20CC5">
        <w:t>у</w:t>
      </w:r>
      <w:r w:rsidR="00B665A9" w:rsidRPr="00B665A9">
        <w:t xml:space="preserve"> капиталоемких закупок, а  также  с активной фазой реализации национальных и федеральных проектов</w:t>
      </w:r>
      <w:r w:rsidR="00C20CC5">
        <w:t>.</w:t>
      </w:r>
    </w:p>
    <w:p w:rsidR="002B1FE2" w:rsidRPr="00274A92" w:rsidRDefault="002B1FE2" w:rsidP="00AF5698">
      <w:pPr>
        <w:autoSpaceDE w:val="0"/>
        <w:autoSpaceDN w:val="0"/>
        <w:adjustRightInd w:val="0"/>
        <w:ind w:firstLine="567"/>
        <w:jc w:val="both"/>
        <w:rPr>
          <w:rFonts w:eastAsia="Calibri"/>
        </w:rPr>
      </w:pPr>
      <w:r w:rsidRPr="00274A92">
        <w:rPr>
          <w:rFonts w:eastAsia="Calibri"/>
        </w:rPr>
        <w:lastRenderedPageBreak/>
        <w:t xml:space="preserve">Исходя из </w:t>
      </w:r>
      <w:r w:rsidR="00E73FEA" w:rsidRPr="00274A92">
        <w:rPr>
          <w:rFonts w:eastAsia="Calibri"/>
        </w:rPr>
        <w:t xml:space="preserve">выше </w:t>
      </w:r>
      <w:r w:rsidRPr="00274A92">
        <w:rPr>
          <w:rFonts w:eastAsia="Calibri"/>
        </w:rPr>
        <w:t>приведенных данных, в 20</w:t>
      </w:r>
      <w:r w:rsidR="003A345B">
        <w:rPr>
          <w:rFonts w:eastAsia="Calibri"/>
        </w:rPr>
        <w:t>22</w:t>
      </w:r>
      <w:r w:rsidRPr="00274A92">
        <w:rPr>
          <w:rFonts w:eastAsia="Calibri"/>
        </w:rPr>
        <w:t>году</w:t>
      </w:r>
      <w:r w:rsidR="00B33CC1" w:rsidRPr="00274A92">
        <w:rPr>
          <w:rFonts w:eastAsia="Calibri"/>
        </w:rPr>
        <w:t>,</w:t>
      </w:r>
      <w:r w:rsidRPr="00274A92">
        <w:rPr>
          <w:rFonts w:eastAsia="Calibri"/>
        </w:rPr>
        <w:t xml:space="preserve"> </w:t>
      </w:r>
      <w:r w:rsidR="00B665A9">
        <w:rPr>
          <w:rFonts w:eastAsia="Calibri"/>
        </w:rPr>
        <w:t>как и в аналогичном периоде 20</w:t>
      </w:r>
      <w:r w:rsidR="003A345B">
        <w:rPr>
          <w:rFonts w:eastAsia="Calibri"/>
        </w:rPr>
        <w:t>21</w:t>
      </w:r>
      <w:r w:rsidR="00B665A9">
        <w:rPr>
          <w:rFonts w:eastAsia="Calibri"/>
        </w:rPr>
        <w:t xml:space="preserve"> </w:t>
      </w:r>
      <w:r w:rsidR="00B33CC1" w:rsidRPr="00274A92">
        <w:rPr>
          <w:rFonts w:eastAsia="Calibri"/>
        </w:rPr>
        <w:t xml:space="preserve">года, </w:t>
      </w:r>
      <w:r w:rsidRPr="00274A92">
        <w:rPr>
          <w:rFonts w:eastAsia="Calibri"/>
        </w:rPr>
        <w:t xml:space="preserve">наиболее распространенными способами определения поставщика (подрядчика, исполнителя) являются: </w:t>
      </w:r>
    </w:p>
    <w:p w:rsidR="00EA131C" w:rsidRPr="00274A92" w:rsidRDefault="00EA131C" w:rsidP="004C3FDB">
      <w:pPr>
        <w:numPr>
          <w:ilvl w:val="0"/>
          <w:numId w:val="4"/>
        </w:numPr>
        <w:autoSpaceDE w:val="0"/>
        <w:autoSpaceDN w:val="0"/>
        <w:adjustRightInd w:val="0"/>
        <w:ind w:left="0" w:firstLine="567"/>
        <w:jc w:val="both"/>
        <w:rPr>
          <w:rFonts w:eastAsia="Calibri"/>
        </w:rPr>
      </w:pPr>
      <w:r w:rsidRPr="00274A92">
        <w:rPr>
          <w:rStyle w:val="af"/>
          <w:rFonts w:cs="Times New Roman CYR"/>
          <w:b/>
          <w:color w:val="auto"/>
        </w:rPr>
        <w:t xml:space="preserve"> Электронный аукцион</w:t>
      </w:r>
      <w:r w:rsidRPr="00274A92">
        <w:rPr>
          <w:rFonts w:eastAsia="Calibri"/>
        </w:rPr>
        <w:t xml:space="preserve"> – </w:t>
      </w:r>
      <w:r w:rsidR="003A345B">
        <w:rPr>
          <w:rFonts w:eastAsia="Calibri"/>
          <w:b/>
        </w:rPr>
        <w:t>95,2</w:t>
      </w:r>
      <w:r w:rsidRPr="00B665A9">
        <w:rPr>
          <w:rFonts w:eastAsia="Calibri"/>
          <w:b/>
          <w:bCs/>
        </w:rPr>
        <w:t>%</w:t>
      </w:r>
      <w:r w:rsidRPr="00274A92">
        <w:rPr>
          <w:rFonts w:eastAsia="Calibri"/>
          <w:b/>
          <w:bCs/>
        </w:rPr>
        <w:t xml:space="preserve"> </w:t>
      </w:r>
      <w:r w:rsidR="006E69D8" w:rsidRPr="00274A92">
        <w:rPr>
          <w:rFonts w:eastAsia="Calibri"/>
          <w:b/>
          <w:bCs/>
        </w:rPr>
        <w:t xml:space="preserve"> </w:t>
      </w:r>
      <w:r w:rsidRPr="00274A92">
        <w:rPr>
          <w:rFonts w:eastAsia="Calibri"/>
        </w:rPr>
        <w:t xml:space="preserve">от общего количества </w:t>
      </w:r>
      <w:r w:rsidR="006E69D8" w:rsidRPr="00274A92">
        <w:rPr>
          <w:rFonts w:eastAsia="Calibri"/>
        </w:rPr>
        <w:t>извещений, размещенных в ЕИС</w:t>
      </w:r>
      <w:r w:rsidR="003A345B">
        <w:rPr>
          <w:rFonts w:eastAsia="Calibri"/>
        </w:rPr>
        <w:t>.</w:t>
      </w:r>
    </w:p>
    <w:p w:rsidR="003A345B" w:rsidRDefault="003A345B" w:rsidP="003A345B">
      <w:pPr>
        <w:jc w:val="both"/>
      </w:pPr>
      <w:r>
        <w:t xml:space="preserve">        По итогам 2022 года в сравнении с 2021 годом наблюдается увеличение доли опубликованных извещений (по количеству) по </w:t>
      </w:r>
      <w:r w:rsidRPr="003A345B">
        <w:rPr>
          <w:i/>
        </w:rPr>
        <w:t>электронным аукционам</w:t>
      </w:r>
      <w:r>
        <w:t xml:space="preserve"> на 5,6 процентных пунктов.</w:t>
      </w:r>
    </w:p>
    <w:p w:rsidR="003A345B" w:rsidRDefault="003A345B" w:rsidP="00134CA1">
      <w:pPr>
        <w:jc w:val="both"/>
        <w:rPr>
          <w:i/>
        </w:rPr>
      </w:pPr>
    </w:p>
    <w:p w:rsidR="00117E97" w:rsidRDefault="00134CA1" w:rsidP="00134CA1">
      <w:pPr>
        <w:jc w:val="both"/>
        <w:rPr>
          <w:i/>
        </w:rPr>
      </w:pPr>
      <w:r>
        <w:rPr>
          <w:i/>
        </w:rPr>
        <w:t xml:space="preserve">      </w:t>
      </w:r>
      <w:r w:rsidR="00117E97" w:rsidRPr="00F444F5">
        <w:rPr>
          <w:i/>
        </w:rPr>
        <w:t xml:space="preserve">Более наглядно информация </w:t>
      </w:r>
      <w:r w:rsidR="005D6326">
        <w:rPr>
          <w:i/>
        </w:rPr>
        <w:t>о долевом соотношении</w:t>
      </w:r>
      <w:r w:rsidR="00117E97" w:rsidRPr="00F444F5">
        <w:rPr>
          <w:i/>
        </w:rPr>
        <w:t xml:space="preserve"> опубликованных извещени</w:t>
      </w:r>
      <w:r w:rsidR="005D6326">
        <w:rPr>
          <w:i/>
        </w:rPr>
        <w:t>й</w:t>
      </w:r>
      <w:r w:rsidR="00117E97" w:rsidRPr="00F444F5">
        <w:rPr>
          <w:i/>
        </w:rPr>
        <w:t xml:space="preserve"> с разбивкой по способам определения поставщика (подрядчика, исполнителя) </w:t>
      </w:r>
      <w:r w:rsidR="00015F60">
        <w:rPr>
          <w:i/>
        </w:rPr>
        <w:t xml:space="preserve">в количественном  </w:t>
      </w:r>
      <w:r w:rsidR="005D6326">
        <w:rPr>
          <w:i/>
        </w:rPr>
        <w:t xml:space="preserve">обозначении представлена </w:t>
      </w:r>
      <w:r w:rsidR="00117E97" w:rsidRPr="00F444F5">
        <w:rPr>
          <w:i/>
        </w:rPr>
        <w:t xml:space="preserve"> на следующ</w:t>
      </w:r>
      <w:r w:rsidR="00C041B7">
        <w:rPr>
          <w:i/>
        </w:rPr>
        <w:t>ей</w:t>
      </w:r>
      <w:r w:rsidR="001D3672">
        <w:rPr>
          <w:i/>
        </w:rPr>
        <w:t xml:space="preserve"> диаграмм</w:t>
      </w:r>
      <w:r w:rsidR="00C041B7">
        <w:rPr>
          <w:i/>
        </w:rPr>
        <w:t>е</w:t>
      </w:r>
      <w:r w:rsidR="001D3672">
        <w:rPr>
          <w:i/>
        </w:rPr>
        <w:t>:</w:t>
      </w:r>
    </w:p>
    <w:p w:rsidR="001D3672" w:rsidRDefault="001D3672" w:rsidP="002710CA">
      <w:pPr>
        <w:spacing w:line="120" w:lineRule="auto"/>
        <w:ind w:firstLine="709"/>
        <w:jc w:val="both"/>
        <w:rPr>
          <w:i/>
        </w:rPr>
      </w:pPr>
    </w:p>
    <w:p w:rsidR="001D3672" w:rsidRPr="001D3672" w:rsidRDefault="001D3672" w:rsidP="001D3672">
      <w:pPr>
        <w:ind w:firstLine="709"/>
        <w:jc w:val="center"/>
        <w:rPr>
          <w:b/>
        </w:rPr>
      </w:pPr>
      <w:r w:rsidRPr="001D3672">
        <w:rPr>
          <w:b/>
        </w:rPr>
        <w:t xml:space="preserve">Диаграмма 1. Информация </w:t>
      </w:r>
      <w:r w:rsidR="005D6326">
        <w:rPr>
          <w:b/>
        </w:rPr>
        <w:t>о долевом соотношении опубликованных</w:t>
      </w:r>
      <w:r w:rsidRPr="001D3672">
        <w:rPr>
          <w:b/>
        </w:rPr>
        <w:t xml:space="preserve"> извещени</w:t>
      </w:r>
      <w:r w:rsidR="005D6326">
        <w:rPr>
          <w:b/>
        </w:rPr>
        <w:t>й</w:t>
      </w:r>
      <w:r w:rsidRPr="001D3672">
        <w:rPr>
          <w:b/>
        </w:rPr>
        <w:t xml:space="preserve"> с разбивкой по способам определения поставщика (подрядчика, исполнителя)</w:t>
      </w:r>
      <w:r w:rsidR="00DD5E70">
        <w:rPr>
          <w:b/>
        </w:rPr>
        <w:t xml:space="preserve"> в количественном обозначении</w:t>
      </w:r>
    </w:p>
    <w:p w:rsidR="00893008" w:rsidRDefault="00EA4943" w:rsidP="000F48DD">
      <w:pPr>
        <w:widowControl w:val="0"/>
        <w:tabs>
          <w:tab w:val="left" w:pos="709"/>
        </w:tabs>
        <w:ind w:right="-2"/>
        <w:jc w:val="both"/>
      </w:pPr>
      <w:r>
        <w:rPr>
          <w:noProof/>
        </w:rPr>
        <w:drawing>
          <wp:inline distT="0" distB="0" distL="0" distR="0">
            <wp:extent cx="5598795" cy="4166870"/>
            <wp:effectExtent l="0" t="0" r="1905" b="5080"/>
            <wp:docPr id="30" name="Объект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00893008" w:rsidRPr="00893008">
        <w:t xml:space="preserve"> </w:t>
      </w:r>
      <w:r w:rsidR="00893008">
        <w:t xml:space="preserve">  </w:t>
      </w:r>
    </w:p>
    <w:p w:rsidR="003A345B" w:rsidRPr="00274A92" w:rsidRDefault="003A345B" w:rsidP="003A345B">
      <w:pPr>
        <w:ind w:firstLine="567"/>
        <w:jc w:val="both"/>
        <w:rPr>
          <w:iCs/>
        </w:rPr>
      </w:pPr>
      <w:r w:rsidRPr="00274A92">
        <w:t xml:space="preserve">Преобладающим конкурентным способом  определения поставщика (подрядчика, исполнителя) остается </w:t>
      </w:r>
      <w:r w:rsidRPr="00274A92">
        <w:rPr>
          <w:b/>
          <w:i/>
        </w:rPr>
        <w:t>электронный аукцион</w:t>
      </w:r>
      <w:r w:rsidRPr="00274A92">
        <w:t xml:space="preserve">.  </w:t>
      </w:r>
      <w:r w:rsidRPr="00274A92">
        <w:rPr>
          <w:shd w:val="clear" w:color="auto" w:fill="FFFFFF"/>
        </w:rPr>
        <w:t>Несмотря на то, что в 2019 году в электронный вид перешли вообще все конкурентные закупки, аукцион в электронной форме остается самой популярной закупочной процедурой. Э</w:t>
      </w:r>
      <w:r w:rsidRPr="00274A92">
        <w:rPr>
          <w:iCs/>
        </w:rPr>
        <w:t xml:space="preserve">то одна из самых востребованных процедур, используемых заказчиками при осуществлении закупок товаров (работ, услуг) в целях обеспечения государственных и муниципальных нужд. </w:t>
      </w:r>
    </w:p>
    <w:p w:rsidR="003A345B" w:rsidRDefault="003A345B" w:rsidP="003A345B">
      <w:pPr>
        <w:ind w:firstLine="567"/>
        <w:jc w:val="both"/>
        <w:rPr>
          <w:iCs/>
          <w:color w:val="000000"/>
        </w:rPr>
      </w:pPr>
      <w:r w:rsidRPr="00274A92">
        <w:rPr>
          <w:iCs/>
        </w:rPr>
        <w:t>Электронный аукцион считается также самой прозрачной процедурой из всех способов определения поставщика. Его недостаток лишь в том, что критерием</w:t>
      </w:r>
      <w:r>
        <w:rPr>
          <w:iCs/>
          <w:color w:val="000000"/>
        </w:rPr>
        <w:t xml:space="preserve"> отбора на этапе торгов является лишь цена. Поэтому закупать посредством аукциона можно далеко не любые товары, работы или услуги, а лишь такие, для которых можно:</w:t>
      </w:r>
    </w:p>
    <w:p w:rsidR="003A345B" w:rsidRDefault="003A345B" w:rsidP="00456F59">
      <w:pPr>
        <w:numPr>
          <w:ilvl w:val="0"/>
          <w:numId w:val="14"/>
        </w:numPr>
        <w:ind w:left="0" w:firstLine="567"/>
        <w:jc w:val="both"/>
        <w:rPr>
          <w:iCs/>
          <w:color w:val="000000"/>
        </w:rPr>
      </w:pPr>
      <w:r>
        <w:rPr>
          <w:iCs/>
          <w:color w:val="000000"/>
        </w:rPr>
        <w:t xml:space="preserve"> Точно описать объект закупки;</w:t>
      </w:r>
    </w:p>
    <w:p w:rsidR="003A345B" w:rsidRDefault="003A345B" w:rsidP="00456F59">
      <w:pPr>
        <w:numPr>
          <w:ilvl w:val="0"/>
          <w:numId w:val="14"/>
        </w:numPr>
        <w:ind w:left="0" w:firstLine="567"/>
        <w:jc w:val="both"/>
        <w:rPr>
          <w:iCs/>
          <w:color w:val="000000"/>
        </w:rPr>
      </w:pPr>
      <w:r>
        <w:rPr>
          <w:iCs/>
          <w:color w:val="000000"/>
        </w:rPr>
        <w:lastRenderedPageBreak/>
        <w:t xml:space="preserve"> Оценить заявку исключительно по цене.</w:t>
      </w:r>
    </w:p>
    <w:p w:rsidR="003A345B" w:rsidRPr="008B1238" w:rsidRDefault="003A345B" w:rsidP="003A345B">
      <w:pPr>
        <w:spacing w:line="120" w:lineRule="auto"/>
        <w:jc w:val="both"/>
      </w:pPr>
    </w:p>
    <w:p w:rsidR="00AD6C11" w:rsidRDefault="00AD6C11" w:rsidP="005B582A">
      <w:pPr>
        <w:autoSpaceDE w:val="0"/>
        <w:autoSpaceDN w:val="0"/>
        <w:adjustRightInd w:val="0"/>
        <w:ind w:firstLine="425"/>
        <w:jc w:val="both"/>
      </w:pPr>
      <w:r w:rsidRPr="00437A8A">
        <w:t>Колич</w:t>
      </w:r>
      <w:r>
        <w:t xml:space="preserve">ественный объем размещенных извещений по другим конкурентным процедурам определения поставщика составил </w:t>
      </w:r>
      <w:r w:rsidR="00F76F76">
        <w:t xml:space="preserve"> </w:t>
      </w:r>
      <w:r w:rsidR="006E1183">
        <w:rPr>
          <w:b/>
        </w:rPr>
        <w:t>4,8</w:t>
      </w:r>
      <w:r w:rsidRPr="00FD6913">
        <w:rPr>
          <w:b/>
        </w:rPr>
        <w:t>%</w:t>
      </w:r>
      <w:r w:rsidR="00FD6913">
        <w:rPr>
          <w:b/>
        </w:rPr>
        <w:t xml:space="preserve"> </w:t>
      </w:r>
      <w:r w:rsidR="00FD6913">
        <w:t>(</w:t>
      </w:r>
      <w:r w:rsidR="006E1183">
        <w:t>Электронный конкурс</w:t>
      </w:r>
      <w:r w:rsidR="00FD6913">
        <w:t>)</w:t>
      </w:r>
      <w:r w:rsidR="006E1183">
        <w:t>.</w:t>
      </w:r>
      <w:r w:rsidR="00C37A69" w:rsidRPr="00274A92">
        <w:rPr>
          <w:rFonts w:eastAsia="Calibri"/>
        </w:rPr>
        <w:t xml:space="preserve"> </w:t>
      </w:r>
    </w:p>
    <w:p w:rsidR="00757544" w:rsidRPr="00976389" w:rsidRDefault="00757544" w:rsidP="00757544">
      <w:pPr>
        <w:autoSpaceDE w:val="0"/>
        <w:autoSpaceDN w:val="0"/>
        <w:adjustRightInd w:val="0"/>
        <w:jc w:val="both"/>
        <w:rPr>
          <w:rFonts w:eastAsia="Calibri"/>
          <w:color w:val="000000"/>
        </w:rPr>
      </w:pPr>
      <w:r>
        <w:rPr>
          <w:rFonts w:eastAsia="Calibri"/>
          <w:color w:val="000000"/>
        </w:rPr>
        <w:t xml:space="preserve">       По итогам 20</w:t>
      </w:r>
      <w:r w:rsidR="002C1AFE">
        <w:rPr>
          <w:rFonts w:eastAsia="Calibri"/>
          <w:color w:val="000000"/>
        </w:rPr>
        <w:t>22</w:t>
      </w:r>
      <w:r>
        <w:rPr>
          <w:rFonts w:eastAsia="Calibri"/>
          <w:color w:val="000000"/>
        </w:rPr>
        <w:t xml:space="preserve"> года отмечается  </w:t>
      </w:r>
      <w:r w:rsidRPr="008E269C">
        <w:rPr>
          <w:rFonts w:eastAsia="Calibri"/>
        </w:rPr>
        <w:t xml:space="preserve">существенное </w:t>
      </w:r>
      <w:r>
        <w:rPr>
          <w:rFonts w:eastAsia="Calibri"/>
        </w:rPr>
        <w:t>уменьшение</w:t>
      </w:r>
      <w:r w:rsidRPr="008E269C">
        <w:rPr>
          <w:rFonts w:eastAsia="Calibri"/>
        </w:rPr>
        <w:t xml:space="preserve"> количества объема</w:t>
      </w:r>
      <w:r>
        <w:rPr>
          <w:rFonts w:eastAsia="Calibri"/>
        </w:rPr>
        <w:t xml:space="preserve"> </w:t>
      </w:r>
      <w:r w:rsidRPr="008E269C">
        <w:rPr>
          <w:rFonts w:eastAsia="Calibri"/>
        </w:rPr>
        <w:t xml:space="preserve">закупок, проводимых в форме </w:t>
      </w:r>
      <w:r w:rsidRPr="008E269C">
        <w:rPr>
          <w:rFonts w:eastAsia="Calibri"/>
          <w:b/>
        </w:rPr>
        <w:t>конкурса в электронной форме</w:t>
      </w:r>
      <w:r w:rsidR="002C1AFE">
        <w:rPr>
          <w:rFonts w:eastAsia="Calibri"/>
          <w:b/>
        </w:rPr>
        <w:t xml:space="preserve"> </w:t>
      </w:r>
      <w:r w:rsidR="00231384" w:rsidRPr="00231384">
        <w:rPr>
          <w:rFonts w:eastAsia="Calibri"/>
        </w:rPr>
        <w:t xml:space="preserve">на </w:t>
      </w:r>
      <w:r w:rsidR="00231384">
        <w:rPr>
          <w:rFonts w:eastAsia="Calibri"/>
          <w:b/>
        </w:rPr>
        <w:t xml:space="preserve">42,9% </w:t>
      </w:r>
      <w:r w:rsidR="002C1AFE" w:rsidRPr="002C1AFE">
        <w:rPr>
          <w:rFonts w:eastAsia="Calibri"/>
        </w:rPr>
        <w:t>при</w:t>
      </w:r>
      <w:r w:rsidR="002C1AFE">
        <w:rPr>
          <w:rFonts w:eastAsia="Calibri"/>
          <w:b/>
        </w:rPr>
        <w:t xml:space="preserve"> </w:t>
      </w:r>
      <w:r w:rsidR="002C1AFE">
        <w:rPr>
          <w:rFonts w:eastAsia="Calibri"/>
          <w:color w:val="000000"/>
        </w:rPr>
        <w:t xml:space="preserve">одновременном увеличении стоимостного объема на </w:t>
      </w:r>
      <w:r w:rsidR="00231384">
        <w:rPr>
          <w:rFonts w:eastAsia="Calibri"/>
          <w:color w:val="000000"/>
        </w:rPr>
        <w:t xml:space="preserve"> </w:t>
      </w:r>
      <w:r w:rsidR="002C1AFE">
        <w:rPr>
          <w:rFonts w:eastAsia="Calibri"/>
          <w:b/>
          <w:color w:val="000000"/>
        </w:rPr>
        <w:t>65,7</w:t>
      </w:r>
      <w:r w:rsidR="002C1AFE" w:rsidRPr="00521571">
        <w:rPr>
          <w:rFonts w:eastAsia="Calibri"/>
          <w:b/>
          <w:color w:val="000000"/>
        </w:rPr>
        <w:t xml:space="preserve"> процентных</w:t>
      </w:r>
      <w:r w:rsidR="002C1AFE" w:rsidRPr="00ED7174">
        <w:rPr>
          <w:rFonts w:eastAsia="Calibri"/>
          <w:b/>
          <w:color w:val="000000"/>
        </w:rPr>
        <w:t xml:space="preserve"> пунктов</w:t>
      </w:r>
      <w:r w:rsidR="00976389">
        <w:rPr>
          <w:rFonts w:eastAsia="Calibri"/>
          <w:b/>
          <w:color w:val="000000"/>
        </w:rPr>
        <w:t xml:space="preserve"> </w:t>
      </w:r>
      <w:r w:rsidR="00976389" w:rsidRPr="00976389">
        <w:rPr>
          <w:rFonts w:eastAsia="Calibri"/>
          <w:color w:val="000000"/>
        </w:rPr>
        <w:t>по сравнению с базисным периодом</w:t>
      </w:r>
      <w:r w:rsidRPr="00976389">
        <w:rPr>
          <w:rFonts w:eastAsia="Calibri"/>
        </w:rPr>
        <w:t xml:space="preserve">. </w:t>
      </w:r>
    </w:p>
    <w:p w:rsidR="00976389" w:rsidRPr="00976389" w:rsidRDefault="00976389" w:rsidP="00976389">
      <w:pPr>
        <w:autoSpaceDE w:val="0"/>
        <w:autoSpaceDN w:val="0"/>
        <w:adjustRightInd w:val="0"/>
        <w:jc w:val="both"/>
        <w:rPr>
          <w:rFonts w:eastAsia="Calibri"/>
        </w:rPr>
      </w:pPr>
      <w:r>
        <w:rPr>
          <w:rFonts w:eastAsia="Calibri"/>
        </w:rPr>
        <w:t xml:space="preserve">        </w:t>
      </w:r>
      <w:r w:rsidRPr="00976389">
        <w:rPr>
          <w:rFonts w:eastAsia="Calibri"/>
        </w:rPr>
        <w:t>Указанное во многом обусловлено вступившими с начала отчетного</w:t>
      </w:r>
      <w:r>
        <w:rPr>
          <w:rFonts w:eastAsia="Calibri"/>
        </w:rPr>
        <w:t xml:space="preserve"> </w:t>
      </w:r>
      <w:r w:rsidRPr="00976389">
        <w:rPr>
          <w:rFonts w:eastAsia="Calibri"/>
        </w:rPr>
        <w:t xml:space="preserve">периода в силу изменениями </w:t>
      </w:r>
      <w:r w:rsidR="00225262">
        <w:rPr>
          <w:rFonts w:eastAsia="Calibri"/>
        </w:rPr>
        <w:t>Закона</w:t>
      </w:r>
      <w:r w:rsidRPr="00976389">
        <w:rPr>
          <w:rFonts w:eastAsia="Calibri"/>
        </w:rPr>
        <w:t xml:space="preserve"> № 44-ФЗ, предусматривающими </w:t>
      </w:r>
      <w:r w:rsidRPr="00976389">
        <w:rPr>
          <w:rFonts w:eastAsia="Calibri"/>
          <w:b/>
        </w:rPr>
        <w:t>сокращение</w:t>
      </w:r>
      <w:r>
        <w:rPr>
          <w:rFonts w:eastAsia="Calibri"/>
        </w:rPr>
        <w:t xml:space="preserve"> </w:t>
      </w:r>
      <w:r w:rsidRPr="00976389">
        <w:rPr>
          <w:rFonts w:eastAsia="Calibri"/>
        </w:rPr>
        <w:t>количества способов осуществления закупок</w:t>
      </w:r>
      <w:r>
        <w:rPr>
          <w:rFonts w:eastAsia="Calibri"/>
        </w:rPr>
        <w:t>.</w:t>
      </w:r>
    </w:p>
    <w:p w:rsidR="00976389" w:rsidRDefault="00976389" w:rsidP="00976389">
      <w:pPr>
        <w:autoSpaceDE w:val="0"/>
        <w:autoSpaceDN w:val="0"/>
        <w:adjustRightInd w:val="0"/>
        <w:jc w:val="both"/>
        <w:rPr>
          <w:rFonts w:eastAsia="Calibri"/>
        </w:rPr>
      </w:pPr>
      <w:r>
        <w:rPr>
          <w:rFonts w:eastAsia="Calibri"/>
        </w:rPr>
        <w:t xml:space="preserve">        С вступлением в силу основных положений </w:t>
      </w:r>
      <w:r w:rsidR="00225262">
        <w:rPr>
          <w:rFonts w:eastAsia="Calibri"/>
        </w:rPr>
        <w:t xml:space="preserve"> </w:t>
      </w:r>
      <w:r>
        <w:rPr>
          <w:rFonts w:eastAsia="Calibri"/>
        </w:rPr>
        <w:t xml:space="preserve">Федерального закона от </w:t>
      </w:r>
      <w:r w:rsidRPr="00976389">
        <w:rPr>
          <w:rFonts w:eastAsia="Calibri"/>
          <w:b/>
        </w:rPr>
        <w:t>02.07.2021 года №360-ФЗ</w:t>
      </w:r>
      <w:r>
        <w:rPr>
          <w:rFonts w:eastAsia="Calibri"/>
        </w:rPr>
        <w:t xml:space="preserve"> «О внесении изменений в отдельные законодательные акты Российской Федерации</w:t>
      </w:r>
      <w:r w:rsidR="00225262">
        <w:rPr>
          <w:rFonts w:eastAsia="Calibri"/>
        </w:rPr>
        <w:t xml:space="preserve">» </w:t>
      </w:r>
      <w:r>
        <w:rPr>
          <w:rFonts w:eastAsia="Calibri"/>
        </w:rPr>
        <w:t xml:space="preserve"> с 01.01.2022 года </w:t>
      </w:r>
      <w:r w:rsidRPr="00976389">
        <w:rPr>
          <w:rFonts w:eastAsia="Calibri"/>
          <w:b/>
        </w:rPr>
        <w:t>сократилось</w:t>
      </w:r>
      <w:r>
        <w:rPr>
          <w:rFonts w:eastAsia="Calibri"/>
        </w:rPr>
        <w:t xml:space="preserve"> количество конкурентных способов закупок, а именно: исключены такие способы определения поставщика как запрос предложений, конкурс с ограниченным участием</w:t>
      </w:r>
      <w:proofErr w:type="gramStart"/>
      <w:r>
        <w:rPr>
          <w:rFonts w:eastAsia="Calibri"/>
        </w:rPr>
        <w:t xml:space="preserve"> ,</w:t>
      </w:r>
      <w:proofErr w:type="gramEnd"/>
      <w:r>
        <w:rPr>
          <w:rFonts w:eastAsia="Calibri"/>
        </w:rPr>
        <w:t xml:space="preserve"> двухэтапный конкурс, закрытый конкурс с ограниченным участием, закрытый двухэтапный конкурс.</w:t>
      </w:r>
    </w:p>
    <w:p w:rsidR="005B582A" w:rsidRPr="00976389" w:rsidRDefault="00976389" w:rsidP="00976389">
      <w:pPr>
        <w:autoSpaceDE w:val="0"/>
        <w:autoSpaceDN w:val="0"/>
        <w:adjustRightInd w:val="0"/>
        <w:jc w:val="both"/>
        <w:rPr>
          <w:rFonts w:eastAsia="Calibri"/>
          <w:color w:val="000000"/>
        </w:rPr>
      </w:pPr>
      <w:r>
        <w:rPr>
          <w:rFonts w:eastAsia="Calibri"/>
        </w:rPr>
        <w:t xml:space="preserve">       </w:t>
      </w:r>
      <w:r w:rsidRPr="00976389">
        <w:rPr>
          <w:rFonts w:eastAsia="Calibri"/>
        </w:rPr>
        <w:t xml:space="preserve">При этом наряду с указанным </w:t>
      </w:r>
      <w:r w:rsidRPr="00976389">
        <w:rPr>
          <w:rFonts w:eastAsia="Calibri"/>
          <w:b/>
        </w:rPr>
        <w:t>электронный аукцион</w:t>
      </w:r>
      <w:r w:rsidRPr="00976389">
        <w:rPr>
          <w:rFonts w:eastAsia="Calibri"/>
        </w:rPr>
        <w:t xml:space="preserve"> по-прежнему остается</w:t>
      </w:r>
      <w:r>
        <w:rPr>
          <w:rFonts w:eastAsia="Calibri"/>
        </w:rPr>
        <w:t xml:space="preserve"> </w:t>
      </w:r>
      <w:r w:rsidRPr="00976389">
        <w:rPr>
          <w:rFonts w:eastAsia="Calibri"/>
        </w:rPr>
        <w:t>наиболее распространенным конкурентным способом определения поставщика</w:t>
      </w:r>
      <w:r>
        <w:rPr>
          <w:rFonts w:eastAsia="Calibri"/>
        </w:rPr>
        <w:t xml:space="preserve"> </w:t>
      </w:r>
      <w:r w:rsidRPr="00976389">
        <w:rPr>
          <w:rFonts w:eastAsia="Calibri"/>
        </w:rPr>
        <w:t>(подрядчика, исполнителя);</w:t>
      </w:r>
    </w:p>
    <w:p w:rsidR="00231384" w:rsidRDefault="00231384" w:rsidP="00231384">
      <w:pPr>
        <w:autoSpaceDE w:val="0"/>
        <w:autoSpaceDN w:val="0"/>
        <w:adjustRightInd w:val="0"/>
        <w:ind w:firstLine="425"/>
        <w:jc w:val="both"/>
        <w:rPr>
          <w:rFonts w:eastAsia="Calibri"/>
          <w:color w:val="000000"/>
        </w:rPr>
      </w:pPr>
      <w:r>
        <w:rPr>
          <w:rFonts w:eastAsia="Calibri"/>
          <w:color w:val="000000"/>
        </w:rPr>
        <w:t xml:space="preserve"> </w:t>
      </w:r>
      <w:r w:rsidRPr="000F2068">
        <w:rPr>
          <w:rFonts w:eastAsia="Calibri"/>
          <w:color w:val="000000"/>
        </w:rPr>
        <w:t>В целом по сравнению с аналогичным периодом 20</w:t>
      </w:r>
      <w:r>
        <w:rPr>
          <w:rFonts w:eastAsia="Calibri"/>
          <w:color w:val="000000"/>
        </w:rPr>
        <w:t>21</w:t>
      </w:r>
      <w:r w:rsidRPr="000F2068">
        <w:rPr>
          <w:rFonts w:eastAsia="Calibri"/>
          <w:color w:val="000000"/>
        </w:rPr>
        <w:t xml:space="preserve"> года выявлена следующая динамика</w:t>
      </w:r>
      <w:r>
        <w:rPr>
          <w:rFonts w:eastAsia="Calibri"/>
          <w:color w:val="000000"/>
        </w:rPr>
        <w:t xml:space="preserve"> изменений распределения закупок по способам определения поставщиков (подрядчиков, исполнителей)</w:t>
      </w:r>
      <w:r w:rsidRPr="000F2068">
        <w:rPr>
          <w:rFonts w:eastAsia="Calibri"/>
          <w:color w:val="000000"/>
        </w:rPr>
        <w:t xml:space="preserve">. </w:t>
      </w:r>
    </w:p>
    <w:p w:rsidR="00231384" w:rsidRPr="00660709" w:rsidRDefault="00231384" w:rsidP="00456F59">
      <w:pPr>
        <w:numPr>
          <w:ilvl w:val="0"/>
          <w:numId w:val="24"/>
        </w:numPr>
        <w:autoSpaceDE w:val="0"/>
        <w:autoSpaceDN w:val="0"/>
        <w:adjustRightInd w:val="0"/>
        <w:ind w:left="0" w:firstLine="426"/>
        <w:jc w:val="both"/>
        <w:rPr>
          <w:rFonts w:eastAsia="Calibri"/>
          <w:color w:val="000000"/>
        </w:rPr>
      </w:pPr>
      <w:r w:rsidRPr="00660709">
        <w:rPr>
          <w:rFonts w:eastAsia="Calibri"/>
          <w:b/>
          <w:color w:val="000000"/>
        </w:rPr>
        <w:t>Увеличение количества закупок</w:t>
      </w:r>
      <w:r w:rsidRPr="00660709">
        <w:rPr>
          <w:rFonts w:eastAsia="Calibri"/>
          <w:color w:val="000000"/>
        </w:rPr>
        <w:t xml:space="preserve">, произошло путем проведения: </w:t>
      </w:r>
    </w:p>
    <w:p w:rsidR="00231384" w:rsidRDefault="00231384" w:rsidP="00231384">
      <w:pPr>
        <w:widowControl w:val="0"/>
        <w:tabs>
          <w:tab w:val="left" w:pos="709"/>
        </w:tabs>
        <w:ind w:firstLine="425"/>
        <w:jc w:val="both"/>
        <w:rPr>
          <w:rFonts w:eastAsia="Calibri"/>
          <w:color w:val="000000"/>
        </w:rPr>
      </w:pPr>
      <w:r w:rsidRPr="00660709">
        <w:rPr>
          <w:rFonts w:eastAsia="Calibri"/>
          <w:color w:val="000000"/>
        </w:rPr>
        <w:t xml:space="preserve">-  </w:t>
      </w:r>
      <w:r w:rsidRPr="000F2068">
        <w:rPr>
          <w:rFonts w:eastAsia="Calibri"/>
          <w:color w:val="000000"/>
        </w:rPr>
        <w:t>электронного аукциона</w:t>
      </w:r>
      <w:r>
        <w:rPr>
          <w:rFonts w:eastAsia="Calibri"/>
          <w:color w:val="000000"/>
        </w:rPr>
        <w:t xml:space="preserve"> (на 23,2%);</w:t>
      </w:r>
    </w:p>
    <w:p w:rsidR="00231384" w:rsidRPr="000F2068" w:rsidRDefault="00231384" w:rsidP="00456F59">
      <w:pPr>
        <w:numPr>
          <w:ilvl w:val="0"/>
          <w:numId w:val="24"/>
        </w:numPr>
        <w:autoSpaceDE w:val="0"/>
        <w:autoSpaceDN w:val="0"/>
        <w:adjustRightInd w:val="0"/>
        <w:ind w:left="0" w:firstLine="426"/>
        <w:jc w:val="both"/>
        <w:rPr>
          <w:rFonts w:eastAsia="Calibri"/>
          <w:color w:val="000000"/>
        </w:rPr>
      </w:pPr>
      <w:r w:rsidRPr="000F2068">
        <w:rPr>
          <w:rFonts w:eastAsia="Calibri"/>
          <w:b/>
          <w:color w:val="000000"/>
        </w:rPr>
        <w:t>Уменьшение количества</w:t>
      </w:r>
      <w:r w:rsidRPr="000F2068">
        <w:rPr>
          <w:rFonts w:eastAsia="Calibri"/>
          <w:color w:val="000000"/>
        </w:rPr>
        <w:t xml:space="preserve"> </w:t>
      </w:r>
      <w:r w:rsidRPr="000F2068">
        <w:rPr>
          <w:rFonts w:eastAsia="Calibri"/>
          <w:b/>
          <w:color w:val="000000"/>
        </w:rPr>
        <w:t>закупок</w:t>
      </w:r>
      <w:r w:rsidRPr="000F2068">
        <w:rPr>
          <w:rFonts w:eastAsia="Calibri"/>
          <w:color w:val="000000"/>
        </w:rPr>
        <w:t xml:space="preserve">, путем проведения: </w:t>
      </w:r>
    </w:p>
    <w:p w:rsidR="00231384" w:rsidRDefault="00231384" w:rsidP="00231384">
      <w:pPr>
        <w:widowControl w:val="0"/>
        <w:tabs>
          <w:tab w:val="left" w:pos="709"/>
        </w:tabs>
        <w:ind w:firstLine="425"/>
        <w:jc w:val="both"/>
        <w:rPr>
          <w:rFonts w:eastAsia="Calibri"/>
          <w:color w:val="000000"/>
        </w:rPr>
      </w:pPr>
      <w:r>
        <w:rPr>
          <w:rFonts w:eastAsia="Calibri"/>
          <w:color w:val="000000"/>
        </w:rPr>
        <w:t xml:space="preserve">    </w:t>
      </w:r>
      <w:r w:rsidRPr="000F2068">
        <w:rPr>
          <w:rFonts w:eastAsia="Calibri"/>
          <w:color w:val="000000"/>
        </w:rPr>
        <w:t xml:space="preserve">- </w:t>
      </w:r>
      <w:r>
        <w:rPr>
          <w:rFonts w:eastAsia="Calibri"/>
          <w:color w:val="000000"/>
        </w:rPr>
        <w:t>электронного запроса котировок (на 1 ед.)</w:t>
      </w:r>
      <w:r w:rsidRPr="00660709">
        <w:rPr>
          <w:rFonts w:eastAsia="Calibri"/>
          <w:color w:val="000000"/>
        </w:rPr>
        <w:t xml:space="preserve">; </w:t>
      </w:r>
    </w:p>
    <w:p w:rsidR="00231384" w:rsidRDefault="00231384" w:rsidP="00231384">
      <w:pPr>
        <w:autoSpaceDE w:val="0"/>
        <w:autoSpaceDN w:val="0"/>
        <w:adjustRightInd w:val="0"/>
        <w:ind w:firstLine="709"/>
        <w:jc w:val="both"/>
        <w:rPr>
          <w:rFonts w:eastAsia="Calibri"/>
          <w:color w:val="000000"/>
        </w:rPr>
      </w:pPr>
      <w:r>
        <w:rPr>
          <w:rFonts w:eastAsia="Calibri"/>
          <w:color w:val="000000"/>
        </w:rPr>
        <w:t>- электронного конкурса (на 42,9%).</w:t>
      </w:r>
    </w:p>
    <w:p w:rsidR="00231384" w:rsidRDefault="00231384" w:rsidP="00231384">
      <w:pPr>
        <w:autoSpaceDE w:val="0"/>
        <w:autoSpaceDN w:val="0"/>
        <w:adjustRightInd w:val="0"/>
        <w:ind w:firstLine="426"/>
        <w:jc w:val="both"/>
        <w:rPr>
          <w:rFonts w:eastAsia="Calibri"/>
          <w:color w:val="000000"/>
        </w:rPr>
      </w:pPr>
      <w:r>
        <w:t xml:space="preserve">В отчетном периоде 2022 года закупок путем проведения </w:t>
      </w:r>
      <w:r w:rsidRPr="002D4619">
        <w:rPr>
          <w:i/>
        </w:rPr>
        <w:t>Запрос котировок в электронной форме</w:t>
      </w:r>
      <w:r w:rsidRPr="00D90145">
        <w:rPr>
          <w:i/>
        </w:rPr>
        <w:t xml:space="preserve"> </w:t>
      </w:r>
      <w:r>
        <w:rPr>
          <w:i/>
        </w:rPr>
        <w:t xml:space="preserve"> </w:t>
      </w:r>
      <w:r>
        <w:t>виде не осуществлялось. (В 2021 года доля закупок, осуществленных  путем запроса котировок  составляла 0,7% - 1 извещение).</w:t>
      </w:r>
    </w:p>
    <w:p w:rsidR="00231384" w:rsidRPr="00DE42E7" w:rsidRDefault="00231384" w:rsidP="00231384">
      <w:pPr>
        <w:widowControl w:val="0"/>
        <w:tabs>
          <w:tab w:val="left" w:pos="709"/>
        </w:tabs>
        <w:ind w:firstLine="425"/>
        <w:jc w:val="both"/>
      </w:pPr>
      <w:r>
        <w:t xml:space="preserve">Снижение </w:t>
      </w:r>
      <w:r w:rsidRPr="00DE42E7">
        <w:t xml:space="preserve">количества опубликованных извещений </w:t>
      </w:r>
      <w:r>
        <w:t xml:space="preserve">по </w:t>
      </w:r>
      <w:r w:rsidRPr="00DE42E7">
        <w:rPr>
          <w:b/>
        </w:rPr>
        <w:t>запросу котировок</w:t>
      </w:r>
      <w:r>
        <w:t xml:space="preserve"> может быть обусловлено тем, что</w:t>
      </w:r>
      <w:r w:rsidRPr="00DE42E7">
        <w:t xml:space="preserve"> существующий правовой механизм проведения заказчиками запроса котировок в электронной форме зарекомендовал себя недостаточно эффективно (выявлен ряд факторов и особенностей, затрудняющих удовлетворение нужд заказчиков в максимально кратчайшие для них сроки</w:t>
      </w:r>
      <w:proofErr w:type="gramStart"/>
      <w:r>
        <w:t xml:space="preserve"> </w:t>
      </w:r>
      <w:r w:rsidRPr="00DE42E7">
        <w:t>,</w:t>
      </w:r>
      <w:proofErr w:type="gramEnd"/>
      <w:r w:rsidRPr="00DE42E7">
        <w:t xml:space="preserve"> невозможность изменения заказчиком условий контракта и др.)</w:t>
      </w:r>
      <w:r>
        <w:t>,</w:t>
      </w:r>
      <w:r w:rsidRPr="00DE42E7">
        <w:t xml:space="preserve"> </w:t>
      </w:r>
      <w:r>
        <w:t xml:space="preserve">в связи с этим  </w:t>
      </w:r>
      <w:r w:rsidRPr="00DE42E7">
        <w:t>в 2</w:t>
      </w:r>
      <w:r>
        <w:t>022</w:t>
      </w:r>
      <w:r w:rsidRPr="00DE42E7">
        <w:t xml:space="preserve"> году этот способ закупки заказчиками стал использоваться гораздо реже</w:t>
      </w:r>
      <w:proofErr w:type="gramStart"/>
      <w:r>
        <w:t xml:space="preserve"> </w:t>
      </w:r>
      <w:r w:rsidRPr="00DE42E7">
        <w:t>,</w:t>
      </w:r>
      <w:proofErr w:type="gramEnd"/>
      <w:r w:rsidRPr="00DE42E7">
        <w:t xml:space="preserve"> что также привело к уменьшению количества закупок.</w:t>
      </w:r>
    </w:p>
    <w:p w:rsidR="00231384" w:rsidRDefault="00231384" w:rsidP="00225262">
      <w:pPr>
        <w:autoSpaceDE w:val="0"/>
        <w:autoSpaceDN w:val="0"/>
        <w:adjustRightInd w:val="0"/>
        <w:spacing w:line="120" w:lineRule="auto"/>
        <w:jc w:val="both"/>
      </w:pPr>
    </w:p>
    <w:p w:rsidR="001817DE" w:rsidRDefault="00893008" w:rsidP="004B731F">
      <w:pPr>
        <w:widowControl w:val="0"/>
        <w:tabs>
          <w:tab w:val="left" w:pos="709"/>
        </w:tabs>
        <w:jc w:val="center"/>
        <w:rPr>
          <w:sz w:val="22"/>
          <w:szCs w:val="22"/>
        </w:rPr>
      </w:pPr>
      <w:r w:rsidRPr="00823DF3">
        <w:rPr>
          <w:i/>
        </w:rPr>
        <w:t xml:space="preserve">Сведения о суммарном объеме </w:t>
      </w:r>
      <w:r w:rsidR="004B731F">
        <w:rPr>
          <w:i/>
        </w:rPr>
        <w:t>размещенных извещений</w:t>
      </w:r>
      <w:r w:rsidRPr="00823DF3">
        <w:rPr>
          <w:i/>
        </w:rPr>
        <w:t xml:space="preserve"> в 20</w:t>
      </w:r>
      <w:r w:rsidR="00231384">
        <w:rPr>
          <w:i/>
        </w:rPr>
        <w:t>22</w:t>
      </w:r>
      <w:r w:rsidR="00823DF3" w:rsidRPr="00823DF3">
        <w:rPr>
          <w:i/>
        </w:rPr>
        <w:t xml:space="preserve"> </w:t>
      </w:r>
      <w:r w:rsidRPr="00823DF3">
        <w:rPr>
          <w:i/>
        </w:rPr>
        <w:t xml:space="preserve"> году, в </w:t>
      </w:r>
      <w:r w:rsidR="004B731F">
        <w:rPr>
          <w:i/>
        </w:rPr>
        <w:t xml:space="preserve">разрезе способов </w:t>
      </w:r>
      <w:r w:rsidRPr="00823DF3">
        <w:rPr>
          <w:i/>
        </w:rPr>
        <w:t xml:space="preserve"> определения поставщика (подрядчика, исполнителя) представлены в таблице </w:t>
      </w:r>
      <w:r w:rsidR="00B63EFB">
        <w:rPr>
          <w:i/>
        </w:rPr>
        <w:t>4</w:t>
      </w:r>
      <w:r w:rsidRPr="00823DF3">
        <w:rPr>
          <w:i/>
        </w:rPr>
        <w:t>:</w:t>
      </w:r>
      <w:r>
        <w:rPr>
          <w:sz w:val="22"/>
          <w:szCs w:val="22"/>
        </w:rPr>
        <w:t xml:space="preserve">    </w:t>
      </w:r>
    </w:p>
    <w:p w:rsidR="00866234" w:rsidRDefault="001817DE" w:rsidP="00866234">
      <w:pPr>
        <w:widowControl w:val="0"/>
        <w:tabs>
          <w:tab w:val="left" w:pos="709"/>
        </w:tabs>
        <w:spacing w:line="120" w:lineRule="auto"/>
        <w:ind w:firstLine="567"/>
        <w:jc w:val="center"/>
        <w:rPr>
          <w:sz w:val="22"/>
          <w:szCs w:val="22"/>
        </w:rPr>
      </w:pPr>
      <w:r>
        <w:rPr>
          <w:sz w:val="22"/>
          <w:szCs w:val="22"/>
        </w:rPr>
        <w:t xml:space="preserve">                                                                                                                                        </w:t>
      </w:r>
    </w:p>
    <w:p w:rsidR="00893008" w:rsidRPr="00EB72B4" w:rsidRDefault="001817DE" w:rsidP="00225262">
      <w:pPr>
        <w:widowControl w:val="0"/>
        <w:tabs>
          <w:tab w:val="left" w:pos="709"/>
        </w:tabs>
        <w:rPr>
          <w:sz w:val="22"/>
          <w:szCs w:val="22"/>
        </w:rPr>
      </w:pPr>
      <w:r>
        <w:rPr>
          <w:sz w:val="22"/>
          <w:szCs w:val="22"/>
        </w:rPr>
        <w:t xml:space="preserve">  </w:t>
      </w:r>
      <w:r w:rsidR="00823DF3" w:rsidRPr="001A40C4">
        <w:rPr>
          <w:b/>
          <w:sz w:val="20"/>
          <w:szCs w:val="20"/>
        </w:rPr>
        <w:t xml:space="preserve">Таблица </w:t>
      </w:r>
      <w:r w:rsidR="00B63EFB">
        <w:rPr>
          <w:b/>
          <w:sz w:val="20"/>
          <w:szCs w:val="20"/>
        </w:rPr>
        <w:t>4</w:t>
      </w:r>
      <w:r w:rsidR="00893008">
        <w:rPr>
          <w:sz w:val="22"/>
          <w:szCs w:val="22"/>
        </w:rPr>
        <w:t xml:space="preserve">                      </w:t>
      </w:r>
      <w:r w:rsidR="00225262">
        <w:rPr>
          <w:sz w:val="22"/>
          <w:szCs w:val="22"/>
        </w:rPr>
        <w:t xml:space="preserve">                                                                                                                 </w:t>
      </w:r>
      <w:r w:rsidR="00225262" w:rsidRPr="00225262">
        <w:rPr>
          <w:b/>
          <w:sz w:val="22"/>
          <w:szCs w:val="22"/>
        </w:rPr>
        <w:t>тыс. руб</w:t>
      </w:r>
      <w:r w:rsidR="00225262">
        <w:rPr>
          <w:sz w:val="22"/>
          <w:szCs w:val="22"/>
        </w:rPr>
        <w:t>.</w:t>
      </w:r>
      <w:r w:rsidR="00893008">
        <w:rPr>
          <w:sz w:val="22"/>
          <w:szCs w:val="22"/>
        </w:rPr>
        <w:t xml:space="preserve">                                                                                      </w:t>
      </w:r>
    </w:p>
    <w:tbl>
      <w:tblPr>
        <w:tblpPr w:leftFromText="180" w:rightFromText="180" w:vertAnchor="text" w:horzAnchor="margin" w:tblpXSpec="center" w:tblpY="254"/>
        <w:tblW w:w="9404" w:type="dxa"/>
        <w:tblLayout w:type="fixed"/>
        <w:tblLook w:val="00A0" w:firstRow="1" w:lastRow="0" w:firstColumn="1" w:lastColumn="0" w:noHBand="0" w:noVBand="0"/>
      </w:tblPr>
      <w:tblGrid>
        <w:gridCol w:w="3658"/>
        <w:gridCol w:w="3316"/>
        <w:gridCol w:w="2430"/>
      </w:tblGrid>
      <w:tr w:rsidR="00893008" w:rsidRPr="002B7FA2" w:rsidTr="00231384">
        <w:trPr>
          <w:trHeight w:val="253"/>
          <w:tblHeader/>
        </w:trPr>
        <w:tc>
          <w:tcPr>
            <w:tcW w:w="3658" w:type="dxa"/>
            <w:vMerge w:val="restart"/>
            <w:tcBorders>
              <w:top w:val="single" w:sz="8" w:space="0" w:color="auto"/>
              <w:left w:val="single" w:sz="8" w:space="0" w:color="auto"/>
              <w:bottom w:val="single" w:sz="8" w:space="0" w:color="000000"/>
              <w:right w:val="single" w:sz="4" w:space="0" w:color="auto"/>
            </w:tcBorders>
            <w:shd w:val="clear" w:color="auto" w:fill="EEECE1" w:themeFill="background2"/>
            <w:tcMar>
              <w:top w:w="0" w:type="dxa"/>
              <w:left w:w="28" w:type="dxa"/>
              <w:bottom w:w="0" w:type="dxa"/>
              <w:right w:w="28" w:type="dxa"/>
            </w:tcMar>
            <w:vAlign w:val="center"/>
          </w:tcPr>
          <w:p w:rsidR="00893008" w:rsidRPr="00FD43FE" w:rsidRDefault="00893008" w:rsidP="00B63EFB">
            <w:pPr>
              <w:jc w:val="center"/>
              <w:rPr>
                <w:b/>
                <w:bCs/>
                <w:sz w:val="18"/>
                <w:szCs w:val="18"/>
              </w:rPr>
            </w:pPr>
          </w:p>
          <w:p w:rsidR="00893008" w:rsidRPr="00FD43FE" w:rsidRDefault="00893008" w:rsidP="00B63EFB">
            <w:pPr>
              <w:jc w:val="center"/>
              <w:rPr>
                <w:b/>
                <w:bCs/>
                <w:sz w:val="18"/>
                <w:szCs w:val="18"/>
              </w:rPr>
            </w:pPr>
            <w:r w:rsidRPr="00FD43FE">
              <w:rPr>
                <w:b/>
                <w:bCs/>
                <w:sz w:val="18"/>
                <w:szCs w:val="18"/>
              </w:rPr>
              <w:t>Способы закупок</w:t>
            </w:r>
          </w:p>
        </w:tc>
        <w:tc>
          <w:tcPr>
            <w:tcW w:w="3316" w:type="dxa"/>
            <w:vMerge w:val="restart"/>
            <w:tcBorders>
              <w:top w:val="single" w:sz="8" w:space="0" w:color="auto"/>
              <w:left w:val="nil"/>
              <w:right w:val="single" w:sz="4" w:space="0" w:color="auto"/>
            </w:tcBorders>
            <w:shd w:val="clear" w:color="auto" w:fill="EEECE1" w:themeFill="background2"/>
            <w:tcMar>
              <w:top w:w="0" w:type="dxa"/>
              <w:left w:w="28" w:type="dxa"/>
              <w:bottom w:w="0" w:type="dxa"/>
              <w:right w:w="28" w:type="dxa"/>
            </w:tcMar>
            <w:vAlign w:val="center"/>
          </w:tcPr>
          <w:p w:rsidR="00893008" w:rsidRPr="00FD43FE" w:rsidRDefault="00893008" w:rsidP="00B63EFB">
            <w:pPr>
              <w:jc w:val="center"/>
              <w:rPr>
                <w:b/>
                <w:bCs/>
                <w:sz w:val="18"/>
                <w:szCs w:val="18"/>
              </w:rPr>
            </w:pPr>
            <w:r w:rsidRPr="00FD43FE">
              <w:rPr>
                <w:b/>
                <w:bCs/>
                <w:sz w:val="18"/>
                <w:szCs w:val="18"/>
              </w:rPr>
              <w:t>Суммарная начальная (максимальная) цена контрактов     тыс. руб.</w:t>
            </w:r>
          </w:p>
        </w:tc>
        <w:tc>
          <w:tcPr>
            <w:tcW w:w="2430" w:type="dxa"/>
            <w:vMerge w:val="restart"/>
            <w:tcBorders>
              <w:top w:val="single" w:sz="8" w:space="0" w:color="auto"/>
              <w:left w:val="single" w:sz="4" w:space="0" w:color="auto"/>
              <w:right w:val="single" w:sz="8" w:space="0" w:color="auto"/>
            </w:tcBorders>
            <w:shd w:val="clear" w:color="auto" w:fill="EEECE1" w:themeFill="background2"/>
            <w:tcMar>
              <w:top w:w="0" w:type="dxa"/>
              <w:left w:w="28" w:type="dxa"/>
              <w:bottom w:w="0" w:type="dxa"/>
              <w:right w:w="28" w:type="dxa"/>
            </w:tcMar>
            <w:vAlign w:val="center"/>
          </w:tcPr>
          <w:p w:rsidR="00893008" w:rsidRPr="00FD43FE" w:rsidRDefault="00893008" w:rsidP="00B63EFB">
            <w:pPr>
              <w:jc w:val="center"/>
              <w:rPr>
                <w:b/>
                <w:bCs/>
                <w:sz w:val="18"/>
                <w:szCs w:val="18"/>
              </w:rPr>
            </w:pPr>
            <w:r w:rsidRPr="00FD43FE">
              <w:rPr>
                <w:b/>
                <w:bCs/>
                <w:sz w:val="18"/>
                <w:szCs w:val="18"/>
              </w:rPr>
              <w:t xml:space="preserve">Доля в общем объеме закупок       </w:t>
            </w:r>
          </w:p>
          <w:p w:rsidR="00893008" w:rsidRPr="00FD43FE" w:rsidRDefault="00893008" w:rsidP="00B63EFB">
            <w:pPr>
              <w:jc w:val="center"/>
              <w:rPr>
                <w:b/>
                <w:bCs/>
                <w:sz w:val="18"/>
                <w:szCs w:val="18"/>
              </w:rPr>
            </w:pPr>
            <w:r w:rsidRPr="00FD43FE">
              <w:rPr>
                <w:b/>
                <w:bCs/>
                <w:sz w:val="18"/>
                <w:szCs w:val="18"/>
              </w:rPr>
              <w:t>%</w:t>
            </w:r>
          </w:p>
        </w:tc>
      </w:tr>
      <w:tr w:rsidR="00893008" w:rsidRPr="002B7FA2" w:rsidTr="00231384">
        <w:trPr>
          <w:trHeight w:val="415"/>
          <w:tblHeader/>
        </w:trPr>
        <w:tc>
          <w:tcPr>
            <w:tcW w:w="3658" w:type="dxa"/>
            <w:vMerge/>
            <w:tcBorders>
              <w:top w:val="single" w:sz="8" w:space="0" w:color="auto"/>
              <w:left w:val="single" w:sz="8" w:space="0" w:color="auto"/>
              <w:bottom w:val="single" w:sz="8" w:space="0" w:color="000000"/>
              <w:right w:val="single" w:sz="4" w:space="0" w:color="auto"/>
            </w:tcBorders>
            <w:shd w:val="clear" w:color="auto" w:fill="EEECE1" w:themeFill="background2"/>
            <w:vAlign w:val="center"/>
          </w:tcPr>
          <w:p w:rsidR="00893008" w:rsidRPr="002B7FA2" w:rsidRDefault="00893008" w:rsidP="00B63EFB">
            <w:pPr>
              <w:rPr>
                <w:b/>
                <w:bCs/>
                <w:sz w:val="18"/>
                <w:szCs w:val="20"/>
              </w:rPr>
            </w:pPr>
          </w:p>
        </w:tc>
        <w:tc>
          <w:tcPr>
            <w:tcW w:w="3316" w:type="dxa"/>
            <w:vMerge/>
            <w:tcBorders>
              <w:left w:val="nil"/>
              <w:bottom w:val="single" w:sz="8" w:space="0" w:color="auto"/>
              <w:right w:val="single" w:sz="4" w:space="0" w:color="auto"/>
            </w:tcBorders>
            <w:shd w:val="clear" w:color="auto" w:fill="EEECE1" w:themeFill="background2"/>
            <w:tcMar>
              <w:top w:w="0" w:type="dxa"/>
              <w:left w:w="28" w:type="dxa"/>
              <w:bottom w:w="0" w:type="dxa"/>
              <w:right w:w="28" w:type="dxa"/>
            </w:tcMar>
            <w:vAlign w:val="center"/>
          </w:tcPr>
          <w:p w:rsidR="00893008" w:rsidRPr="002B7FA2" w:rsidRDefault="00893008" w:rsidP="00B63EFB">
            <w:pPr>
              <w:jc w:val="center"/>
              <w:rPr>
                <w:b/>
                <w:bCs/>
                <w:sz w:val="18"/>
                <w:szCs w:val="20"/>
              </w:rPr>
            </w:pPr>
          </w:p>
        </w:tc>
        <w:tc>
          <w:tcPr>
            <w:tcW w:w="2430" w:type="dxa"/>
            <w:vMerge/>
            <w:tcBorders>
              <w:left w:val="single" w:sz="4" w:space="0" w:color="auto"/>
              <w:bottom w:val="single" w:sz="8" w:space="0" w:color="000000"/>
              <w:right w:val="single" w:sz="8" w:space="0" w:color="auto"/>
            </w:tcBorders>
            <w:shd w:val="clear" w:color="auto" w:fill="EEECE1" w:themeFill="background2"/>
            <w:vAlign w:val="center"/>
          </w:tcPr>
          <w:p w:rsidR="00893008" w:rsidRPr="002B7FA2" w:rsidRDefault="00893008" w:rsidP="00B63EFB">
            <w:pPr>
              <w:rPr>
                <w:b/>
                <w:bCs/>
                <w:sz w:val="18"/>
                <w:szCs w:val="20"/>
              </w:rPr>
            </w:pPr>
          </w:p>
        </w:tc>
      </w:tr>
      <w:tr w:rsidR="00893008" w:rsidRPr="00D154DB" w:rsidTr="00535A85">
        <w:trPr>
          <w:trHeight w:val="89"/>
          <w:tblHeader/>
        </w:trPr>
        <w:tc>
          <w:tcPr>
            <w:tcW w:w="3658"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893008" w:rsidRPr="00D154DB" w:rsidRDefault="00893008" w:rsidP="00B63EFB">
            <w:pPr>
              <w:jc w:val="center"/>
              <w:rPr>
                <w:b/>
                <w:sz w:val="18"/>
                <w:szCs w:val="20"/>
              </w:rPr>
            </w:pPr>
            <w:r w:rsidRPr="00D154DB">
              <w:rPr>
                <w:b/>
                <w:sz w:val="18"/>
                <w:szCs w:val="20"/>
              </w:rPr>
              <w:t>1</w:t>
            </w:r>
          </w:p>
        </w:tc>
        <w:tc>
          <w:tcPr>
            <w:tcW w:w="3316" w:type="dxa"/>
            <w:tcBorders>
              <w:top w:val="nil"/>
              <w:left w:val="nil"/>
              <w:bottom w:val="single" w:sz="8" w:space="0" w:color="auto"/>
              <w:right w:val="single" w:sz="4" w:space="0" w:color="auto"/>
            </w:tcBorders>
            <w:tcMar>
              <w:top w:w="0" w:type="dxa"/>
              <w:left w:w="28" w:type="dxa"/>
              <w:bottom w:w="0" w:type="dxa"/>
              <w:right w:w="28" w:type="dxa"/>
            </w:tcMar>
            <w:vAlign w:val="center"/>
          </w:tcPr>
          <w:p w:rsidR="00893008" w:rsidRPr="00D154DB" w:rsidRDefault="00893008" w:rsidP="00B63EFB">
            <w:pPr>
              <w:jc w:val="center"/>
              <w:rPr>
                <w:b/>
                <w:sz w:val="18"/>
                <w:szCs w:val="20"/>
              </w:rPr>
            </w:pPr>
            <w:r w:rsidRPr="00D154DB">
              <w:rPr>
                <w:b/>
                <w:sz w:val="18"/>
                <w:szCs w:val="20"/>
              </w:rPr>
              <w:t>2</w:t>
            </w:r>
          </w:p>
        </w:tc>
        <w:tc>
          <w:tcPr>
            <w:tcW w:w="2430" w:type="dxa"/>
            <w:tcBorders>
              <w:top w:val="nil"/>
              <w:left w:val="nil"/>
              <w:bottom w:val="single" w:sz="8" w:space="0" w:color="auto"/>
              <w:right w:val="single" w:sz="4" w:space="0" w:color="auto"/>
            </w:tcBorders>
            <w:noWrap/>
            <w:tcMar>
              <w:top w:w="0" w:type="dxa"/>
              <w:left w:w="28" w:type="dxa"/>
              <w:bottom w:w="0" w:type="dxa"/>
              <w:right w:w="28" w:type="dxa"/>
            </w:tcMar>
            <w:vAlign w:val="bottom"/>
          </w:tcPr>
          <w:p w:rsidR="00893008" w:rsidRPr="00D154DB" w:rsidRDefault="00893008" w:rsidP="00B63EFB">
            <w:pPr>
              <w:jc w:val="center"/>
              <w:rPr>
                <w:b/>
                <w:sz w:val="18"/>
                <w:szCs w:val="20"/>
              </w:rPr>
            </w:pPr>
            <w:r>
              <w:rPr>
                <w:b/>
                <w:sz w:val="18"/>
                <w:szCs w:val="20"/>
              </w:rPr>
              <w:t>3</w:t>
            </w:r>
          </w:p>
        </w:tc>
      </w:tr>
      <w:tr w:rsidR="00893008" w:rsidRPr="00B17798" w:rsidTr="00B63EFB">
        <w:trPr>
          <w:trHeight w:val="165"/>
        </w:trPr>
        <w:tc>
          <w:tcPr>
            <w:tcW w:w="9404" w:type="dxa"/>
            <w:gridSpan w:val="3"/>
            <w:tcBorders>
              <w:top w:val="nil"/>
              <w:left w:val="single" w:sz="8" w:space="0" w:color="auto"/>
              <w:bottom w:val="single" w:sz="4" w:space="0" w:color="auto"/>
              <w:right w:val="single" w:sz="4" w:space="0" w:color="auto"/>
            </w:tcBorders>
            <w:noWrap/>
            <w:vAlign w:val="bottom"/>
          </w:tcPr>
          <w:p w:rsidR="00893008" w:rsidRPr="001C3BFC" w:rsidRDefault="00823DF3" w:rsidP="00B63EFB">
            <w:pPr>
              <w:jc w:val="center"/>
              <w:rPr>
                <w:b/>
              </w:rPr>
            </w:pPr>
            <w:r>
              <w:rPr>
                <w:b/>
                <w:bCs/>
                <w:lang w:eastAsia="en-US"/>
              </w:rPr>
              <w:t xml:space="preserve">               </w:t>
            </w:r>
            <w:r w:rsidR="00893008" w:rsidRPr="001C3BFC">
              <w:rPr>
                <w:b/>
                <w:bCs/>
                <w:lang w:eastAsia="en-US"/>
              </w:rPr>
              <w:t>Конкурентные закупки</w:t>
            </w:r>
          </w:p>
        </w:tc>
      </w:tr>
      <w:tr w:rsidR="00893008" w:rsidRPr="00B17798" w:rsidTr="00535A85">
        <w:trPr>
          <w:trHeight w:val="375"/>
        </w:trPr>
        <w:tc>
          <w:tcPr>
            <w:tcW w:w="3658" w:type="dxa"/>
            <w:tcBorders>
              <w:top w:val="single" w:sz="4" w:space="0" w:color="auto"/>
              <w:left w:val="single" w:sz="8" w:space="0" w:color="auto"/>
              <w:bottom w:val="single" w:sz="4" w:space="0" w:color="auto"/>
              <w:right w:val="single" w:sz="4" w:space="0" w:color="auto"/>
            </w:tcBorders>
            <w:noWrap/>
            <w:vAlign w:val="bottom"/>
          </w:tcPr>
          <w:p w:rsidR="00893008" w:rsidRPr="004178CE" w:rsidRDefault="00893008" w:rsidP="00B63EFB">
            <w:pPr>
              <w:rPr>
                <w:sz w:val="20"/>
                <w:szCs w:val="20"/>
              </w:rPr>
            </w:pPr>
            <w:r w:rsidRPr="004178CE">
              <w:rPr>
                <w:sz w:val="20"/>
                <w:szCs w:val="20"/>
              </w:rPr>
              <w:t>Электронный аукцион</w:t>
            </w:r>
          </w:p>
        </w:tc>
        <w:tc>
          <w:tcPr>
            <w:tcW w:w="3316"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893008" w:rsidRPr="00231384" w:rsidRDefault="0023273D" w:rsidP="0023273D">
            <w:pPr>
              <w:jc w:val="center"/>
              <w:rPr>
                <w:sz w:val="22"/>
                <w:szCs w:val="22"/>
              </w:rPr>
            </w:pPr>
            <w:r>
              <w:rPr>
                <w:sz w:val="22"/>
                <w:szCs w:val="22"/>
              </w:rPr>
              <w:t>536 698,7</w:t>
            </w:r>
          </w:p>
        </w:tc>
        <w:tc>
          <w:tcPr>
            <w:tcW w:w="2430" w:type="dxa"/>
            <w:tcBorders>
              <w:top w:val="single" w:sz="4" w:space="0" w:color="auto"/>
              <w:left w:val="nil"/>
              <w:bottom w:val="single" w:sz="4" w:space="0" w:color="auto"/>
              <w:right w:val="single" w:sz="4" w:space="0" w:color="auto"/>
            </w:tcBorders>
            <w:noWrap/>
            <w:tcMar>
              <w:left w:w="28" w:type="dxa"/>
              <w:right w:w="28" w:type="dxa"/>
            </w:tcMar>
            <w:vAlign w:val="center"/>
          </w:tcPr>
          <w:p w:rsidR="00893008" w:rsidRPr="00231384" w:rsidRDefault="00110EF5" w:rsidP="00C04FFB">
            <w:pPr>
              <w:jc w:val="center"/>
              <w:rPr>
                <w:sz w:val="22"/>
                <w:szCs w:val="22"/>
              </w:rPr>
            </w:pPr>
            <w:r>
              <w:rPr>
                <w:sz w:val="22"/>
                <w:szCs w:val="22"/>
              </w:rPr>
              <w:t>82,2%</w:t>
            </w:r>
          </w:p>
        </w:tc>
      </w:tr>
      <w:tr w:rsidR="00893008" w:rsidRPr="00B17798" w:rsidTr="00535A85">
        <w:trPr>
          <w:trHeight w:val="424"/>
        </w:trPr>
        <w:tc>
          <w:tcPr>
            <w:tcW w:w="3658" w:type="dxa"/>
            <w:tcBorders>
              <w:top w:val="nil"/>
              <w:left w:val="single" w:sz="8" w:space="0" w:color="auto"/>
              <w:bottom w:val="single" w:sz="4" w:space="0" w:color="auto"/>
              <w:right w:val="single" w:sz="4" w:space="0" w:color="auto"/>
            </w:tcBorders>
            <w:noWrap/>
            <w:vAlign w:val="bottom"/>
          </w:tcPr>
          <w:p w:rsidR="00893008" w:rsidRPr="004178CE" w:rsidRDefault="0023273D" w:rsidP="0023273D">
            <w:pPr>
              <w:rPr>
                <w:sz w:val="20"/>
                <w:szCs w:val="20"/>
              </w:rPr>
            </w:pPr>
            <w:r>
              <w:rPr>
                <w:sz w:val="20"/>
                <w:szCs w:val="20"/>
              </w:rPr>
              <w:t>Электронный  з</w:t>
            </w:r>
            <w:r w:rsidR="00893008" w:rsidRPr="004178CE">
              <w:rPr>
                <w:sz w:val="20"/>
                <w:szCs w:val="20"/>
              </w:rPr>
              <w:t>апрос котировок</w:t>
            </w:r>
            <w:r w:rsidR="001A40C4">
              <w:rPr>
                <w:sz w:val="20"/>
                <w:szCs w:val="20"/>
              </w:rPr>
              <w:t xml:space="preserve"> </w:t>
            </w:r>
          </w:p>
        </w:tc>
        <w:tc>
          <w:tcPr>
            <w:tcW w:w="3316"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893008" w:rsidRPr="00231384" w:rsidRDefault="0023273D" w:rsidP="00C04FFB">
            <w:pPr>
              <w:jc w:val="center"/>
              <w:rPr>
                <w:sz w:val="22"/>
                <w:szCs w:val="22"/>
              </w:rPr>
            </w:pPr>
            <w:r>
              <w:rPr>
                <w:sz w:val="22"/>
                <w:szCs w:val="22"/>
              </w:rPr>
              <w:t>-</w:t>
            </w:r>
          </w:p>
        </w:tc>
        <w:tc>
          <w:tcPr>
            <w:tcW w:w="2430" w:type="dxa"/>
            <w:tcBorders>
              <w:top w:val="nil"/>
              <w:left w:val="nil"/>
              <w:bottom w:val="single" w:sz="4" w:space="0" w:color="auto"/>
              <w:right w:val="single" w:sz="4" w:space="0" w:color="auto"/>
            </w:tcBorders>
            <w:noWrap/>
            <w:tcMar>
              <w:left w:w="28" w:type="dxa"/>
              <w:right w:w="28" w:type="dxa"/>
            </w:tcMar>
            <w:vAlign w:val="center"/>
          </w:tcPr>
          <w:p w:rsidR="00893008" w:rsidRPr="00231384" w:rsidRDefault="00110EF5" w:rsidP="00B63EFB">
            <w:pPr>
              <w:jc w:val="center"/>
              <w:rPr>
                <w:sz w:val="22"/>
                <w:szCs w:val="22"/>
              </w:rPr>
            </w:pPr>
            <w:r>
              <w:rPr>
                <w:sz w:val="22"/>
                <w:szCs w:val="22"/>
              </w:rPr>
              <w:t>-</w:t>
            </w:r>
          </w:p>
        </w:tc>
      </w:tr>
      <w:tr w:rsidR="00B63EFB" w:rsidRPr="00B17798" w:rsidTr="00535A85">
        <w:trPr>
          <w:trHeight w:val="258"/>
        </w:trPr>
        <w:tc>
          <w:tcPr>
            <w:tcW w:w="3658" w:type="dxa"/>
            <w:tcBorders>
              <w:top w:val="single" w:sz="4" w:space="0" w:color="auto"/>
              <w:left w:val="single" w:sz="8" w:space="0" w:color="auto"/>
              <w:bottom w:val="single" w:sz="4" w:space="0" w:color="auto"/>
              <w:right w:val="single" w:sz="4" w:space="0" w:color="auto"/>
            </w:tcBorders>
            <w:noWrap/>
            <w:vAlign w:val="bottom"/>
          </w:tcPr>
          <w:p w:rsidR="00B63EFB" w:rsidRDefault="0023273D" w:rsidP="0023273D">
            <w:pPr>
              <w:rPr>
                <w:sz w:val="20"/>
                <w:szCs w:val="20"/>
              </w:rPr>
            </w:pPr>
            <w:r>
              <w:rPr>
                <w:sz w:val="22"/>
                <w:szCs w:val="22"/>
              </w:rPr>
              <w:t>Электронный к</w:t>
            </w:r>
            <w:r w:rsidR="00C04FFB" w:rsidRPr="003100E2">
              <w:rPr>
                <w:sz w:val="22"/>
                <w:szCs w:val="22"/>
              </w:rPr>
              <w:t>онкурс</w:t>
            </w:r>
            <w:r w:rsidR="00C04FFB">
              <w:rPr>
                <w:sz w:val="22"/>
                <w:szCs w:val="22"/>
              </w:rPr>
              <w:t xml:space="preserve"> </w:t>
            </w:r>
          </w:p>
        </w:tc>
        <w:tc>
          <w:tcPr>
            <w:tcW w:w="3316"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B63EFB" w:rsidRPr="00231384" w:rsidRDefault="0023273D" w:rsidP="0023273D">
            <w:pPr>
              <w:jc w:val="center"/>
              <w:rPr>
                <w:sz w:val="22"/>
                <w:szCs w:val="22"/>
              </w:rPr>
            </w:pPr>
            <w:r>
              <w:rPr>
                <w:sz w:val="22"/>
                <w:szCs w:val="22"/>
              </w:rPr>
              <w:t>115 906,6</w:t>
            </w:r>
          </w:p>
        </w:tc>
        <w:tc>
          <w:tcPr>
            <w:tcW w:w="2430" w:type="dxa"/>
            <w:tcBorders>
              <w:top w:val="single" w:sz="4" w:space="0" w:color="auto"/>
              <w:left w:val="nil"/>
              <w:bottom w:val="single" w:sz="4" w:space="0" w:color="auto"/>
              <w:right w:val="single" w:sz="4" w:space="0" w:color="auto"/>
            </w:tcBorders>
            <w:noWrap/>
            <w:tcMar>
              <w:left w:w="28" w:type="dxa"/>
              <w:right w:w="28" w:type="dxa"/>
            </w:tcMar>
            <w:vAlign w:val="center"/>
          </w:tcPr>
          <w:p w:rsidR="00B63EFB" w:rsidRPr="00231384" w:rsidRDefault="00110EF5" w:rsidP="00C04FFB">
            <w:pPr>
              <w:jc w:val="center"/>
              <w:rPr>
                <w:sz w:val="22"/>
                <w:szCs w:val="22"/>
              </w:rPr>
            </w:pPr>
            <w:r>
              <w:rPr>
                <w:sz w:val="22"/>
                <w:szCs w:val="22"/>
              </w:rPr>
              <w:t>18,7%</w:t>
            </w:r>
          </w:p>
        </w:tc>
      </w:tr>
      <w:tr w:rsidR="00893008" w:rsidRPr="00B17798" w:rsidTr="00535A85">
        <w:trPr>
          <w:trHeight w:val="228"/>
        </w:trPr>
        <w:tc>
          <w:tcPr>
            <w:tcW w:w="3658" w:type="dxa"/>
            <w:tcBorders>
              <w:top w:val="nil"/>
              <w:left w:val="single" w:sz="8" w:space="0" w:color="auto"/>
              <w:bottom w:val="single" w:sz="4" w:space="0" w:color="auto"/>
              <w:right w:val="single" w:sz="4" w:space="0" w:color="auto"/>
            </w:tcBorders>
            <w:noWrap/>
            <w:vAlign w:val="bottom"/>
          </w:tcPr>
          <w:p w:rsidR="00893008" w:rsidRPr="001C3BFC" w:rsidRDefault="00893008" w:rsidP="00B63EFB">
            <w:pPr>
              <w:rPr>
                <w:b/>
                <w:sz w:val="18"/>
                <w:szCs w:val="18"/>
              </w:rPr>
            </w:pPr>
            <w:r w:rsidRPr="001C3BFC">
              <w:rPr>
                <w:b/>
                <w:sz w:val="18"/>
                <w:szCs w:val="18"/>
              </w:rPr>
              <w:lastRenderedPageBreak/>
              <w:t>ИТОГО</w:t>
            </w:r>
          </w:p>
        </w:tc>
        <w:tc>
          <w:tcPr>
            <w:tcW w:w="3316"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893008" w:rsidRPr="00231384" w:rsidRDefault="0023273D" w:rsidP="0023273D">
            <w:pPr>
              <w:jc w:val="center"/>
              <w:rPr>
                <w:b/>
                <w:sz w:val="22"/>
                <w:szCs w:val="22"/>
              </w:rPr>
            </w:pPr>
            <w:r>
              <w:rPr>
                <w:b/>
                <w:sz w:val="22"/>
                <w:szCs w:val="22"/>
              </w:rPr>
              <w:t>652 605,3</w:t>
            </w:r>
          </w:p>
        </w:tc>
        <w:tc>
          <w:tcPr>
            <w:tcW w:w="2430" w:type="dxa"/>
            <w:tcBorders>
              <w:top w:val="nil"/>
              <w:left w:val="nil"/>
              <w:bottom w:val="single" w:sz="4" w:space="0" w:color="auto"/>
              <w:right w:val="single" w:sz="4" w:space="0" w:color="auto"/>
            </w:tcBorders>
            <w:noWrap/>
            <w:tcMar>
              <w:left w:w="28" w:type="dxa"/>
              <w:right w:w="28" w:type="dxa"/>
            </w:tcMar>
            <w:vAlign w:val="center"/>
          </w:tcPr>
          <w:p w:rsidR="00893008" w:rsidRPr="00231384" w:rsidRDefault="00893008" w:rsidP="00B63EFB">
            <w:pPr>
              <w:jc w:val="center"/>
              <w:rPr>
                <w:b/>
                <w:sz w:val="22"/>
                <w:szCs w:val="22"/>
              </w:rPr>
            </w:pPr>
          </w:p>
        </w:tc>
      </w:tr>
      <w:tr w:rsidR="00893008" w:rsidRPr="00B17798" w:rsidTr="00B63EFB">
        <w:trPr>
          <w:trHeight w:val="198"/>
        </w:trPr>
        <w:tc>
          <w:tcPr>
            <w:tcW w:w="9404" w:type="dxa"/>
            <w:gridSpan w:val="3"/>
            <w:tcBorders>
              <w:top w:val="single" w:sz="4" w:space="0" w:color="auto"/>
              <w:left w:val="single" w:sz="8" w:space="0" w:color="auto"/>
              <w:bottom w:val="single" w:sz="4" w:space="0" w:color="auto"/>
              <w:right w:val="single" w:sz="4" w:space="0" w:color="auto"/>
            </w:tcBorders>
            <w:noWrap/>
            <w:vAlign w:val="bottom"/>
          </w:tcPr>
          <w:p w:rsidR="00893008" w:rsidRPr="00132155" w:rsidRDefault="00823DF3" w:rsidP="00B63EFB">
            <w:pPr>
              <w:jc w:val="center"/>
              <w:rPr>
                <w:b/>
              </w:rPr>
            </w:pPr>
            <w:r>
              <w:rPr>
                <w:b/>
              </w:rPr>
              <w:t xml:space="preserve">                    </w:t>
            </w:r>
            <w:r w:rsidR="00893008" w:rsidRPr="00132155">
              <w:rPr>
                <w:b/>
              </w:rPr>
              <w:t>Закупки у единственного поставщика (часть 1 статьи 93)</w:t>
            </w:r>
          </w:p>
        </w:tc>
      </w:tr>
      <w:tr w:rsidR="00893008" w:rsidRPr="00B17798" w:rsidTr="00535A85">
        <w:trPr>
          <w:trHeight w:val="401"/>
        </w:trPr>
        <w:tc>
          <w:tcPr>
            <w:tcW w:w="3658" w:type="dxa"/>
            <w:tcBorders>
              <w:top w:val="single" w:sz="4" w:space="0" w:color="auto"/>
              <w:left w:val="single" w:sz="8" w:space="0" w:color="auto"/>
              <w:bottom w:val="single" w:sz="4" w:space="0" w:color="auto"/>
              <w:right w:val="single" w:sz="4" w:space="0" w:color="auto"/>
            </w:tcBorders>
            <w:noWrap/>
            <w:vAlign w:val="bottom"/>
          </w:tcPr>
          <w:p w:rsidR="00893008" w:rsidRDefault="00893008" w:rsidP="00AC19A8">
            <w:pPr>
              <w:rPr>
                <w:sz w:val="18"/>
                <w:szCs w:val="18"/>
              </w:rPr>
            </w:pPr>
            <w:r w:rsidRPr="004178CE">
              <w:rPr>
                <w:sz w:val="20"/>
                <w:szCs w:val="20"/>
              </w:rPr>
              <w:t>Закупки у единственного поставщика (пункты 1,</w:t>
            </w:r>
            <w:r w:rsidR="0023273D">
              <w:rPr>
                <w:sz w:val="20"/>
                <w:szCs w:val="20"/>
              </w:rPr>
              <w:t>2,</w:t>
            </w:r>
            <w:r w:rsidRPr="004178CE">
              <w:rPr>
                <w:sz w:val="20"/>
                <w:szCs w:val="20"/>
              </w:rPr>
              <w:t>6,8,,</w:t>
            </w:r>
            <w:r w:rsidR="001A40C4">
              <w:rPr>
                <w:sz w:val="20"/>
                <w:szCs w:val="20"/>
              </w:rPr>
              <w:t xml:space="preserve">22, </w:t>
            </w:r>
            <w:r w:rsidR="0023273D">
              <w:rPr>
                <w:sz w:val="20"/>
                <w:szCs w:val="20"/>
              </w:rPr>
              <w:t>23</w:t>
            </w:r>
            <w:r w:rsidRPr="004178CE">
              <w:rPr>
                <w:sz w:val="20"/>
                <w:szCs w:val="20"/>
              </w:rPr>
              <w:t xml:space="preserve"> ст.93)</w:t>
            </w:r>
          </w:p>
        </w:tc>
        <w:tc>
          <w:tcPr>
            <w:tcW w:w="3316"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893008" w:rsidRPr="00132155" w:rsidRDefault="00B63EFB" w:rsidP="00B63EFB">
            <w:pPr>
              <w:jc w:val="center"/>
            </w:pPr>
            <w:r>
              <w:t>-</w:t>
            </w:r>
          </w:p>
        </w:tc>
        <w:tc>
          <w:tcPr>
            <w:tcW w:w="2430" w:type="dxa"/>
            <w:tcBorders>
              <w:top w:val="single" w:sz="4" w:space="0" w:color="auto"/>
              <w:left w:val="nil"/>
              <w:bottom w:val="single" w:sz="4" w:space="0" w:color="auto"/>
              <w:right w:val="single" w:sz="4" w:space="0" w:color="auto"/>
            </w:tcBorders>
            <w:noWrap/>
            <w:tcMar>
              <w:left w:w="28" w:type="dxa"/>
              <w:right w:w="28" w:type="dxa"/>
            </w:tcMar>
            <w:vAlign w:val="center"/>
          </w:tcPr>
          <w:p w:rsidR="00893008" w:rsidRPr="00132155" w:rsidRDefault="00B63EFB" w:rsidP="00B63EFB">
            <w:pPr>
              <w:jc w:val="center"/>
            </w:pPr>
            <w:r>
              <w:t>-</w:t>
            </w:r>
          </w:p>
        </w:tc>
      </w:tr>
      <w:tr w:rsidR="00B63EFB" w:rsidRPr="00B17798" w:rsidTr="00231384">
        <w:trPr>
          <w:trHeight w:val="225"/>
        </w:trPr>
        <w:tc>
          <w:tcPr>
            <w:tcW w:w="3658" w:type="dxa"/>
            <w:tcBorders>
              <w:top w:val="single" w:sz="4" w:space="0" w:color="auto"/>
              <w:left w:val="single" w:sz="8" w:space="0" w:color="auto"/>
              <w:bottom w:val="single" w:sz="4" w:space="0" w:color="auto"/>
              <w:right w:val="single" w:sz="4" w:space="0" w:color="auto"/>
            </w:tcBorders>
            <w:shd w:val="clear" w:color="auto" w:fill="EEECE1" w:themeFill="background2"/>
            <w:noWrap/>
            <w:vAlign w:val="bottom"/>
          </w:tcPr>
          <w:p w:rsidR="00B63EFB" w:rsidRPr="00132155" w:rsidRDefault="00B63EFB" w:rsidP="00B63EFB">
            <w:pPr>
              <w:rPr>
                <w:b/>
                <w:bCs/>
                <w:sz w:val="18"/>
                <w:szCs w:val="18"/>
              </w:rPr>
            </w:pPr>
            <w:r>
              <w:rPr>
                <w:b/>
                <w:bCs/>
                <w:sz w:val="18"/>
                <w:szCs w:val="18"/>
              </w:rPr>
              <w:t>И</w:t>
            </w:r>
            <w:r w:rsidRPr="00132155">
              <w:rPr>
                <w:b/>
                <w:bCs/>
                <w:sz w:val="18"/>
                <w:szCs w:val="18"/>
              </w:rPr>
              <w:t>ТОГО</w:t>
            </w:r>
          </w:p>
        </w:tc>
        <w:tc>
          <w:tcPr>
            <w:tcW w:w="3316" w:type="dxa"/>
            <w:tcBorders>
              <w:top w:val="single" w:sz="4" w:space="0" w:color="auto"/>
              <w:left w:val="nil"/>
              <w:bottom w:val="single" w:sz="4" w:space="0" w:color="auto"/>
              <w:right w:val="single" w:sz="4" w:space="0" w:color="auto"/>
            </w:tcBorders>
            <w:shd w:val="clear" w:color="auto" w:fill="EEECE1" w:themeFill="background2"/>
            <w:noWrap/>
            <w:tcMar>
              <w:top w:w="0" w:type="dxa"/>
              <w:left w:w="0" w:type="dxa"/>
              <w:bottom w:w="0" w:type="dxa"/>
              <w:right w:w="0" w:type="dxa"/>
            </w:tcMar>
          </w:tcPr>
          <w:p w:rsidR="00B63EFB" w:rsidRDefault="00B63EFB" w:rsidP="00B63EFB">
            <w:pPr>
              <w:jc w:val="center"/>
            </w:pPr>
            <w:r w:rsidRPr="008342DD">
              <w:t>-</w:t>
            </w:r>
          </w:p>
        </w:tc>
        <w:tc>
          <w:tcPr>
            <w:tcW w:w="2430" w:type="dxa"/>
            <w:tcBorders>
              <w:top w:val="single" w:sz="4" w:space="0" w:color="auto"/>
              <w:left w:val="nil"/>
              <w:bottom w:val="single" w:sz="4" w:space="0" w:color="auto"/>
              <w:right w:val="single" w:sz="4" w:space="0" w:color="auto"/>
            </w:tcBorders>
            <w:shd w:val="clear" w:color="auto" w:fill="EEECE1" w:themeFill="background2"/>
            <w:noWrap/>
            <w:tcMar>
              <w:left w:w="28" w:type="dxa"/>
              <w:right w:w="28" w:type="dxa"/>
            </w:tcMar>
          </w:tcPr>
          <w:p w:rsidR="00B63EFB" w:rsidRDefault="00B63EFB" w:rsidP="00B63EFB">
            <w:pPr>
              <w:jc w:val="center"/>
            </w:pPr>
            <w:r w:rsidRPr="008342DD">
              <w:t>-</w:t>
            </w:r>
          </w:p>
        </w:tc>
      </w:tr>
      <w:tr w:rsidR="00893008" w:rsidRPr="00B17798" w:rsidTr="00231384">
        <w:trPr>
          <w:trHeight w:val="176"/>
        </w:trPr>
        <w:tc>
          <w:tcPr>
            <w:tcW w:w="3658" w:type="dxa"/>
            <w:tcBorders>
              <w:top w:val="nil"/>
              <w:left w:val="single" w:sz="8" w:space="0" w:color="auto"/>
              <w:bottom w:val="single" w:sz="4" w:space="0" w:color="auto"/>
              <w:right w:val="single" w:sz="4" w:space="0" w:color="auto"/>
            </w:tcBorders>
            <w:shd w:val="clear" w:color="auto" w:fill="EEECE1" w:themeFill="background2"/>
            <w:noWrap/>
            <w:vAlign w:val="bottom"/>
          </w:tcPr>
          <w:p w:rsidR="00893008" w:rsidRPr="00F37A7B" w:rsidRDefault="00893008" w:rsidP="00B63EFB">
            <w:pPr>
              <w:rPr>
                <w:b/>
              </w:rPr>
            </w:pPr>
            <w:r>
              <w:rPr>
                <w:b/>
              </w:rPr>
              <w:t>Всего</w:t>
            </w:r>
          </w:p>
        </w:tc>
        <w:tc>
          <w:tcPr>
            <w:tcW w:w="3316" w:type="dxa"/>
            <w:tcBorders>
              <w:top w:val="nil"/>
              <w:left w:val="nil"/>
              <w:bottom w:val="single" w:sz="4" w:space="0" w:color="auto"/>
              <w:right w:val="single" w:sz="4" w:space="0" w:color="auto"/>
            </w:tcBorders>
            <w:shd w:val="clear" w:color="auto" w:fill="EEECE1" w:themeFill="background2"/>
            <w:noWrap/>
            <w:tcMar>
              <w:top w:w="0" w:type="dxa"/>
              <w:left w:w="0" w:type="dxa"/>
              <w:bottom w:w="0" w:type="dxa"/>
              <w:right w:w="0" w:type="dxa"/>
            </w:tcMar>
            <w:vAlign w:val="center"/>
          </w:tcPr>
          <w:p w:rsidR="00893008" w:rsidRPr="00231384" w:rsidRDefault="0023273D" w:rsidP="0023273D">
            <w:pPr>
              <w:jc w:val="center"/>
              <w:rPr>
                <w:b/>
                <w:sz w:val="22"/>
                <w:szCs w:val="22"/>
              </w:rPr>
            </w:pPr>
            <w:r>
              <w:rPr>
                <w:b/>
                <w:sz w:val="22"/>
                <w:szCs w:val="22"/>
              </w:rPr>
              <w:t>652 605,3</w:t>
            </w:r>
          </w:p>
        </w:tc>
        <w:tc>
          <w:tcPr>
            <w:tcW w:w="2430" w:type="dxa"/>
            <w:tcBorders>
              <w:top w:val="nil"/>
              <w:left w:val="nil"/>
              <w:bottom w:val="single" w:sz="4" w:space="0" w:color="auto"/>
              <w:right w:val="single" w:sz="4" w:space="0" w:color="auto"/>
            </w:tcBorders>
            <w:shd w:val="clear" w:color="auto" w:fill="EEECE1" w:themeFill="background2"/>
            <w:noWrap/>
            <w:tcMar>
              <w:left w:w="28" w:type="dxa"/>
              <w:right w:w="28" w:type="dxa"/>
            </w:tcMar>
            <w:vAlign w:val="center"/>
          </w:tcPr>
          <w:p w:rsidR="00893008" w:rsidRPr="00231384" w:rsidRDefault="00893008" w:rsidP="00B63EFB">
            <w:pPr>
              <w:jc w:val="center"/>
              <w:rPr>
                <w:b/>
                <w:sz w:val="22"/>
                <w:szCs w:val="22"/>
              </w:rPr>
            </w:pPr>
            <w:r w:rsidRPr="00231384">
              <w:rPr>
                <w:b/>
                <w:sz w:val="22"/>
                <w:szCs w:val="22"/>
              </w:rPr>
              <w:t>100,0%</w:t>
            </w:r>
          </w:p>
        </w:tc>
      </w:tr>
    </w:tbl>
    <w:p w:rsidR="006546CB" w:rsidRDefault="006546CB" w:rsidP="00C57468">
      <w:pPr>
        <w:ind w:firstLine="426"/>
        <w:contextualSpacing/>
        <w:jc w:val="both"/>
      </w:pPr>
    </w:p>
    <w:p w:rsidR="008E5DC2" w:rsidRPr="008E5DC2" w:rsidRDefault="00040DF2" w:rsidP="00C57468">
      <w:pPr>
        <w:ind w:firstLine="426"/>
        <w:contextualSpacing/>
        <w:jc w:val="both"/>
        <w:rPr>
          <w:color w:val="000000"/>
        </w:rPr>
      </w:pPr>
      <w:r>
        <w:t xml:space="preserve">По данным таблицы видно, что преобладающим конкурентным способом закупок по итогам </w:t>
      </w:r>
      <w:r w:rsidR="0036026C">
        <w:t xml:space="preserve"> </w:t>
      </w:r>
      <w:r w:rsidR="00874EB4">
        <w:t>202</w:t>
      </w:r>
      <w:r w:rsidR="00110EF5">
        <w:t>2</w:t>
      </w:r>
      <w:r>
        <w:t xml:space="preserve"> года в разрезе способов размещения заказа </w:t>
      </w:r>
      <w:r w:rsidR="0036026C">
        <w:t xml:space="preserve">традиционно </w:t>
      </w:r>
      <w:r>
        <w:t xml:space="preserve">является – </w:t>
      </w:r>
      <w:r w:rsidRPr="00874EB4">
        <w:rPr>
          <w:b/>
        </w:rPr>
        <w:t>Электронный аукцион</w:t>
      </w:r>
      <w:r>
        <w:t xml:space="preserve"> </w:t>
      </w:r>
      <w:r w:rsidR="001A27E6">
        <w:t xml:space="preserve"> - </w:t>
      </w:r>
      <w:r w:rsidR="00110EF5">
        <w:rPr>
          <w:b/>
        </w:rPr>
        <w:t>82,2</w:t>
      </w:r>
      <w:r w:rsidR="001A27E6" w:rsidRPr="00874EB4">
        <w:rPr>
          <w:b/>
        </w:rPr>
        <w:t>%</w:t>
      </w:r>
      <w:r w:rsidR="001A27E6">
        <w:rPr>
          <w:b/>
        </w:rPr>
        <w:t xml:space="preserve"> </w:t>
      </w:r>
      <w:r>
        <w:t xml:space="preserve"> </w:t>
      </w:r>
      <w:r w:rsidR="001A27E6">
        <w:t>(</w:t>
      </w:r>
      <w:r w:rsidR="00110EF5">
        <w:t>536 698,7</w:t>
      </w:r>
      <w:r w:rsidR="001A27E6">
        <w:t xml:space="preserve"> тыс. руб.)</w:t>
      </w:r>
      <w:r w:rsidR="00AB3767">
        <w:t>.</w:t>
      </w:r>
      <w:r w:rsidR="004E2C05">
        <w:t xml:space="preserve"> </w:t>
      </w:r>
      <w:r w:rsidR="008E5DC2" w:rsidRPr="008E5DC2">
        <w:rPr>
          <w:color w:val="000000"/>
        </w:rPr>
        <w:t xml:space="preserve">Такой показатель характеризует высокий уровень прозрачности и доступности осуществления закупок </w:t>
      </w:r>
      <w:proofErr w:type="gramStart"/>
      <w:r w:rsidR="008E5DC2" w:rsidRPr="008E5DC2">
        <w:rPr>
          <w:color w:val="000000"/>
        </w:rPr>
        <w:t>в</w:t>
      </w:r>
      <w:proofErr w:type="gramEnd"/>
      <w:r w:rsidR="008E5DC2" w:rsidRPr="008E5DC2">
        <w:rPr>
          <w:color w:val="000000"/>
        </w:rPr>
        <w:t xml:space="preserve"> </w:t>
      </w:r>
      <w:proofErr w:type="gramStart"/>
      <w:r w:rsidR="008E5DC2">
        <w:rPr>
          <w:color w:val="000000"/>
        </w:rPr>
        <w:t>Приозерском</w:t>
      </w:r>
      <w:proofErr w:type="gramEnd"/>
      <w:r w:rsidR="008E5DC2">
        <w:rPr>
          <w:color w:val="000000"/>
        </w:rPr>
        <w:t xml:space="preserve"> районе</w:t>
      </w:r>
      <w:r w:rsidR="008E5DC2" w:rsidRPr="008E5DC2">
        <w:rPr>
          <w:color w:val="000000"/>
        </w:rPr>
        <w:t>.</w:t>
      </w:r>
    </w:p>
    <w:p w:rsidR="00742F01" w:rsidRDefault="00742F01" w:rsidP="00742F01">
      <w:pPr>
        <w:ind w:firstLine="426"/>
        <w:jc w:val="both"/>
      </w:pPr>
      <w:r>
        <w:t>В 2021 году доля закупок, осуществленных путем проведения электронных аукционов составляла  78,2%, со стоимостным объемом в  251 744,1 тыс. руб., что соответственно на 18,9%  меньше  по количеству на  53,1%  больше аналогичных показателей  2022 года.</w:t>
      </w:r>
    </w:p>
    <w:p w:rsidR="00F63C19" w:rsidRDefault="00CA0E00" w:rsidP="00692F5C">
      <w:pPr>
        <w:jc w:val="both"/>
      </w:pPr>
      <w:r>
        <w:t xml:space="preserve">      </w:t>
      </w:r>
    </w:p>
    <w:p w:rsidR="003F7578" w:rsidRDefault="003F7578" w:rsidP="00A56E32">
      <w:pPr>
        <w:jc w:val="center"/>
        <w:rPr>
          <w:i/>
        </w:rPr>
      </w:pPr>
      <w:r w:rsidRPr="00F444F5">
        <w:rPr>
          <w:i/>
        </w:rPr>
        <w:t xml:space="preserve">Более наглядно информация </w:t>
      </w:r>
      <w:r>
        <w:rPr>
          <w:i/>
        </w:rPr>
        <w:t>о долевом соотношении</w:t>
      </w:r>
      <w:r w:rsidRPr="00F444F5">
        <w:rPr>
          <w:i/>
        </w:rPr>
        <w:t xml:space="preserve"> </w:t>
      </w:r>
      <w:r>
        <w:rPr>
          <w:i/>
        </w:rPr>
        <w:t xml:space="preserve">закупок </w:t>
      </w:r>
      <w:r w:rsidRPr="00F444F5">
        <w:rPr>
          <w:i/>
        </w:rPr>
        <w:t xml:space="preserve">с разбивкой по способам определения поставщика (подрядчика, исполнителя) </w:t>
      </w:r>
      <w:r>
        <w:rPr>
          <w:i/>
        </w:rPr>
        <w:t xml:space="preserve">в суммарном обозначении представлена </w:t>
      </w:r>
      <w:r w:rsidRPr="00F444F5">
        <w:rPr>
          <w:i/>
        </w:rPr>
        <w:t xml:space="preserve"> на следующ</w:t>
      </w:r>
      <w:r>
        <w:rPr>
          <w:i/>
        </w:rPr>
        <w:t>ей диаграмме:</w:t>
      </w:r>
    </w:p>
    <w:p w:rsidR="002D4596" w:rsidRDefault="002D4596" w:rsidP="002D4596">
      <w:pPr>
        <w:spacing w:line="120" w:lineRule="auto"/>
        <w:jc w:val="center"/>
        <w:rPr>
          <w:i/>
        </w:rPr>
      </w:pPr>
    </w:p>
    <w:p w:rsidR="00DF370D" w:rsidRDefault="00DF370D" w:rsidP="00DF370D">
      <w:pPr>
        <w:ind w:firstLine="709"/>
        <w:jc w:val="center"/>
        <w:rPr>
          <w:b/>
        </w:rPr>
      </w:pPr>
      <w:r w:rsidRPr="004311B1">
        <w:rPr>
          <w:b/>
          <w:noProof/>
        </w:rPr>
        <w:t>Диаграмма</w:t>
      </w:r>
      <w:r>
        <w:rPr>
          <w:noProof/>
        </w:rPr>
        <w:t xml:space="preserve"> </w:t>
      </w:r>
      <w:r w:rsidRPr="004311B1">
        <w:rPr>
          <w:b/>
        </w:rPr>
        <w:t xml:space="preserve">2. Информация </w:t>
      </w:r>
      <w:r>
        <w:rPr>
          <w:b/>
        </w:rPr>
        <w:t xml:space="preserve">о долевом соотношении закупок </w:t>
      </w:r>
      <w:r w:rsidRPr="004311B1">
        <w:rPr>
          <w:b/>
        </w:rPr>
        <w:t xml:space="preserve">с разбивкой по способам определения поставщика (подрядчика, исполнителя) в суммарном обозначении </w:t>
      </w:r>
    </w:p>
    <w:p w:rsidR="00DF370D" w:rsidRDefault="00DF370D" w:rsidP="00A56E32">
      <w:pPr>
        <w:jc w:val="center"/>
        <w:rPr>
          <w:i/>
        </w:rPr>
      </w:pPr>
    </w:p>
    <w:p w:rsidR="00910051" w:rsidRDefault="004C18E2" w:rsidP="00910051">
      <w:pPr>
        <w:pStyle w:val="Default"/>
        <w:jc w:val="both"/>
        <w:rPr>
          <w:noProof/>
        </w:rPr>
      </w:pPr>
      <w:r>
        <w:t xml:space="preserve">  </w:t>
      </w:r>
      <w:r w:rsidR="00EA4943">
        <w:rPr>
          <w:noProof/>
        </w:rPr>
        <w:drawing>
          <wp:inline distT="0" distB="0" distL="0" distR="0">
            <wp:extent cx="5719313" cy="3312544"/>
            <wp:effectExtent l="0" t="0" r="0" b="2540"/>
            <wp:docPr id="39" name="Объект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sidR="00A02F55">
        <w:rPr>
          <w:noProof/>
        </w:rPr>
        <w:t xml:space="preserve">         </w:t>
      </w:r>
    </w:p>
    <w:p w:rsidR="00691087" w:rsidRDefault="00691087" w:rsidP="00C913C6">
      <w:pPr>
        <w:spacing w:line="120" w:lineRule="auto"/>
        <w:ind w:firstLine="425"/>
        <w:jc w:val="both"/>
        <w:rPr>
          <w:rFonts w:eastAsia="Calibri"/>
          <w:color w:val="000000"/>
        </w:rPr>
      </w:pPr>
    </w:p>
    <w:p w:rsidR="00990CD1" w:rsidRDefault="00CB4B7F" w:rsidP="00990CD1">
      <w:pPr>
        <w:jc w:val="both"/>
      </w:pPr>
      <w:r>
        <w:t xml:space="preserve">      </w:t>
      </w:r>
      <w:r w:rsidR="00990CD1">
        <w:t xml:space="preserve">Таким образом, доля закупок, проведенных с помощью электронных аукционов в 2022 году,  увеличилась  по сравнению с 2021 годом  на  23,3% при значительном увеличении стоимостного объема на  284 954,6 тыс. руб. (на 113,2%).     </w:t>
      </w:r>
    </w:p>
    <w:p w:rsidR="00990CD1" w:rsidRPr="00692F5C" w:rsidRDefault="00990CD1" w:rsidP="00990CD1">
      <w:pPr>
        <w:jc w:val="both"/>
        <w:rPr>
          <w:i/>
        </w:rPr>
      </w:pPr>
      <w:r w:rsidRPr="00692F5C">
        <w:rPr>
          <w:i/>
        </w:rPr>
        <w:t xml:space="preserve">      Существенный рост суммы  НМЦК может быть обусловлен общим ростом цен на товары и материалы  в связи с введением с 24.02.2022 года мер ограничительного характера иностранными государствами, совершающими недружественные действия в отношении Российской Федерации.</w:t>
      </w:r>
    </w:p>
    <w:p w:rsidR="00990CD1" w:rsidRDefault="00990CD1" w:rsidP="00990CD1">
      <w:pPr>
        <w:autoSpaceDE w:val="0"/>
        <w:autoSpaceDN w:val="0"/>
        <w:adjustRightInd w:val="0"/>
        <w:ind w:firstLine="426"/>
        <w:jc w:val="both"/>
      </w:pPr>
      <w:r>
        <w:lastRenderedPageBreak/>
        <w:t>Удельный вес других конкурентных способов  закупок  составляет – 18,7% (Электронный конкурс).</w:t>
      </w:r>
    </w:p>
    <w:p w:rsidR="00CB4B7F" w:rsidRDefault="00990CD1" w:rsidP="00CB4B7F">
      <w:pPr>
        <w:jc w:val="both"/>
      </w:pPr>
      <w:r>
        <w:t xml:space="preserve">      </w:t>
      </w:r>
      <w:r w:rsidR="00CB4B7F">
        <w:t xml:space="preserve">В отчетном периоде 2022 года закупок путем проведения  </w:t>
      </w:r>
      <w:r w:rsidR="00CB4B7F" w:rsidRPr="00CA0E00">
        <w:rPr>
          <w:i/>
        </w:rPr>
        <w:t>Электронного запроса</w:t>
      </w:r>
      <w:r w:rsidR="00CB4B7F">
        <w:rPr>
          <w:i/>
        </w:rPr>
        <w:t xml:space="preserve"> котировок </w:t>
      </w:r>
      <w:r w:rsidR="00CB4B7F">
        <w:t xml:space="preserve">не осуществлялось. (В 2021 году доля закупок, осуществленных  путем  </w:t>
      </w:r>
      <w:r w:rsidR="00CB4B7F" w:rsidRPr="0025376D">
        <w:t>запроса котировок в электронной форме</w:t>
      </w:r>
      <w:r w:rsidR="00CB4B7F">
        <w:t xml:space="preserve"> (по сумме) составляла  18,7% -                   115 906,6 тыс. руб.).</w:t>
      </w:r>
    </w:p>
    <w:p w:rsidR="00CB4B7F" w:rsidRDefault="00CB4B7F" w:rsidP="00C913C6">
      <w:pPr>
        <w:spacing w:line="120" w:lineRule="auto"/>
        <w:ind w:firstLine="425"/>
        <w:jc w:val="both"/>
        <w:rPr>
          <w:rFonts w:eastAsia="Calibri"/>
          <w:color w:val="000000"/>
        </w:rPr>
      </w:pPr>
    </w:p>
    <w:p w:rsidR="00A20000" w:rsidRPr="009734B9" w:rsidRDefault="00A20000" w:rsidP="009734B9">
      <w:pPr>
        <w:ind w:right="-2"/>
        <w:jc w:val="both"/>
        <w:rPr>
          <w:rFonts w:eastAsia="Calibri"/>
          <w:color w:val="000000"/>
        </w:rPr>
      </w:pPr>
      <w:r w:rsidRPr="009734B9">
        <w:rPr>
          <w:rFonts w:eastAsia="Calibri"/>
          <w:b/>
          <w:bCs/>
        </w:rPr>
        <w:t>4.</w:t>
      </w:r>
      <w:r w:rsidR="009734B9">
        <w:rPr>
          <w:rFonts w:eastAsia="Calibri"/>
          <w:b/>
          <w:bCs/>
        </w:rPr>
        <w:t>2.1.</w:t>
      </w:r>
      <w:r w:rsidRPr="009734B9">
        <w:rPr>
          <w:rFonts w:eastAsia="Calibri"/>
          <w:b/>
          <w:bCs/>
        </w:rPr>
        <w:t xml:space="preserve"> Анализ соотношения состоявшихся/несостоявшихся закупок, проведенных заказчиками </w:t>
      </w:r>
    </w:p>
    <w:p w:rsidR="00A20000" w:rsidRPr="009734B9" w:rsidRDefault="00A20000" w:rsidP="00AD2BA3">
      <w:pPr>
        <w:ind w:right="-2" w:firstLine="426"/>
        <w:jc w:val="both"/>
        <w:rPr>
          <w:rFonts w:eastAsia="Calibri"/>
          <w:color w:val="000000"/>
        </w:rPr>
      </w:pPr>
      <w:r w:rsidRPr="009734B9">
        <w:t xml:space="preserve">С целью определения результативности закупок проанализированы закупки, проведенные </w:t>
      </w:r>
      <w:r w:rsidR="00F63C19">
        <w:t>З</w:t>
      </w:r>
      <w:r w:rsidRPr="009734B9">
        <w:t xml:space="preserve">аказчиками </w:t>
      </w:r>
      <w:r w:rsidR="00F63C19">
        <w:t xml:space="preserve"> </w:t>
      </w:r>
      <w:r w:rsidR="009734B9">
        <w:t>городских и сельских поселений Приозерск</w:t>
      </w:r>
      <w:r w:rsidR="00F63C19">
        <w:t>ого</w:t>
      </w:r>
      <w:r w:rsidR="009734B9">
        <w:t xml:space="preserve"> муниципальн</w:t>
      </w:r>
      <w:r w:rsidR="00F63C19">
        <w:t>ого</w:t>
      </w:r>
      <w:r w:rsidR="009734B9">
        <w:t xml:space="preserve"> район</w:t>
      </w:r>
      <w:r w:rsidR="00F63C19">
        <w:t>а</w:t>
      </w:r>
      <w:r w:rsidR="009734B9">
        <w:t>.</w:t>
      </w:r>
    </w:p>
    <w:p w:rsidR="00AD2BA3" w:rsidRPr="00F96B20" w:rsidRDefault="00AD2BA3" w:rsidP="00AD2BA3">
      <w:pPr>
        <w:ind w:right="-2" w:firstLine="426"/>
        <w:jc w:val="both"/>
      </w:pPr>
      <w:r w:rsidRPr="003A4799">
        <w:rPr>
          <w:rFonts w:eastAsia="Calibri"/>
          <w:color w:val="000000"/>
        </w:rPr>
        <w:t>Согл</w:t>
      </w:r>
      <w:r>
        <w:rPr>
          <w:rFonts w:eastAsia="Calibri"/>
          <w:color w:val="000000"/>
        </w:rPr>
        <w:t>а</w:t>
      </w:r>
      <w:r w:rsidRPr="003A4799">
        <w:rPr>
          <w:rFonts w:eastAsia="Calibri"/>
          <w:color w:val="000000"/>
        </w:rPr>
        <w:t>сно сведениям ЕИС по итогам 20</w:t>
      </w:r>
      <w:r w:rsidR="00F63C19">
        <w:rPr>
          <w:rFonts w:eastAsia="Calibri"/>
          <w:color w:val="000000"/>
        </w:rPr>
        <w:t>22</w:t>
      </w:r>
      <w:r w:rsidRPr="003A4799">
        <w:rPr>
          <w:rFonts w:eastAsia="Calibri"/>
          <w:color w:val="000000"/>
        </w:rPr>
        <w:t xml:space="preserve"> года </w:t>
      </w:r>
      <w:r>
        <w:rPr>
          <w:rFonts w:eastAsia="Calibri"/>
          <w:color w:val="000000"/>
        </w:rPr>
        <w:t xml:space="preserve"> п</w:t>
      </w:r>
      <w:r w:rsidRPr="00F96B20">
        <w:t>о результатам осуществления</w:t>
      </w:r>
      <w:r>
        <w:t xml:space="preserve">  заку</w:t>
      </w:r>
      <w:r w:rsidRPr="00F96B20">
        <w:t xml:space="preserve">пок в отчетном периоде: </w:t>
      </w:r>
    </w:p>
    <w:p w:rsidR="00AD2BA3" w:rsidRDefault="00AD2BA3" w:rsidP="00E02F7C">
      <w:pPr>
        <w:numPr>
          <w:ilvl w:val="0"/>
          <w:numId w:val="15"/>
        </w:numPr>
        <w:autoSpaceDE w:val="0"/>
        <w:autoSpaceDN w:val="0"/>
        <w:adjustRightInd w:val="0"/>
        <w:ind w:left="0" w:firstLine="425"/>
        <w:jc w:val="both"/>
        <w:rPr>
          <w:rFonts w:eastAsia="Calibri"/>
          <w:color w:val="000000"/>
        </w:rPr>
      </w:pPr>
      <w:r w:rsidRPr="00FB74F2">
        <w:rPr>
          <w:rFonts w:eastAsia="Calibri"/>
          <w:b/>
          <w:color w:val="000000"/>
        </w:rPr>
        <w:t>Состоявшимися</w:t>
      </w:r>
      <w:r w:rsidRPr="00F96B20">
        <w:rPr>
          <w:rFonts w:eastAsia="Calibri"/>
          <w:color w:val="000000"/>
        </w:rPr>
        <w:t xml:space="preserve"> было признано </w:t>
      </w:r>
      <w:r w:rsidR="00596E9E" w:rsidRPr="00596E9E">
        <w:rPr>
          <w:rFonts w:eastAsia="Calibri"/>
          <w:b/>
          <w:color w:val="000000"/>
        </w:rPr>
        <w:t>1</w:t>
      </w:r>
      <w:r w:rsidR="002169E3">
        <w:rPr>
          <w:rFonts w:eastAsia="Calibri"/>
          <w:b/>
          <w:color w:val="000000"/>
        </w:rPr>
        <w:t>35</w:t>
      </w:r>
      <w:r w:rsidRPr="00D969A5">
        <w:rPr>
          <w:rFonts w:eastAsia="Calibri"/>
          <w:b/>
          <w:color w:val="000000"/>
        </w:rPr>
        <w:t xml:space="preserve"> </w:t>
      </w:r>
      <w:r w:rsidRPr="00D969A5">
        <w:rPr>
          <w:rFonts w:eastAsia="Calibri"/>
          <w:b/>
          <w:bCs/>
          <w:color w:val="000000"/>
        </w:rPr>
        <w:t>закупок</w:t>
      </w:r>
      <w:r w:rsidRPr="00F96B20">
        <w:rPr>
          <w:rFonts w:eastAsia="Calibri"/>
          <w:b/>
          <w:bCs/>
          <w:color w:val="000000"/>
        </w:rPr>
        <w:t xml:space="preserve"> </w:t>
      </w:r>
      <w:r w:rsidRPr="00AD2BA3">
        <w:rPr>
          <w:rFonts w:eastAsia="Calibri"/>
          <w:color w:val="000000"/>
        </w:rPr>
        <w:t>(</w:t>
      </w:r>
      <w:r w:rsidR="002169E3">
        <w:rPr>
          <w:rFonts w:eastAsia="Calibri"/>
          <w:color w:val="000000"/>
        </w:rPr>
        <w:t>53,1</w:t>
      </w:r>
      <w:r w:rsidR="00846E18">
        <w:rPr>
          <w:rFonts w:eastAsia="Calibri"/>
          <w:color w:val="000000"/>
        </w:rPr>
        <w:t>%</w:t>
      </w:r>
      <w:r w:rsidR="00FD7A35">
        <w:rPr>
          <w:rFonts w:eastAsia="Calibri"/>
          <w:color w:val="000000"/>
        </w:rPr>
        <w:t xml:space="preserve"> от общего количества процедур</w:t>
      </w:r>
      <w:r w:rsidRPr="00AD2BA3">
        <w:rPr>
          <w:rFonts w:eastAsia="Calibri"/>
          <w:color w:val="000000"/>
        </w:rPr>
        <w:t>)</w:t>
      </w:r>
      <w:r w:rsidRPr="00F96B20">
        <w:rPr>
          <w:rFonts w:eastAsia="Calibri"/>
          <w:color w:val="000000"/>
        </w:rPr>
        <w:t xml:space="preserve"> (определен победитель и заключен контракт), сумма НМЦК</w:t>
      </w:r>
      <w:r w:rsidRPr="008A7BFF">
        <w:rPr>
          <w:rFonts w:eastAsia="Calibri"/>
          <w:color w:val="000000"/>
        </w:rPr>
        <w:t xml:space="preserve"> </w:t>
      </w:r>
      <w:r w:rsidRPr="00F96B20">
        <w:rPr>
          <w:rFonts w:eastAsia="Calibri"/>
          <w:color w:val="000000"/>
        </w:rPr>
        <w:t xml:space="preserve">таких закупок составила </w:t>
      </w:r>
      <w:r w:rsidRPr="008A7BFF">
        <w:rPr>
          <w:rFonts w:eastAsia="Calibri"/>
          <w:color w:val="000000"/>
        </w:rPr>
        <w:t xml:space="preserve"> </w:t>
      </w:r>
      <w:r w:rsidR="002169E3">
        <w:rPr>
          <w:rFonts w:eastAsia="Calibri"/>
          <w:b/>
          <w:color w:val="000000"/>
        </w:rPr>
        <w:t>509 929,6</w:t>
      </w:r>
      <w:r w:rsidRPr="00E450E4">
        <w:rPr>
          <w:rFonts w:eastAsia="Calibri"/>
          <w:b/>
          <w:color w:val="000000"/>
        </w:rPr>
        <w:t xml:space="preserve"> тыс.</w:t>
      </w:r>
      <w:r w:rsidRPr="00AD2BA3">
        <w:rPr>
          <w:rFonts w:eastAsia="Calibri"/>
          <w:b/>
          <w:color w:val="000000"/>
        </w:rPr>
        <w:t xml:space="preserve"> руб</w:t>
      </w:r>
      <w:r w:rsidRPr="008A7BFF">
        <w:rPr>
          <w:rFonts w:eastAsia="Calibri"/>
          <w:color w:val="000000"/>
        </w:rPr>
        <w:t>.</w:t>
      </w:r>
      <w:r w:rsidRPr="00F96B20">
        <w:rPr>
          <w:rFonts w:eastAsia="Calibri"/>
          <w:color w:val="000000"/>
        </w:rPr>
        <w:t xml:space="preserve"> </w:t>
      </w:r>
      <w:r w:rsidRPr="008A7BFF">
        <w:rPr>
          <w:rFonts w:eastAsia="Calibri"/>
          <w:color w:val="000000"/>
        </w:rPr>
        <w:t>(</w:t>
      </w:r>
      <w:r w:rsidR="002169E3">
        <w:rPr>
          <w:rFonts w:eastAsia="Calibri"/>
          <w:color w:val="000000"/>
        </w:rPr>
        <w:t>50,5</w:t>
      </w:r>
      <w:r w:rsidRPr="008A7BFF">
        <w:rPr>
          <w:rFonts w:eastAsia="Calibri"/>
          <w:color w:val="000000"/>
        </w:rPr>
        <w:t>% от общего объема закупок).</w:t>
      </w:r>
    </w:p>
    <w:p w:rsidR="004E5B0D" w:rsidRDefault="004E5B0D" w:rsidP="004E5B0D">
      <w:pPr>
        <w:jc w:val="both"/>
      </w:pPr>
      <w:r>
        <w:t xml:space="preserve">      </w:t>
      </w:r>
      <w:r w:rsidRPr="004E5B0D">
        <w:t xml:space="preserve">По сравнению с показателями </w:t>
      </w:r>
      <w:r w:rsidR="00E22407">
        <w:t>базисного периода</w:t>
      </w:r>
      <w:r w:rsidRPr="004E5B0D">
        <w:t xml:space="preserve"> количество состоявшихся конкурентных закупок </w:t>
      </w:r>
      <w:r>
        <w:t xml:space="preserve">снизилось на </w:t>
      </w:r>
      <w:r w:rsidR="00E22407" w:rsidRPr="00E22407">
        <w:rPr>
          <w:b/>
        </w:rPr>
        <w:t>6,9</w:t>
      </w:r>
      <w:r w:rsidRPr="00E22407">
        <w:rPr>
          <w:b/>
        </w:rPr>
        <w:t>%</w:t>
      </w:r>
      <w:r>
        <w:t xml:space="preserve"> при значительном </w:t>
      </w:r>
      <w:r w:rsidR="00E22407">
        <w:t>увеличении</w:t>
      </w:r>
      <w:r>
        <w:t xml:space="preserve"> стоимостного объема  на </w:t>
      </w:r>
      <w:r w:rsidR="00E22407">
        <w:rPr>
          <w:b/>
        </w:rPr>
        <w:t>131,5</w:t>
      </w:r>
      <w:r w:rsidRPr="004E5B0D">
        <w:rPr>
          <w:b/>
        </w:rPr>
        <w:t>%.</w:t>
      </w:r>
      <w:r>
        <w:t xml:space="preserve">    </w:t>
      </w:r>
    </w:p>
    <w:p w:rsidR="004E5B0D" w:rsidRDefault="004E5B0D" w:rsidP="004E5B0D">
      <w:pPr>
        <w:autoSpaceDE w:val="0"/>
        <w:autoSpaceDN w:val="0"/>
        <w:adjustRightInd w:val="0"/>
        <w:spacing w:after="120"/>
        <w:ind w:right="142" w:firstLine="425"/>
        <w:jc w:val="both"/>
        <w:rPr>
          <w:rFonts w:eastAsia="Calibri"/>
          <w:color w:val="000000"/>
        </w:rPr>
      </w:pPr>
      <w:r>
        <w:rPr>
          <w:rFonts w:eastAsia="Calibri"/>
          <w:color w:val="000000"/>
        </w:rPr>
        <w:t>За аналогичный период 20</w:t>
      </w:r>
      <w:r w:rsidR="00E22407">
        <w:rPr>
          <w:rFonts w:eastAsia="Calibri"/>
          <w:color w:val="000000"/>
        </w:rPr>
        <w:t>21</w:t>
      </w:r>
      <w:r>
        <w:rPr>
          <w:rFonts w:eastAsia="Calibri"/>
          <w:color w:val="000000"/>
        </w:rPr>
        <w:t xml:space="preserve"> года состоявшимися были признаны  </w:t>
      </w:r>
      <w:r w:rsidRPr="009722B1">
        <w:rPr>
          <w:rFonts w:eastAsia="Calibri"/>
          <w:b/>
          <w:color w:val="000000"/>
        </w:rPr>
        <w:t>1</w:t>
      </w:r>
      <w:r>
        <w:rPr>
          <w:rFonts w:eastAsia="Calibri"/>
          <w:b/>
          <w:color w:val="000000"/>
        </w:rPr>
        <w:t>4</w:t>
      </w:r>
      <w:r w:rsidR="00E22407">
        <w:rPr>
          <w:rFonts w:eastAsia="Calibri"/>
          <w:b/>
          <w:color w:val="000000"/>
        </w:rPr>
        <w:t>5</w:t>
      </w:r>
      <w:r>
        <w:rPr>
          <w:rFonts w:eastAsia="Calibri"/>
          <w:b/>
          <w:color w:val="000000"/>
        </w:rPr>
        <w:t xml:space="preserve"> закупок</w:t>
      </w:r>
      <w:r>
        <w:rPr>
          <w:rFonts w:eastAsia="Calibri"/>
          <w:color w:val="000000"/>
        </w:rPr>
        <w:t xml:space="preserve"> (</w:t>
      </w:r>
      <w:r w:rsidR="00E22407">
        <w:rPr>
          <w:rFonts w:eastAsia="Calibri"/>
          <w:color w:val="000000"/>
        </w:rPr>
        <w:t>64,7</w:t>
      </w:r>
      <w:r>
        <w:rPr>
          <w:rFonts w:eastAsia="Calibri"/>
          <w:color w:val="000000"/>
        </w:rPr>
        <w:t>% от общего количества закупок)</w:t>
      </w:r>
      <w:proofErr w:type="gramStart"/>
      <w:r>
        <w:rPr>
          <w:rFonts w:eastAsia="Calibri"/>
          <w:color w:val="000000"/>
        </w:rPr>
        <w:t xml:space="preserve"> ,</w:t>
      </w:r>
      <w:proofErr w:type="gramEnd"/>
      <w:r>
        <w:rPr>
          <w:rFonts w:eastAsia="Calibri"/>
          <w:color w:val="000000"/>
        </w:rPr>
        <w:t xml:space="preserve"> с суммарным значением НМЦК – </w:t>
      </w:r>
      <w:r w:rsidR="00E22407">
        <w:rPr>
          <w:rFonts w:eastAsia="Calibri"/>
          <w:color w:val="000000"/>
        </w:rPr>
        <w:t xml:space="preserve">             </w:t>
      </w:r>
      <w:r w:rsidR="00E22407" w:rsidRPr="00E22407">
        <w:rPr>
          <w:rFonts w:eastAsia="Calibri"/>
          <w:b/>
          <w:color w:val="000000"/>
        </w:rPr>
        <w:t>220 226,3</w:t>
      </w:r>
      <w:r w:rsidRPr="0097544D">
        <w:rPr>
          <w:rFonts w:eastAsia="Calibri"/>
          <w:b/>
          <w:color w:val="000000"/>
        </w:rPr>
        <w:t xml:space="preserve"> тыс</w:t>
      </w:r>
      <w:r w:rsidRPr="008A7BFF">
        <w:rPr>
          <w:rFonts w:eastAsia="Calibri"/>
          <w:b/>
          <w:color w:val="000000"/>
        </w:rPr>
        <w:t>. руб</w:t>
      </w:r>
      <w:r w:rsidRPr="008A7BFF">
        <w:rPr>
          <w:rFonts w:eastAsia="Calibri"/>
          <w:color w:val="000000"/>
        </w:rPr>
        <w:t>. (</w:t>
      </w:r>
      <w:r w:rsidR="00397DDB">
        <w:rPr>
          <w:rFonts w:eastAsia="Calibri"/>
          <w:color w:val="000000"/>
        </w:rPr>
        <w:t>58,6</w:t>
      </w:r>
      <w:r w:rsidRPr="008A7BFF">
        <w:rPr>
          <w:rFonts w:eastAsia="Calibri"/>
          <w:color w:val="000000"/>
        </w:rPr>
        <w:t>%</w:t>
      </w:r>
      <w:r w:rsidRPr="008A7BFF">
        <w:rPr>
          <w:rFonts w:eastAsia="Calibri"/>
          <w:b/>
          <w:bCs/>
          <w:color w:val="000000"/>
        </w:rPr>
        <w:t xml:space="preserve"> </w:t>
      </w:r>
      <w:r w:rsidRPr="008A7BFF">
        <w:rPr>
          <w:rFonts w:eastAsia="Calibri"/>
          <w:color w:val="000000"/>
        </w:rPr>
        <w:t xml:space="preserve">от общего объема </w:t>
      </w:r>
      <w:r>
        <w:rPr>
          <w:rFonts w:eastAsia="Calibri"/>
          <w:color w:val="000000"/>
        </w:rPr>
        <w:t>закупок</w:t>
      </w:r>
      <w:r w:rsidRPr="008A7BFF">
        <w:rPr>
          <w:rFonts w:eastAsia="Calibri"/>
          <w:color w:val="000000"/>
        </w:rPr>
        <w:t>)</w:t>
      </w:r>
      <w:r w:rsidR="00D62359">
        <w:rPr>
          <w:rFonts w:eastAsia="Calibri"/>
          <w:color w:val="000000"/>
        </w:rPr>
        <w:t>.</w:t>
      </w:r>
    </w:p>
    <w:p w:rsidR="00D62359" w:rsidRDefault="00D62359" w:rsidP="00D62359">
      <w:pPr>
        <w:jc w:val="both"/>
      </w:pPr>
      <w:r>
        <w:rPr>
          <w:rFonts w:eastAsia="Calibri"/>
          <w:color w:val="000000"/>
        </w:rPr>
        <w:t xml:space="preserve">       Как уже отмечалось выше,</w:t>
      </w:r>
      <w:r>
        <w:t xml:space="preserve"> существенный рост стоимостного объема закупок может быть обусловлен общим ростом цен на товары и материалы  в связи с введением с 24.02.2022 года мер ограничительного характера иностранными государствами, совершающими недружественные действия в отношении Российской Федерации (санкции).</w:t>
      </w:r>
    </w:p>
    <w:p w:rsidR="00AD2BA3" w:rsidRPr="004939C8" w:rsidRDefault="00AD2BA3" w:rsidP="00AD2BA3">
      <w:pPr>
        <w:autoSpaceDE w:val="0"/>
        <w:autoSpaceDN w:val="0"/>
        <w:adjustRightInd w:val="0"/>
        <w:jc w:val="center"/>
        <w:rPr>
          <w:rFonts w:eastAsia="Calibri"/>
          <w:i/>
          <w:color w:val="000000"/>
          <w:sz w:val="23"/>
          <w:szCs w:val="23"/>
        </w:rPr>
      </w:pPr>
      <w:r>
        <w:rPr>
          <w:rFonts w:eastAsia="Calibri"/>
          <w:bCs/>
          <w:i/>
          <w:color w:val="000000"/>
          <w:sz w:val="23"/>
          <w:szCs w:val="23"/>
        </w:rPr>
        <w:t xml:space="preserve">Сведения о состоявшихся </w:t>
      </w:r>
      <w:r w:rsidRPr="004939C8">
        <w:rPr>
          <w:rFonts w:eastAsia="Calibri"/>
          <w:bCs/>
          <w:i/>
          <w:color w:val="000000"/>
          <w:sz w:val="23"/>
          <w:szCs w:val="23"/>
        </w:rPr>
        <w:t xml:space="preserve"> </w:t>
      </w:r>
      <w:r w:rsidR="00AC19A8">
        <w:rPr>
          <w:rFonts w:eastAsia="Calibri"/>
          <w:bCs/>
          <w:i/>
          <w:color w:val="000000"/>
          <w:sz w:val="23"/>
          <w:szCs w:val="23"/>
        </w:rPr>
        <w:t xml:space="preserve">в 2022 году </w:t>
      </w:r>
      <w:r w:rsidRPr="004939C8">
        <w:rPr>
          <w:rFonts w:eastAsia="Calibri"/>
          <w:bCs/>
          <w:i/>
          <w:color w:val="000000"/>
          <w:sz w:val="23"/>
          <w:szCs w:val="23"/>
        </w:rPr>
        <w:t>закупк</w:t>
      </w:r>
      <w:r>
        <w:rPr>
          <w:rFonts w:eastAsia="Calibri"/>
          <w:bCs/>
          <w:i/>
          <w:color w:val="000000"/>
          <w:sz w:val="23"/>
          <w:szCs w:val="23"/>
        </w:rPr>
        <w:t xml:space="preserve">ах, </w:t>
      </w:r>
      <w:r w:rsidRPr="004939C8">
        <w:rPr>
          <w:rFonts w:eastAsia="Calibri"/>
          <w:bCs/>
          <w:i/>
          <w:color w:val="000000"/>
          <w:sz w:val="23"/>
          <w:szCs w:val="23"/>
        </w:rPr>
        <w:t xml:space="preserve"> по результатам которых был определен победитель и заключен контракт</w:t>
      </w:r>
      <w:r>
        <w:rPr>
          <w:rFonts w:eastAsia="Calibri"/>
          <w:bCs/>
          <w:i/>
          <w:color w:val="000000"/>
          <w:sz w:val="23"/>
          <w:szCs w:val="23"/>
        </w:rPr>
        <w:t>, представлены в таблице 5</w:t>
      </w:r>
    </w:p>
    <w:p w:rsidR="00AD2BA3" w:rsidRPr="00F96B20" w:rsidRDefault="00AD2BA3" w:rsidP="00394FC3">
      <w:pPr>
        <w:autoSpaceDE w:val="0"/>
        <w:autoSpaceDN w:val="0"/>
        <w:adjustRightInd w:val="0"/>
        <w:rPr>
          <w:rFonts w:eastAsia="Calibri"/>
          <w:color w:val="000000"/>
        </w:rPr>
      </w:pPr>
      <w:r>
        <w:rPr>
          <w:rFonts w:eastAsia="Calibri"/>
          <w:b/>
          <w:color w:val="000000"/>
          <w:sz w:val="20"/>
          <w:szCs w:val="20"/>
        </w:rPr>
        <w:t>Таблица 5</w:t>
      </w:r>
      <w:r w:rsidR="00394FC3">
        <w:rPr>
          <w:rFonts w:eastAsia="Calibri"/>
          <w:b/>
          <w:color w:val="000000"/>
          <w:sz w:val="20"/>
          <w:szCs w:val="20"/>
        </w:rPr>
        <w:t xml:space="preserve">                                                                                                                                                      тыс. руб.</w:t>
      </w:r>
    </w:p>
    <w:tbl>
      <w:tblPr>
        <w:tblpPr w:leftFromText="180" w:rightFromText="180" w:vertAnchor="text" w:horzAnchor="margin" w:tblpXSpec="center" w:tblpY="254"/>
        <w:tblW w:w="9404" w:type="dxa"/>
        <w:tblLayout w:type="fixed"/>
        <w:tblLook w:val="00A0" w:firstRow="1" w:lastRow="0" w:firstColumn="1" w:lastColumn="0" w:noHBand="0" w:noVBand="0"/>
      </w:tblPr>
      <w:tblGrid>
        <w:gridCol w:w="3856"/>
        <w:gridCol w:w="3062"/>
        <w:gridCol w:w="2486"/>
      </w:tblGrid>
      <w:tr w:rsidR="00AD2BA3" w:rsidRPr="002B7FA2" w:rsidTr="00397DDB">
        <w:trPr>
          <w:trHeight w:val="253"/>
          <w:tblHeader/>
        </w:trPr>
        <w:tc>
          <w:tcPr>
            <w:tcW w:w="3856" w:type="dxa"/>
            <w:vMerge w:val="restart"/>
            <w:tcBorders>
              <w:top w:val="single" w:sz="8" w:space="0" w:color="auto"/>
              <w:left w:val="single" w:sz="8" w:space="0" w:color="auto"/>
              <w:bottom w:val="single" w:sz="8" w:space="0" w:color="000000"/>
              <w:right w:val="single" w:sz="4" w:space="0" w:color="auto"/>
            </w:tcBorders>
            <w:shd w:val="clear" w:color="auto" w:fill="EEECE1" w:themeFill="background2"/>
            <w:tcMar>
              <w:top w:w="0" w:type="dxa"/>
              <w:left w:w="28" w:type="dxa"/>
              <w:bottom w:w="0" w:type="dxa"/>
              <w:right w:w="28" w:type="dxa"/>
            </w:tcMar>
            <w:vAlign w:val="center"/>
          </w:tcPr>
          <w:p w:rsidR="00AD2BA3" w:rsidRPr="00C80AAE" w:rsidRDefault="00AD2BA3" w:rsidP="00397DDB">
            <w:pPr>
              <w:jc w:val="center"/>
              <w:rPr>
                <w:b/>
                <w:bCs/>
                <w:sz w:val="20"/>
                <w:szCs w:val="20"/>
              </w:rPr>
            </w:pPr>
          </w:p>
          <w:p w:rsidR="00AD2BA3" w:rsidRPr="00C80AAE" w:rsidRDefault="00AD2BA3" w:rsidP="00397DDB">
            <w:pPr>
              <w:jc w:val="center"/>
              <w:rPr>
                <w:b/>
                <w:bCs/>
                <w:sz w:val="20"/>
                <w:szCs w:val="20"/>
              </w:rPr>
            </w:pPr>
            <w:r w:rsidRPr="00C80AAE">
              <w:rPr>
                <w:b/>
                <w:bCs/>
                <w:sz w:val="20"/>
                <w:szCs w:val="20"/>
              </w:rPr>
              <w:t>Способы закупок</w:t>
            </w:r>
          </w:p>
        </w:tc>
        <w:tc>
          <w:tcPr>
            <w:tcW w:w="3062" w:type="dxa"/>
            <w:vMerge w:val="restart"/>
            <w:tcBorders>
              <w:top w:val="single" w:sz="8" w:space="0" w:color="auto"/>
              <w:left w:val="nil"/>
              <w:right w:val="single" w:sz="4" w:space="0" w:color="auto"/>
            </w:tcBorders>
            <w:shd w:val="clear" w:color="auto" w:fill="EEECE1" w:themeFill="background2"/>
            <w:tcMar>
              <w:top w:w="0" w:type="dxa"/>
              <w:left w:w="28" w:type="dxa"/>
              <w:bottom w:w="0" w:type="dxa"/>
              <w:right w:w="28" w:type="dxa"/>
            </w:tcMar>
            <w:vAlign w:val="center"/>
          </w:tcPr>
          <w:p w:rsidR="00AD2BA3" w:rsidRDefault="00AD2BA3" w:rsidP="00397DDB">
            <w:pPr>
              <w:jc w:val="center"/>
              <w:rPr>
                <w:b/>
                <w:bCs/>
                <w:sz w:val="20"/>
                <w:szCs w:val="20"/>
              </w:rPr>
            </w:pPr>
            <w:r w:rsidRPr="00C80AAE">
              <w:rPr>
                <w:b/>
                <w:bCs/>
                <w:sz w:val="20"/>
                <w:szCs w:val="20"/>
              </w:rPr>
              <w:t>Суммарная начальная (максимальная) цена</w:t>
            </w:r>
          </w:p>
          <w:p w:rsidR="00AD2BA3" w:rsidRPr="00C80AAE" w:rsidRDefault="00AD2BA3" w:rsidP="00397DDB">
            <w:pPr>
              <w:jc w:val="center"/>
              <w:rPr>
                <w:b/>
                <w:bCs/>
                <w:sz w:val="20"/>
                <w:szCs w:val="20"/>
              </w:rPr>
            </w:pPr>
            <w:r w:rsidRPr="00C80AAE">
              <w:rPr>
                <w:b/>
                <w:bCs/>
                <w:sz w:val="20"/>
                <w:szCs w:val="20"/>
              </w:rPr>
              <w:t>тыс. руб.</w:t>
            </w:r>
          </w:p>
        </w:tc>
        <w:tc>
          <w:tcPr>
            <w:tcW w:w="2486" w:type="dxa"/>
            <w:vMerge w:val="restart"/>
            <w:tcBorders>
              <w:top w:val="single" w:sz="8" w:space="0" w:color="auto"/>
              <w:left w:val="single" w:sz="4" w:space="0" w:color="auto"/>
              <w:right w:val="single" w:sz="8" w:space="0" w:color="auto"/>
            </w:tcBorders>
            <w:shd w:val="clear" w:color="auto" w:fill="EEECE1" w:themeFill="background2"/>
            <w:tcMar>
              <w:top w:w="0" w:type="dxa"/>
              <w:left w:w="28" w:type="dxa"/>
              <w:bottom w:w="0" w:type="dxa"/>
              <w:right w:w="28" w:type="dxa"/>
            </w:tcMar>
            <w:vAlign w:val="center"/>
          </w:tcPr>
          <w:p w:rsidR="00AD2BA3" w:rsidRDefault="00AD2BA3" w:rsidP="00397DDB">
            <w:pPr>
              <w:jc w:val="center"/>
              <w:rPr>
                <w:b/>
                <w:bCs/>
                <w:sz w:val="20"/>
                <w:szCs w:val="20"/>
              </w:rPr>
            </w:pPr>
            <w:r>
              <w:rPr>
                <w:b/>
                <w:bCs/>
                <w:sz w:val="20"/>
                <w:szCs w:val="20"/>
              </w:rPr>
              <w:t>Количество закупок</w:t>
            </w:r>
          </w:p>
          <w:p w:rsidR="00AD2BA3" w:rsidRPr="00C80AAE" w:rsidRDefault="00AD2BA3" w:rsidP="00397DDB">
            <w:pPr>
              <w:jc w:val="center"/>
              <w:rPr>
                <w:b/>
                <w:bCs/>
                <w:sz w:val="20"/>
                <w:szCs w:val="20"/>
              </w:rPr>
            </w:pPr>
          </w:p>
        </w:tc>
      </w:tr>
      <w:tr w:rsidR="00AD2BA3" w:rsidRPr="002B7FA2" w:rsidTr="00397DDB">
        <w:trPr>
          <w:trHeight w:val="540"/>
          <w:tblHeader/>
        </w:trPr>
        <w:tc>
          <w:tcPr>
            <w:tcW w:w="3856" w:type="dxa"/>
            <w:vMerge/>
            <w:tcBorders>
              <w:top w:val="single" w:sz="8" w:space="0" w:color="auto"/>
              <w:left w:val="single" w:sz="8" w:space="0" w:color="auto"/>
              <w:bottom w:val="single" w:sz="8" w:space="0" w:color="000000"/>
              <w:right w:val="single" w:sz="4" w:space="0" w:color="auto"/>
            </w:tcBorders>
            <w:shd w:val="clear" w:color="auto" w:fill="EEECE1" w:themeFill="background2"/>
            <w:vAlign w:val="center"/>
          </w:tcPr>
          <w:p w:rsidR="00AD2BA3" w:rsidRPr="002B7FA2" w:rsidRDefault="00AD2BA3" w:rsidP="00AD2BA3">
            <w:pPr>
              <w:rPr>
                <w:b/>
                <w:bCs/>
                <w:sz w:val="18"/>
                <w:szCs w:val="20"/>
              </w:rPr>
            </w:pPr>
          </w:p>
        </w:tc>
        <w:tc>
          <w:tcPr>
            <w:tcW w:w="3062" w:type="dxa"/>
            <w:vMerge/>
            <w:tcBorders>
              <w:left w:val="nil"/>
              <w:bottom w:val="single" w:sz="8" w:space="0" w:color="auto"/>
              <w:right w:val="single" w:sz="4" w:space="0" w:color="auto"/>
            </w:tcBorders>
            <w:shd w:val="clear" w:color="auto" w:fill="EEECE1" w:themeFill="background2"/>
            <w:tcMar>
              <w:top w:w="0" w:type="dxa"/>
              <w:left w:w="28" w:type="dxa"/>
              <w:bottom w:w="0" w:type="dxa"/>
              <w:right w:w="28" w:type="dxa"/>
            </w:tcMar>
            <w:vAlign w:val="center"/>
          </w:tcPr>
          <w:p w:rsidR="00AD2BA3" w:rsidRPr="002B7FA2" w:rsidRDefault="00AD2BA3" w:rsidP="00AD2BA3">
            <w:pPr>
              <w:jc w:val="center"/>
              <w:rPr>
                <w:b/>
                <w:bCs/>
                <w:sz w:val="18"/>
                <w:szCs w:val="20"/>
              </w:rPr>
            </w:pPr>
          </w:p>
        </w:tc>
        <w:tc>
          <w:tcPr>
            <w:tcW w:w="2486" w:type="dxa"/>
            <w:vMerge/>
            <w:tcBorders>
              <w:left w:val="single" w:sz="4" w:space="0" w:color="auto"/>
              <w:bottom w:val="single" w:sz="8" w:space="0" w:color="000000"/>
              <w:right w:val="single" w:sz="8" w:space="0" w:color="auto"/>
            </w:tcBorders>
            <w:shd w:val="clear" w:color="auto" w:fill="EEECE1" w:themeFill="background2"/>
            <w:vAlign w:val="center"/>
          </w:tcPr>
          <w:p w:rsidR="00AD2BA3" w:rsidRPr="002B7FA2" w:rsidRDefault="00AD2BA3" w:rsidP="00AD2BA3">
            <w:pPr>
              <w:rPr>
                <w:b/>
                <w:bCs/>
                <w:sz w:val="18"/>
                <w:szCs w:val="20"/>
              </w:rPr>
            </w:pPr>
          </w:p>
        </w:tc>
      </w:tr>
      <w:tr w:rsidR="00AD2BA3" w:rsidRPr="00D154DB" w:rsidTr="006E0A20">
        <w:trPr>
          <w:trHeight w:val="89"/>
          <w:tblHeader/>
        </w:trPr>
        <w:tc>
          <w:tcPr>
            <w:tcW w:w="3856"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AD2BA3" w:rsidRPr="00D154DB" w:rsidRDefault="00AD2BA3" w:rsidP="00AD2BA3">
            <w:pPr>
              <w:jc w:val="center"/>
              <w:rPr>
                <w:b/>
                <w:sz w:val="18"/>
                <w:szCs w:val="20"/>
              </w:rPr>
            </w:pPr>
            <w:r w:rsidRPr="00D154DB">
              <w:rPr>
                <w:b/>
                <w:sz w:val="18"/>
                <w:szCs w:val="20"/>
              </w:rPr>
              <w:t>1</w:t>
            </w:r>
          </w:p>
        </w:tc>
        <w:tc>
          <w:tcPr>
            <w:tcW w:w="3062" w:type="dxa"/>
            <w:tcBorders>
              <w:top w:val="nil"/>
              <w:left w:val="nil"/>
              <w:bottom w:val="single" w:sz="8" w:space="0" w:color="auto"/>
              <w:right w:val="single" w:sz="4" w:space="0" w:color="auto"/>
            </w:tcBorders>
            <w:tcMar>
              <w:top w:w="0" w:type="dxa"/>
              <w:left w:w="28" w:type="dxa"/>
              <w:bottom w:w="0" w:type="dxa"/>
              <w:right w:w="28" w:type="dxa"/>
            </w:tcMar>
            <w:vAlign w:val="center"/>
          </w:tcPr>
          <w:p w:rsidR="00AD2BA3" w:rsidRPr="00D154DB" w:rsidRDefault="00AD2BA3" w:rsidP="00AD2BA3">
            <w:pPr>
              <w:jc w:val="center"/>
              <w:rPr>
                <w:b/>
                <w:sz w:val="18"/>
                <w:szCs w:val="20"/>
              </w:rPr>
            </w:pPr>
            <w:r w:rsidRPr="00D154DB">
              <w:rPr>
                <w:b/>
                <w:sz w:val="18"/>
                <w:szCs w:val="20"/>
              </w:rPr>
              <w:t>2</w:t>
            </w:r>
          </w:p>
        </w:tc>
        <w:tc>
          <w:tcPr>
            <w:tcW w:w="2486" w:type="dxa"/>
            <w:tcBorders>
              <w:top w:val="nil"/>
              <w:left w:val="nil"/>
              <w:bottom w:val="single" w:sz="8" w:space="0" w:color="auto"/>
              <w:right w:val="single" w:sz="4" w:space="0" w:color="auto"/>
            </w:tcBorders>
            <w:noWrap/>
            <w:tcMar>
              <w:top w:w="0" w:type="dxa"/>
              <w:left w:w="28" w:type="dxa"/>
              <w:bottom w:w="0" w:type="dxa"/>
              <w:right w:w="28" w:type="dxa"/>
            </w:tcMar>
            <w:vAlign w:val="bottom"/>
          </w:tcPr>
          <w:p w:rsidR="00AD2BA3" w:rsidRPr="00D154DB" w:rsidRDefault="00AD2BA3" w:rsidP="00AD2BA3">
            <w:pPr>
              <w:jc w:val="center"/>
              <w:rPr>
                <w:b/>
                <w:sz w:val="18"/>
                <w:szCs w:val="20"/>
              </w:rPr>
            </w:pPr>
            <w:r>
              <w:rPr>
                <w:b/>
                <w:sz w:val="18"/>
                <w:szCs w:val="20"/>
              </w:rPr>
              <w:t>3</w:t>
            </w:r>
          </w:p>
        </w:tc>
      </w:tr>
      <w:tr w:rsidR="00AD2BA3" w:rsidRPr="00B17798" w:rsidTr="00AD2BA3">
        <w:trPr>
          <w:trHeight w:val="165"/>
        </w:trPr>
        <w:tc>
          <w:tcPr>
            <w:tcW w:w="9404" w:type="dxa"/>
            <w:gridSpan w:val="3"/>
            <w:tcBorders>
              <w:top w:val="nil"/>
              <w:left w:val="single" w:sz="8" w:space="0" w:color="auto"/>
              <w:bottom w:val="single" w:sz="4" w:space="0" w:color="auto"/>
              <w:right w:val="single" w:sz="4" w:space="0" w:color="auto"/>
            </w:tcBorders>
            <w:noWrap/>
            <w:vAlign w:val="bottom"/>
          </w:tcPr>
          <w:p w:rsidR="00AD2BA3" w:rsidRPr="001C3BFC" w:rsidRDefault="00AD2BA3" w:rsidP="00AD2BA3">
            <w:pPr>
              <w:jc w:val="center"/>
              <w:rPr>
                <w:b/>
              </w:rPr>
            </w:pPr>
            <w:r>
              <w:rPr>
                <w:b/>
                <w:bCs/>
                <w:lang w:eastAsia="en-US"/>
              </w:rPr>
              <w:t xml:space="preserve">               </w:t>
            </w:r>
            <w:r w:rsidRPr="001C3BFC">
              <w:rPr>
                <w:b/>
                <w:bCs/>
                <w:lang w:eastAsia="en-US"/>
              </w:rPr>
              <w:t>Конкурентные закупки</w:t>
            </w:r>
          </w:p>
        </w:tc>
      </w:tr>
      <w:tr w:rsidR="00AD2BA3" w:rsidRPr="00B17798" w:rsidTr="006E0A20">
        <w:trPr>
          <w:trHeight w:val="375"/>
        </w:trPr>
        <w:tc>
          <w:tcPr>
            <w:tcW w:w="3856" w:type="dxa"/>
            <w:tcBorders>
              <w:top w:val="single" w:sz="4" w:space="0" w:color="auto"/>
              <w:left w:val="single" w:sz="8" w:space="0" w:color="auto"/>
              <w:bottom w:val="single" w:sz="4" w:space="0" w:color="auto"/>
              <w:right w:val="single" w:sz="4" w:space="0" w:color="auto"/>
            </w:tcBorders>
            <w:noWrap/>
            <w:vAlign w:val="bottom"/>
          </w:tcPr>
          <w:p w:rsidR="00AD2BA3" w:rsidRPr="004178CE" w:rsidRDefault="00AD2BA3" w:rsidP="00AD2BA3">
            <w:pPr>
              <w:rPr>
                <w:sz w:val="20"/>
                <w:szCs w:val="20"/>
              </w:rPr>
            </w:pPr>
            <w:r w:rsidRPr="004178CE">
              <w:rPr>
                <w:sz w:val="20"/>
                <w:szCs w:val="20"/>
              </w:rPr>
              <w:t>Электронный аукцион</w:t>
            </w:r>
          </w:p>
        </w:tc>
        <w:tc>
          <w:tcPr>
            <w:tcW w:w="3062"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AD2BA3" w:rsidRPr="00AC19A8" w:rsidRDefault="00AC19A8" w:rsidP="00D969A5">
            <w:pPr>
              <w:jc w:val="center"/>
              <w:rPr>
                <w:sz w:val="22"/>
                <w:szCs w:val="22"/>
              </w:rPr>
            </w:pPr>
            <w:r>
              <w:rPr>
                <w:sz w:val="22"/>
                <w:szCs w:val="22"/>
              </w:rPr>
              <w:t>152 944,2</w:t>
            </w:r>
          </w:p>
        </w:tc>
        <w:tc>
          <w:tcPr>
            <w:tcW w:w="2486" w:type="dxa"/>
            <w:tcBorders>
              <w:top w:val="single" w:sz="4" w:space="0" w:color="auto"/>
              <w:left w:val="nil"/>
              <w:bottom w:val="single" w:sz="4" w:space="0" w:color="auto"/>
              <w:right w:val="single" w:sz="4" w:space="0" w:color="auto"/>
            </w:tcBorders>
            <w:noWrap/>
            <w:tcMar>
              <w:left w:w="28" w:type="dxa"/>
              <w:right w:w="28" w:type="dxa"/>
            </w:tcMar>
            <w:vAlign w:val="center"/>
          </w:tcPr>
          <w:p w:rsidR="00AD2BA3" w:rsidRPr="00AC19A8" w:rsidRDefault="00AC19A8" w:rsidP="00D969A5">
            <w:pPr>
              <w:jc w:val="center"/>
              <w:rPr>
                <w:sz w:val="22"/>
                <w:szCs w:val="22"/>
              </w:rPr>
            </w:pPr>
            <w:r>
              <w:rPr>
                <w:sz w:val="22"/>
                <w:szCs w:val="22"/>
              </w:rPr>
              <w:t>47</w:t>
            </w:r>
          </w:p>
        </w:tc>
      </w:tr>
      <w:tr w:rsidR="00AC19A8" w:rsidRPr="00B17798" w:rsidTr="006E0A20">
        <w:trPr>
          <w:trHeight w:val="424"/>
        </w:trPr>
        <w:tc>
          <w:tcPr>
            <w:tcW w:w="3856" w:type="dxa"/>
            <w:tcBorders>
              <w:top w:val="nil"/>
              <w:left w:val="single" w:sz="8" w:space="0" w:color="auto"/>
              <w:bottom w:val="single" w:sz="4" w:space="0" w:color="auto"/>
              <w:right w:val="single" w:sz="4" w:space="0" w:color="auto"/>
            </w:tcBorders>
            <w:noWrap/>
            <w:vAlign w:val="bottom"/>
          </w:tcPr>
          <w:p w:rsidR="00AC19A8" w:rsidRPr="004178CE" w:rsidRDefault="00AC19A8" w:rsidP="00AC19A8">
            <w:pPr>
              <w:rPr>
                <w:sz w:val="20"/>
                <w:szCs w:val="20"/>
              </w:rPr>
            </w:pPr>
            <w:r>
              <w:rPr>
                <w:sz w:val="20"/>
                <w:szCs w:val="20"/>
              </w:rPr>
              <w:t>Электронный  з</w:t>
            </w:r>
            <w:r w:rsidRPr="004178CE">
              <w:rPr>
                <w:sz w:val="20"/>
                <w:szCs w:val="20"/>
              </w:rPr>
              <w:t>апрос котировок</w:t>
            </w:r>
            <w:r>
              <w:rPr>
                <w:sz w:val="20"/>
                <w:szCs w:val="20"/>
              </w:rPr>
              <w:t xml:space="preserve"> </w:t>
            </w:r>
          </w:p>
        </w:tc>
        <w:tc>
          <w:tcPr>
            <w:tcW w:w="3062"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AC19A8" w:rsidRPr="00AC19A8" w:rsidRDefault="00AC19A8" w:rsidP="00AC19A8">
            <w:pPr>
              <w:jc w:val="center"/>
              <w:rPr>
                <w:sz w:val="22"/>
                <w:szCs w:val="22"/>
              </w:rPr>
            </w:pPr>
            <w:r>
              <w:rPr>
                <w:sz w:val="22"/>
                <w:szCs w:val="22"/>
              </w:rPr>
              <w:t>-</w:t>
            </w:r>
          </w:p>
        </w:tc>
        <w:tc>
          <w:tcPr>
            <w:tcW w:w="2486" w:type="dxa"/>
            <w:tcBorders>
              <w:top w:val="nil"/>
              <w:left w:val="nil"/>
              <w:bottom w:val="single" w:sz="4" w:space="0" w:color="auto"/>
              <w:right w:val="single" w:sz="4" w:space="0" w:color="auto"/>
            </w:tcBorders>
            <w:noWrap/>
            <w:tcMar>
              <w:left w:w="28" w:type="dxa"/>
              <w:right w:w="28" w:type="dxa"/>
            </w:tcMar>
            <w:vAlign w:val="center"/>
          </w:tcPr>
          <w:p w:rsidR="00AC19A8" w:rsidRPr="00AC19A8" w:rsidRDefault="00AC19A8" w:rsidP="00AC19A8">
            <w:pPr>
              <w:jc w:val="center"/>
              <w:rPr>
                <w:sz w:val="22"/>
                <w:szCs w:val="22"/>
              </w:rPr>
            </w:pPr>
            <w:r>
              <w:rPr>
                <w:sz w:val="22"/>
                <w:szCs w:val="22"/>
              </w:rPr>
              <w:t>-</w:t>
            </w:r>
          </w:p>
        </w:tc>
      </w:tr>
      <w:tr w:rsidR="00AC19A8" w:rsidRPr="00B17798" w:rsidTr="006E0A20">
        <w:trPr>
          <w:trHeight w:val="349"/>
        </w:trPr>
        <w:tc>
          <w:tcPr>
            <w:tcW w:w="3856" w:type="dxa"/>
            <w:tcBorders>
              <w:top w:val="nil"/>
              <w:left w:val="single" w:sz="8" w:space="0" w:color="auto"/>
              <w:bottom w:val="single" w:sz="4" w:space="0" w:color="auto"/>
              <w:right w:val="single" w:sz="4" w:space="0" w:color="auto"/>
            </w:tcBorders>
            <w:noWrap/>
            <w:vAlign w:val="bottom"/>
          </w:tcPr>
          <w:p w:rsidR="00AC19A8" w:rsidRDefault="00AC19A8" w:rsidP="00AC19A8">
            <w:pPr>
              <w:rPr>
                <w:sz w:val="20"/>
                <w:szCs w:val="20"/>
              </w:rPr>
            </w:pPr>
            <w:r>
              <w:rPr>
                <w:sz w:val="22"/>
                <w:szCs w:val="22"/>
              </w:rPr>
              <w:t>Электронный к</w:t>
            </w:r>
            <w:r w:rsidRPr="003100E2">
              <w:rPr>
                <w:sz w:val="22"/>
                <w:szCs w:val="22"/>
              </w:rPr>
              <w:t>онкурс</w:t>
            </w:r>
            <w:r>
              <w:rPr>
                <w:sz w:val="22"/>
                <w:szCs w:val="22"/>
              </w:rPr>
              <w:t xml:space="preserve"> </w:t>
            </w:r>
          </w:p>
        </w:tc>
        <w:tc>
          <w:tcPr>
            <w:tcW w:w="3062"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AC19A8" w:rsidRPr="00AC19A8" w:rsidRDefault="00AC19A8" w:rsidP="00AC19A8">
            <w:pPr>
              <w:jc w:val="center"/>
              <w:rPr>
                <w:sz w:val="22"/>
                <w:szCs w:val="22"/>
              </w:rPr>
            </w:pPr>
            <w:r>
              <w:rPr>
                <w:sz w:val="22"/>
                <w:szCs w:val="22"/>
              </w:rPr>
              <w:t>522,0</w:t>
            </w:r>
          </w:p>
        </w:tc>
        <w:tc>
          <w:tcPr>
            <w:tcW w:w="2486" w:type="dxa"/>
            <w:tcBorders>
              <w:top w:val="nil"/>
              <w:left w:val="nil"/>
              <w:bottom w:val="single" w:sz="4" w:space="0" w:color="auto"/>
              <w:right w:val="single" w:sz="4" w:space="0" w:color="auto"/>
            </w:tcBorders>
            <w:noWrap/>
            <w:tcMar>
              <w:left w:w="28" w:type="dxa"/>
              <w:right w:w="28" w:type="dxa"/>
            </w:tcMar>
            <w:vAlign w:val="center"/>
          </w:tcPr>
          <w:p w:rsidR="00AC19A8" w:rsidRPr="00AC19A8" w:rsidRDefault="00AC19A8" w:rsidP="00AC19A8">
            <w:pPr>
              <w:jc w:val="center"/>
              <w:rPr>
                <w:sz w:val="22"/>
                <w:szCs w:val="22"/>
              </w:rPr>
            </w:pPr>
            <w:r>
              <w:rPr>
                <w:sz w:val="22"/>
                <w:szCs w:val="22"/>
              </w:rPr>
              <w:t>1</w:t>
            </w:r>
          </w:p>
        </w:tc>
      </w:tr>
      <w:tr w:rsidR="00AD2BA3" w:rsidRPr="00B17798" w:rsidTr="006E0A20">
        <w:trPr>
          <w:trHeight w:val="228"/>
        </w:trPr>
        <w:tc>
          <w:tcPr>
            <w:tcW w:w="3856" w:type="dxa"/>
            <w:tcBorders>
              <w:top w:val="nil"/>
              <w:left w:val="single" w:sz="8" w:space="0" w:color="auto"/>
              <w:bottom w:val="single" w:sz="4" w:space="0" w:color="auto"/>
              <w:right w:val="single" w:sz="4" w:space="0" w:color="auto"/>
            </w:tcBorders>
            <w:noWrap/>
            <w:vAlign w:val="bottom"/>
          </w:tcPr>
          <w:p w:rsidR="00AD2BA3" w:rsidRPr="001C3BFC" w:rsidRDefault="00AD2BA3" w:rsidP="00AD2BA3">
            <w:pPr>
              <w:rPr>
                <w:b/>
                <w:sz w:val="18"/>
                <w:szCs w:val="18"/>
              </w:rPr>
            </w:pPr>
            <w:r w:rsidRPr="001C3BFC">
              <w:rPr>
                <w:b/>
                <w:sz w:val="18"/>
                <w:szCs w:val="18"/>
              </w:rPr>
              <w:t>ИТОГО</w:t>
            </w:r>
          </w:p>
        </w:tc>
        <w:tc>
          <w:tcPr>
            <w:tcW w:w="3062"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AD2BA3" w:rsidRPr="00AC19A8" w:rsidRDefault="004E2B33" w:rsidP="00596E9E">
            <w:pPr>
              <w:jc w:val="center"/>
              <w:rPr>
                <w:b/>
                <w:sz w:val="22"/>
                <w:szCs w:val="22"/>
              </w:rPr>
            </w:pPr>
            <w:r>
              <w:rPr>
                <w:b/>
                <w:sz w:val="22"/>
                <w:szCs w:val="22"/>
              </w:rPr>
              <w:t>153 466,2</w:t>
            </w:r>
          </w:p>
        </w:tc>
        <w:tc>
          <w:tcPr>
            <w:tcW w:w="2486" w:type="dxa"/>
            <w:tcBorders>
              <w:top w:val="nil"/>
              <w:left w:val="nil"/>
              <w:bottom w:val="single" w:sz="4" w:space="0" w:color="auto"/>
              <w:right w:val="single" w:sz="4" w:space="0" w:color="auto"/>
            </w:tcBorders>
            <w:noWrap/>
            <w:tcMar>
              <w:left w:w="28" w:type="dxa"/>
              <w:right w:w="28" w:type="dxa"/>
            </w:tcMar>
            <w:vAlign w:val="center"/>
          </w:tcPr>
          <w:p w:rsidR="00AD2BA3" w:rsidRPr="00AC19A8" w:rsidRDefault="004E2B33" w:rsidP="00596E9E">
            <w:pPr>
              <w:jc w:val="center"/>
              <w:rPr>
                <w:b/>
                <w:sz w:val="22"/>
                <w:szCs w:val="22"/>
              </w:rPr>
            </w:pPr>
            <w:r>
              <w:rPr>
                <w:b/>
                <w:sz w:val="22"/>
                <w:szCs w:val="22"/>
              </w:rPr>
              <w:t>48</w:t>
            </w:r>
          </w:p>
        </w:tc>
      </w:tr>
      <w:tr w:rsidR="00AD2BA3" w:rsidRPr="00B17798" w:rsidTr="00AD2BA3">
        <w:trPr>
          <w:trHeight w:val="198"/>
        </w:trPr>
        <w:tc>
          <w:tcPr>
            <w:tcW w:w="9404" w:type="dxa"/>
            <w:gridSpan w:val="3"/>
            <w:tcBorders>
              <w:top w:val="single" w:sz="4" w:space="0" w:color="auto"/>
              <w:left w:val="single" w:sz="8" w:space="0" w:color="auto"/>
              <w:bottom w:val="single" w:sz="4" w:space="0" w:color="auto"/>
              <w:right w:val="single" w:sz="4" w:space="0" w:color="auto"/>
            </w:tcBorders>
            <w:noWrap/>
            <w:vAlign w:val="bottom"/>
          </w:tcPr>
          <w:p w:rsidR="00AD2BA3" w:rsidRPr="00132155" w:rsidRDefault="00AD2BA3" w:rsidP="00AD2BA3">
            <w:pPr>
              <w:jc w:val="center"/>
              <w:rPr>
                <w:b/>
              </w:rPr>
            </w:pPr>
            <w:r>
              <w:rPr>
                <w:b/>
              </w:rPr>
              <w:t xml:space="preserve">                    </w:t>
            </w:r>
            <w:r w:rsidRPr="00132155">
              <w:rPr>
                <w:b/>
              </w:rPr>
              <w:t>Закупки у единственного поставщика (часть 1 статьи 93)</w:t>
            </w:r>
          </w:p>
        </w:tc>
      </w:tr>
      <w:tr w:rsidR="00AD2BA3" w:rsidRPr="00B17798" w:rsidTr="006E0A20">
        <w:trPr>
          <w:trHeight w:val="520"/>
        </w:trPr>
        <w:tc>
          <w:tcPr>
            <w:tcW w:w="3856" w:type="dxa"/>
            <w:tcBorders>
              <w:top w:val="single" w:sz="4" w:space="0" w:color="auto"/>
              <w:left w:val="single" w:sz="8" w:space="0" w:color="auto"/>
              <w:bottom w:val="single" w:sz="4" w:space="0" w:color="auto"/>
              <w:right w:val="single" w:sz="4" w:space="0" w:color="auto"/>
            </w:tcBorders>
            <w:noWrap/>
            <w:vAlign w:val="bottom"/>
          </w:tcPr>
          <w:p w:rsidR="00AD2BA3" w:rsidRPr="004178CE" w:rsidRDefault="00AD2BA3" w:rsidP="00AD2BA3">
            <w:pPr>
              <w:rPr>
                <w:sz w:val="20"/>
                <w:szCs w:val="20"/>
              </w:rPr>
            </w:pPr>
            <w:r w:rsidRPr="004178CE">
              <w:rPr>
                <w:sz w:val="20"/>
                <w:szCs w:val="20"/>
              </w:rPr>
              <w:t>Закупки у единственного поставщика (пункты 1,</w:t>
            </w:r>
            <w:r w:rsidR="00AC19A8">
              <w:rPr>
                <w:sz w:val="20"/>
                <w:szCs w:val="20"/>
              </w:rPr>
              <w:t>2,</w:t>
            </w:r>
            <w:r w:rsidRPr="004178CE">
              <w:rPr>
                <w:sz w:val="20"/>
                <w:szCs w:val="20"/>
              </w:rPr>
              <w:t>6,8,</w:t>
            </w:r>
            <w:r>
              <w:rPr>
                <w:sz w:val="20"/>
                <w:szCs w:val="20"/>
              </w:rPr>
              <w:t xml:space="preserve">22,23, </w:t>
            </w:r>
            <w:r w:rsidRPr="004178CE">
              <w:rPr>
                <w:sz w:val="20"/>
                <w:szCs w:val="20"/>
              </w:rPr>
              <w:t>29 ст.93)</w:t>
            </w:r>
          </w:p>
          <w:p w:rsidR="00AD2BA3" w:rsidRDefault="00AD2BA3" w:rsidP="00AD2BA3">
            <w:pPr>
              <w:rPr>
                <w:sz w:val="18"/>
                <w:szCs w:val="18"/>
              </w:rPr>
            </w:pPr>
          </w:p>
        </w:tc>
        <w:tc>
          <w:tcPr>
            <w:tcW w:w="3062"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AD2BA3" w:rsidRPr="00AC19A8" w:rsidRDefault="004E2B33" w:rsidP="00596E9E">
            <w:pPr>
              <w:jc w:val="center"/>
              <w:rPr>
                <w:sz w:val="22"/>
                <w:szCs w:val="22"/>
              </w:rPr>
            </w:pPr>
            <w:r>
              <w:rPr>
                <w:sz w:val="22"/>
                <w:szCs w:val="22"/>
              </w:rPr>
              <w:t>356 463,4</w:t>
            </w:r>
          </w:p>
        </w:tc>
        <w:tc>
          <w:tcPr>
            <w:tcW w:w="2486" w:type="dxa"/>
            <w:tcBorders>
              <w:top w:val="single" w:sz="4" w:space="0" w:color="auto"/>
              <w:left w:val="nil"/>
              <w:bottom w:val="single" w:sz="4" w:space="0" w:color="auto"/>
              <w:right w:val="single" w:sz="4" w:space="0" w:color="auto"/>
            </w:tcBorders>
            <w:noWrap/>
            <w:tcMar>
              <w:left w:w="28" w:type="dxa"/>
              <w:right w:w="28" w:type="dxa"/>
            </w:tcMar>
            <w:vAlign w:val="center"/>
          </w:tcPr>
          <w:p w:rsidR="00AD2BA3" w:rsidRPr="00AC19A8" w:rsidRDefault="004E2B33" w:rsidP="00596E9E">
            <w:pPr>
              <w:jc w:val="center"/>
              <w:rPr>
                <w:sz w:val="22"/>
                <w:szCs w:val="22"/>
              </w:rPr>
            </w:pPr>
            <w:r>
              <w:rPr>
                <w:sz w:val="22"/>
                <w:szCs w:val="22"/>
              </w:rPr>
              <w:t>87</w:t>
            </w:r>
          </w:p>
        </w:tc>
      </w:tr>
      <w:tr w:rsidR="00AD2BA3" w:rsidRPr="00B17798" w:rsidTr="00397DDB">
        <w:trPr>
          <w:trHeight w:val="225"/>
        </w:trPr>
        <w:tc>
          <w:tcPr>
            <w:tcW w:w="3856" w:type="dxa"/>
            <w:tcBorders>
              <w:top w:val="single" w:sz="4" w:space="0" w:color="auto"/>
              <w:left w:val="single" w:sz="8" w:space="0" w:color="auto"/>
              <w:bottom w:val="single" w:sz="4" w:space="0" w:color="auto"/>
              <w:right w:val="single" w:sz="4" w:space="0" w:color="auto"/>
            </w:tcBorders>
            <w:shd w:val="clear" w:color="auto" w:fill="EEECE1" w:themeFill="background2"/>
            <w:noWrap/>
            <w:vAlign w:val="bottom"/>
          </w:tcPr>
          <w:p w:rsidR="00AD2BA3" w:rsidRPr="00132155" w:rsidRDefault="00AD2BA3" w:rsidP="00AD2BA3">
            <w:pPr>
              <w:rPr>
                <w:b/>
                <w:bCs/>
                <w:sz w:val="18"/>
                <w:szCs w:val="18"/>
              </w:rPr>
            </w:pPr>
            <w:r>
              <w:rPr>
                <w:b/>
                <w:bCs/>
                <w:sz w:val="18"/>
                <w:szCs w:val="18"/>
              </w:rPr>
              <w:t>И</w:t>
            </w:r>
            <w:r w:rsidRPr="00132155">
              <w:rPr>
                <w:b/>
                <w:bCs/>
                <w:sz w:val="18"/>
                <w:szCs w:val="18"/>
              </w:rPr>
              <w:t>ТОГО</w:t>
            </w:r>
          </w:p>
        </w:tc>
        <w:tc>
          <w:tcPr>
            <w:tcW w:w="3062" w:type="dxa"/>
            <w:tcBorders>
              <w:top w:val="single" w:sz="4" w:space="0" w:color="auto"/>
              <w:left w:val="nil"/>
              <w:bottom w:val="single" w:sz="4" w:space="0" w:color="auto"/>
              <w:right w:val="single" w:sz="4" w:space="0" w:color="auto"/>
            </w:tcBorders>
            <w:shd w:val="clear" w:color="auto" w:fill="EEECE1" w:themeFill="background2"/>
            <w:noWrap/>
            <w:tcMar>
              <w:top w:w="0" w:type="dxa"/>
              <w:left w:w="0" w:type="dxa"/>
              <w:bottom w:w="0" w:type="dxa"/>
              <w:right w:w="0" w:type="dxa"/>
            </w:tcMar>
            <w:vAlign w:val="center"/>
          </w:tcPr>
          <w:p w:rsidR="00AD2BA3" w:rsidRPr="00AC19A8" w:rsidRDefault="004E2B33" w:rsidP="00596E9E">
            <w:pPr>
              <w:jc w:val="center"/>
              <w:rPr>
                <w:b/>
                <w:sz w:val="22"/>
                <w:szCs w:val="22"/>
              </w:rPr>
            </w:pPr>
            <w:r>
              <w:rPr>
                <w:b/>
                <w:sz w:val="22"/>
                <w:szCs w:val="22"/>
              </w:rPr>
              <w:t>356 463,4</w:t>
            </w:r>
          </w:p>
        </w:tc>
        <w:tc>
          <w:tcPr>
            <w:tcW w:w="2486" w:type="dxa"/>
            <w:tcBorders>
              <w:top w:val="single" w:sz="4" w:space="0" w:color="auto"/>
              <w:left w:val="nil"/>
              <w:bottom w:val="single" w:sz="4" w:space="0" w:color="auto"/>
              <w:right w:val="single" w:sz="4" w:space="0" w:color="auto"/>
            </w:tcBorders>
            <w:shd w:val="clear" w:color="auto" w:fill="EEECE1" w:themeFill="background2"/>
            <w:noWrap/>
            <w:tcMar>
              <w:left w:w="28" w:type="dxa"/>
              <w:right w:w="28" w:type="dxa"/>
            </w:tcMar>
            <w:vAlign w:val="center"/>
          </w:tcPr>
          <w:p w:rsidR="00AD2BA3" w:rsidRPr="00AC19A8" w:rsidRDefault="004E2B33" w:rsidP="00AD2BA3">
            <w:pPr>
              <w:jc w:val="center"/>
              <w:rPr>
                <w:b/>
                <w:sz w:val="22"/>
                <w:szCs w:val="22"/>
              </w:rPr>
            </w:pPr>
            <w:r>
              <w:rPr>
                <w:b/>
                <w:sz w:val="22"/>
                <w:szCs w:val="22"/>
              </w:rPr>
              <w:t>87</w:t>
            </w:r>
          </w:p>
        </w:tc>
      </w:tr>
      <w:tr w:rsidR="00AD2BA3" w:rsidRPr="00B17798" w:rsidTr="00397DDB">
        <w:trPr>
          <w:trHeight w:val="255"/>
        </w:trPr>
        <w:tc>
          <w:tcPr>
            <w:tcW w:w="3856" w:type="dxa"/>
            <w:tcBorders>
              <w:top w:val="nil"/>
              <w:left w:val="single" w:sz="8" w:space="0" w:color="auto"/>
              <w:bottom w:val="single" w:sz="4" w:space="0" w:color="auto"/>
              <w:right w:val="single" w:sz="4" w:space="0" w:color="auto"/>
            </w:tcBorders>
            <w:shd w:val="clear" w:color="auto" w:fill="EEECE1" w:themeFill="background2"/>
            <w:noWrap/>
            <w:vAlign w:val="bottom"/>
          </w:tcPr>
          <w:p w:rsidR="00AD2BA3" w:rsidRPr="00F37A7B" w:rsidRDefault="00AD2BA3" w:rsidP="00AD2BA3">
            <w:pPr>
              <w:rPr>
                <w:b/>
              </w:rPr>
            </w:pPr>
            <w:r>
              <w:rPr>
                <w:b/>
              </w:rPr>
              <w:t>Всего</w:t>
            </w:r>
          </w:p>
        </w:tc>
        <w:tc>
          <w:tcPr>
            <w:tcW w:w="3062" w:type="dxa"/>
            <w:tcBorders>
              <w:top w:val="nil"/>
              <w:left w:val="nil"/>
              <w:bottom w:val="single" w:sz="4" w:space="0" w:color="auto"/>
              <w:right w:val="single" w:sz="4" w:space="0" w:color="auto"/>
            </w:tcBorders>
            <w:shd w:val="clear" w:color="auto" w:fill="EEECE1" w:themeFill="background2"/>
            <w:noWrap/>
            <w:tcMar>
              <w:top w:w="0" w:type="dxa"/>
              <w:left w:w="0" w:type="dxa"/>
              <w:bottom w:w="0" w:type="dxa"/>
              <w:right w:w="0" w:type="dxa"/>
            </w:tcMar>
            <w:vAlign w:val="center"/>
          </w:tcPr>
          <w:p w:rsidR="00AD2BA3" w:rsidRPr="00AC19A8" w:rsidRDefault="004E2B33" w:rsidP="00596E9E">
            <w:pPr>
              <w:jc w:val="center"/>
              <w:rPr>
                <w:b/>
                <w:sz w:val="22"/>
                <w:szCs w:val="22"/>
              </w:rPr>
            </w:pPr>
            <w:r>
              <w:rPr>
                <w:b/>
                <w:sz w:val="22"/>
                <w:szCs w:val="22"/>
              </w:rPr>
              <w:t>509 929,6</w:t>
            </w:r>
          </w:p>
        </w:tc>
        <w:tc>
          <w:tcPr>
            <w:tcW w:w="2486" w:type="dxa"/>
            <w:tcBorders>
              <w:top w:val="nil"/>
              <w:left w:val="nil"/>
              <w:bottom w:val="single" w:sz="4" w:space="0" w:color="auto"/>
              <w:right w:val="single" w:sz="4" w:space="0" w:color="auto"/>
            </w:tcBorders>
            <w:shd w:val="clear" w:color="auto" w:fill="EEECE1" w:themeFill="background2"/>
            <w:noWrap/>
            <w:tcMar>
              <w:left w:w="28" w:type="dxa"/>
              <w:right w:w="28" w:type="dxa"/>
            </w:tcMar>
            <w:vAlign w:val="center"/>
          </w:tcPr>
          <w:p w:rsidR="00AD2BA3" w:rsidRPr="00AC19A8" w:rsidRDefault="004E2B33" w:rsidP="00596E9E">
            <w:pPr>
              <w:jc w:val="center"/>
              <w:rPr>
                <w:b/>
                <w:sz w:val="22"/>
                <w:szCs w:val="22"/>
              </w:rPr>
            </w:pPr>
            <w:r>
              <w:rPr>
                <w:b/>
                <w:sz w:val="22"/>
                <w:szCs w:val="22"/>
              </w:rPr>
              <w:t>135</w:t>
            </w:r>
          </w:p>
        </w:tc>
      </w:tr>
    </w:tbl>
    <w:p w:rsidR="00E450E4" w:rsidRDefault="00E450E4" w:rsidP="00685BF6">
      <w:pPr>
        <w:autoSpaceDE w:val="0"/>
        <w:autoSpaceDN w:val="0"/>
        <w:adjustRightInd w:val="0"/>
        <w:spacing w:line="120" w:lineRule="auto"/>
        <w:ind w:left="425" w:right="142"/>
        <w:jc w:val="both"/>
        <w:rPr>
          <w:rFonts w:eastAsia="Calibri"/>
          <w:color w:val="000000"/>
        </w:rPr>
      </w:pPr>
    </w:p>
    <w:p w:rsidR="00AD2BA3" w:rsidRDefault="00F73DEA" w:rsidP="00456F59">
      <w:pPr>
        <w:numPr>
          <w:ilvl w:val="0"/>
          <w:numId w:val="16"/>
        </w:numPr>
        <w:autoSpaceDE w:val="0"/>
        <w:autoSpaceDN w:val="0"/>
        <w:adjustRightInd w:val="0"/>
        <w:spacing w:after="120" w:line="300" w:lineRule="exact"/>
        <w:ind w:left="0" w:right="-2" w:firstLine="426"/>
        <w:jc w:val="both"/>
        <w:rPr>
          <w:rFonts w:eastAsia="Calibri"/>
          <w:color w:val="000000"/>
        </w:rPr>
      </w:pPr>
      <w:r>
        <w:rPr>
          <w:rFonts w:eastAsia="Calibri"/>
          <w:color w:val="000000"/>
        </w:rPr>
        <w:t>По итогам проведения за 20</w:t>
      </w:r>
      <w:r w:rsidR="00C439A7">
        <w:rPr>
          <w:rFonts w:eastAsia="Calibri"/>
          <w:color w:val="000000"/>
        </w:rPr>
        <w:t>22</w:t>
      </w:r>
      <w:r>
        <w:rPr>
          <w:rFonts w:eastAsia="Calibri"/>
          <w:color w:val="000000"/>
        </w:rPr>
        <w:t xml:space="preserve"> год</w:t>
      </w:r>
      <w:r w:rsidR="00FB74F2">
        <w:rPr>
          <w:rFonts w:eastAsia="Calibri"/>
          <w:color w:val="000000"/>
        </w:rPr>
        <w:t xml:space="preserve"> закупок, запланированных в планах - графиках на 20</w:t>
      </w:r>
      <w:r w:rsidR="00C439A7">
        <w:rPr>
          <w:rFonts w:eastAsia="Calibri"/>
          <w:color w:val="000000"/>
        </w:rPr>
        <w:t xml:space="preserve">22 </w:t>
      </w:r>
      <w:r w:rsidR="00FB74F2">
        <w:rPr>
          <w:rFonts w:eastAsia="Calibri"/>
          <w:color w:val="000000"/>
        </w:rPr>
        <w:t xml:space="preserve"> </w:t>
      </w:r>
      <w:r w:rsidR="00C439A7">
        <w:rPr>
          <w:rFonts w:eastAsia="Calibri"/>
          <w:color w:val="000000"/>
        </w:rPr>
        <w:t xml:space="preserve">финансовый </w:t>
      </w:r>
      <w:r w:rsidR="00FB74F2">
        <w:rPr>
          <w:rFonts w:eastAsia="Calibri"/>
          <w:color w:val="000000"/>
        </w:rPr>
        <w:t>год</w:t>
      </w:r>
      <w:r w:rsidR="00C439A7">
        <w:rPr>
          <w:rFonts w:eastAsia="Calibri"/>
          <w:color w:val="000000"/>
        </w:rPr>
        <w:t xml:space="preserve"> и плановый период 2023-2024 годов</w:t>
      </w:r>
      <w:r w:rsidR="00FB74F2">
        <w:rPr>
          <w:rFonts w:eastAsia="Calibri"/>
          <w:color w:val="000000"/>
        </w:rPr>
        <w:t>, н</w:t>
      </w:r>
      <w:r w:rsidR="00AD2BA3" w:rsidRPr="008A7BFF">
        <w:rPr>
          <w:rFonts w:eastAsia="Calibri"/>
          <w:color w:val="000000"/>
        </w:rPr>
        <w:t xml:space="preserve">есостоявшимися было признано </w:t>
      </w:r>
      <w:r w:rsidR="0097544D">
        <w:rPr>
          <w:rFonts w:eastAsia="Calibri"/>
          <w:color w:val="000000"/>
        </w:rPr>
        <w:t xml:space="preserve"> </w:t>
      </w:r>
      <w:r w:rsidR="00C439A7">
        <w:rPr>
          <w:rFonts w:eastAsia="Calibri"/>
          <w:b/>
          <w:color w:val="000000"/>
        </w:rPr>
        <w:t>119</w:t>
      </w:r>
      <w:r w:rsidR="00AD2BA3" w:rsidRPr="00FB74F2">
        <w:rPr>
          <w:rFonts w:eastAsia="Calibri"/>
          <w:b/>
          <w:color w:val="000000"/>
        </w:rPr>
        <w:t xml:space="preserve"> закуп</w:t>
      </w:r>
      <w:r w:rsidR="00FB74F2" w:rsidRPr="00FB74F2">
        <w:rPr>
          <w:rFonts w:eastAsia="Calibri"/>
          <w:b/>
          <w:color w:val="000000"/>
        </w:rPr>
        <w:t>ок</w:t>
      </w:r>
      <w:r w:rsidR="00AD2BA3" w:rsidRPr="008A7BFF">
        <w:rPr>
          <w:rFonts w:eastAsia="Calibri"/>
          <w:b/>
          <w:color w:val="000000"/>
        </w:rPr>
        <w:t xml:space="preserve"> </w:t>
      </w:r>
      <w:r w:rsidR="00AD2BA3" w:rsidRPr="0097544D">
        <w:rPr>
          <w:rFonts w:eastAsia="Calibri"/>
          <w:color w:val="000000"/>
        </w:rPr>
        <w:t>(</w:t>
      </w:r>
      <w:r w:rsidR="00C439A7">
        <w:rPr>
          <w:rFonts w:eastAsia="Calibri"/>
          <w:color w:val="000000"/>
        </w:rPr>
        <w:t>46,9</w:t>
      </w:r>
      <w:r w:rsidR="00AD2BA3" w:rsidRPr="0097544D">
        <w:rPr>
          <w:rFonts w:eastAsia="Calibri"/>
          <w:color w:val="000000"/>
        </w:rPr>
        <w:t>%)</w:t>
      </w:r>
      <w:r w:rsidR="00AD2BA3" w:rsidRPr="008A7BFF">
        <w:rPr>
          <w:rFonts w:eastAsia="Calibri"/>
          <w:b/>
          <w:color w:val="000000"/>
        </w:rPr>
        <w:t xml:space="preserve"> </w:t>
      </w:r>
      <w:r w:rsidR="00AD2BA3" w:rsidRPr="008A7BFF">
        <w:rPr>
          <w:rFonts w:eastAsia="Calibri"/>
          <w:color w:val="000000"/>
        </w:rPr>
        <w:t xml:space="preserve">от общего количества закупок. </w:t>
      </w:r>
      <w:r w:rsidR="00AD2BA3">
        <w:rPr>
          <w:rFonts w:eastAsia="Calibri"/>
          <w:color w:val="000000"/>
        </w:rPr>
        <w:t xml:space="preserve"> </w:t>
      </w:r>
      <w:r w:rsidR="00AD2BA3" w:rsidRPr="008A7BFF">
        <w:rPr>
          <w:rFonts w:eastAsia="Calibri"/>
          <w:color w:val="000000"/>
        </w:rPr>
        <w:t xml:space="preserve">В стоимостном выражении </w:t>
      </w:r>
      <w:r w:rsidR="00AD2BA3" w:rsidRPr="008A7BFF">
        <w:rPr>
          <w:rFonts w:eastAsia="Calibri"/>
          <w:color w:val="000000"/>
        </w:rPr>
        <w:lastRenderedPageBreak/>
        <w:t xml:space="preserve">объем несостоявшихся закупок составил </w:t>
      </w:r>
      <w:r w:rsidR="006210FB">
        <w:rPr>
          <w:rFonts w:eastAsia="Calibri"/>
          <w:color w:val="000000"/>
        </w:rPr>
        <w:t xml:space="preserve"> </w:t>
      </w:r>
      <w:r w:rsidR="00C439A7">
        <w:rPr>
          <w:rFonts w:eastAsia="Calibri"/>
          <w:b/>
          <w:color w:val="000000"/>
        </w:rPr>
        <w:t>499 139,3</w:t>
      </w:r>
      <w:r w:rsidR="00AD2BA3" w:rsidRPr="0097544D">
        <w:rPr>
          <w:rFonts w:eastAsia="Calibri"/>
          <w:b/>
          <w:color w:val="000000"/>
        </w:rPr>
        <w:t xml:space="preserve"> тыс</w:t>
      </w:r>
      <w:r w:rsidR="00AD2BA3" w:rsidRPr="008A7BFF">
        <w:rPr>
          <w:rFonts w:eastAsia="Calibri"/>
          <w:b/>
          <w:color w:val="000000"/>
        </w:rPr>
        <w:t>. руб</w:t>
      </w:r>
      <w:r w:rsidR="00AD2BA3" w:rsidRPr="008A7BFF">
        <w:rPr>
          <w:rFonts w:eastAsia="Calibri"/>
          <w:color w:val="000000"/>
        </w:rPr>
        <w:t>. (</w:t>
      </w:r>
      <w:r w:rsidR="00C439A7">
        <w:rPr>
          <w:rFonts w:eastAsia="Calibri"/>
          <w:color w:val="000000"/>
        </w:rPr>
        <w:t>49,4%</w:t>
      </w:r>
      <w:r w:rsidR="00AD2BA3" w:rsidRPr="008A7BFF">
        <w:rPr>
          <w:rFonts w:eastAsia="Calibri"/>
          <w:b/>
          <w:bCs/>
          <w:color w:val="000000"/>
        </w:rPr>
        <w:t xml:space="preserve"> </w:t>
      </w:r>
      <w:r w:rsidR="00AD2BA3" w:rsidRPr="008A7BFF">
        <w:rPr>
          <w:rFonts w:eastAsia="Calibri"/>
          <w:color w:val="000000"/>
        </w:rPr>
        <w:t xml:space="preserve">от общего объема </w:t>
      </w:r>
      <w:r w:rsidR="00AD2BA3">
        <w:rPr>
          <w:rFonts w:eastAsia="Calibri"/>
          <w:color w:val="000000"/>
        </w:rPr>
        <w:t>закупок</w:t>
      </w:r>
      <w:r w:rsidR="00AD2BA3" w:rsidRPr="008A7BFF">
        <w:rPr>
          <w:rFonts w:eastAsia="Calibri"/>
          <w:color w:val="000000"/>
        </w:rPr>
        <w:t>)</w:t>
      </w:r>
      <w:r w:rsidR="00AD2BA3">
        <w:rPr>
          <w:rFonts w:eastAsia="Calibri"/>
          <w:color w:val="000000"/>
        </w:rPr>
        <w:t xml:space="preserve">, из них в </w:t>
      </w:r>
      <w:r w:rsidR="00C439A7">
        <w:rPr>
          <w:rFonts w:eastAsia="Calibri"/>
          <w:color w:val="000000"/>
        </w:rPr>
        <w:t>84,9</w:t>
      </w:r>
      <w:r w:rsidR="00AD2BA3">
        <w:rPr>
          <w:rFonts w:eastAsia="Calibri"/>
          <w:color w:val="000000"/>
        </w:rPr>
        <w:t>% случаев (</w:t>
      </w:r>
      <w:r w:rsidR="00C439A7">
        <w:rPr>
          <w:rFonts w:eastAsia="Calibri"/>
          <w:b/>
          <w:color w:val="000000"/>
        </w:rPr>
        <w:t xml:space="preserve">101 </w:t>
      </w:r>
      <w:r w:rsidR="00AD2BA3" w:rsidRPr="00072B1A">
        <w:rPr>
          <w:rFonts w:eastAsia="Calibri"/>
          <w:b/>
          <w:color w:val="000000"/>
        </w:rPr>
        <w:t>з</w:t>
      </w:r>
      <w:r w:rsidR="00AD2BA3" w:rsidRPr="001F0C31">
        <w:rPr>
          <w:rFonts w:eastAsia="Calibri"/>
          <w:b/>
          <w:color w:val="000000"/>
        </w:rPr>
        <w:t>акуп</w:t>
      </w:r>
      <w:r w:rsidR="00C439A7">
        <w:rPr>
          <w:rFonts w:eastAsia="Calibri"/>
          <w:b/>
          <w:color w:val="000000"/>
        </w:rPr>
        <w:t>ка</w:t>
      </w:r>
      <w:r w:rsidR="00AD2BA3">
        <w:rPr>
          <w:rFonts w:eastAsia="Calibri"/>
          <w:color w:val="000000"/>
        </w:rPr>
        <w:t xml:space="preserve"> общим объемом </w:t>
      </w:r>
      <w:r w:rsidR="00C439A7">
        <w:rPr>
          <w:rFonts w:eastAsia="Calibri"/>
          <w:b/>
          <w:color w:val="000000"/>
        </w:rPr>
        <w:t>437 647,8</w:t>
      </w:r>
      <w:r w:rsidR="007C111E" w:rsidRPr="007C111E">
        <w:rPr>
          <w:rFonts w:eastAsia="Calibri"/>
          <w:b/>
          <w:color w:val="000000"/>
        </w:rPr>
        <w:t>1</w:t>
      </w:r>
      <w:r w:rsidR="007C111E">
        <w:rPr>
          <w:rFonts w:eastAsia="Calibri"/>
          <w:b/>
          <w:color w:val="000000"/>
        </w:rPr>
        <w:t xml:space="preserve"> </w:t>
      </w:r>
      <w:r w:rsidR="00AD2BA3" w:rsidRPr="007C111E">
        <w:rPr>
          <w:rFonts w:eastAsia="Calibri"/>
          <w:b/>
          <w:color w:val="000000"/>
        </w:rPr>
        <w:t>тыс</w:t>
      </w:r>
      <w:r w:rsidR="00AD2BA3" w:rsidRPr="001F0C31">
        <w:rPr>
          <w:rFonts w:eastAsia="Calibri"/>
          <w:b/>
          <w:color w:val="000000"/>
        </w:rPr>
        <w:t>. руб</w:t>
      </w:r>
      <w:r w:rsidR="00AD2BA3">
        <w:rPr>
          <w:rFonts w:eastAsia="Calibri"/>
          <w:color w:val="000000"/>
        </w:rPr>
        <w:t>.) были заключены контракты с единственным поставщиком.</w:t>
      </w:r>
    </w:p>
    <w:p w:rsidR="007C111E" w:rsidRDefault="009722B1" w:rsidP="00577DF5">
      <w:pPr>
        <w:autoSpaceDE w:val="0"/>
        <w:autoSpaceDN w:val="0"/>
        <w:adjustRightInd w:val="0"/>
        <w:ind w:right="-2" w:firstLine="425"/>
        <w:jc w:val="both"/>
        <w:rPr>
          <w:rFonts w:eastAsia="Calibri"/>
          <w:color w:val="000000"/>
        </w:rPr>
      </w:pPr>
      <w:r>
        <w:rPr>
          <w:rFonts w:eastAsia="Calibri"/>
          <w:color w:val="000000"/>
        </w:rPr>
        <w:t>За аналогичный период 20</w:t>
      </w:r>
      <w:r w:rsidR="00C439A7">
        <w:rPr>
          <w:rFonts w:eastAsia="Calibri"/>
          <w:color w:val="000000"/>
        </w:rPr>
        <w:t>21</w:t>
      </w:r>
      <w:r>
        <w:rPr>
          <w:rFonts w:eastAsia="Calibri"/>
          <w:color w:val="000000"/>
        </w:rPr>
        <w:t xml:space="preserve"> года несостоявшимися признана  </w:t>
      </w:r>
      <w:r w:rsidR="00C439A7">
        <w:rPr>
          <w:rFonts w:eastAsia="Calibri"/>
          <w:b/>
          <w:color w:val="000000"/>
        </w:rPr>
        <w:t>79</w:t>
      </w:r>
      <w:r w:rsidR="007C111E">
        <w:rPr>
          <w:rFonts w:eastAsia="Calibri"/>
          <w:b/>
          <w:color w:val="000000"/>
        </w:rPr>
        <w:t xml:space="preserve"> закупок</w:t>
      </w:r>
      <w:r w:rsidR="00C439A7">
        <w:rPr>
          <w:rFonts w:eastAsia="Calibri"/>
          <w:color w:val="000000"/>
        </w:rPr>
        <w:t xml:space="preserve"> (35,3</w:t>
      </w:r>
      <w:r>
        <w:rPr>
          <w:rFonts w:eastAsia="Calibri"/>
          <w:color w:val="000000"/>
        </w:rPr>
        <w:t>%</w:t>
      </w:r>
      <w:r w:rsidR="002D71E4">
        <w:rPr>
          <w:rFonts w:eastAsia="Calibri"/>
          <w:color w:val="000000"/>
        </w:rPr>
        <w:t xml:space="preserve"> от общего количества закупок)</w:t>
      </w:r>
      <w:proofErr w:type="gramStart"/>
      <w:r w:rsidR="002D71E4">
        <w:rPr>
          <w:rFonts w:eastAsia="Calibri"/>
          <w:color w:val="000000"/>
        </w:rPr>
        <w:t xml:space="preserve"> </w:t>
      </w:r>
      <w:r w:rsidR="00A43879">
        <w:rPr>
          <w:rFonts w:eastAsia="Calibri"/>
          <w:color w:val="000000"/>
        </w:rPr>
        <w:t>,</w:t>
      </w:r>
      <w:proofErr w:type="gramEnd"/>
      <w:r w:rsidR="00A43879">
        <w:rPr>
          <w:rFonts w:eastAsia="Calibri"/>
          <w:color w:val="000000"/>
        </w:rPr>
        <w:t xml:space="preserve"> с суммарным значением НМЦК </w:t>
      </w:r>
      <w:r w:rsidR="00C439A7">
        <w:rPr>
          <w:rFonts w:eastAsia="Calibri"/>
          <w:color w:val="000000"/>
        </w:rPr>
        <w:t>–</w:t>
      </w:r>
      <w:r w:rsidR="005A6920">
        <w:rPr>
          <w:rFonts w:eastAsia="Calibri"/>
          <w:color w:val="000000"/>
        </w:rPr>
        <w:t xml:space="preserve"> </w:t>
      </w:r>
      <w:r w:rsidR="00C439A7">
        <w:rPr>
          <w:rFonts w:eastAsia="Calibri"/>
          <w:b/>
          <w:color w:val="000000"/>
        </w:rPr>
        <w:t>155 634,5</w:t>
      </w:r>
      <w:r w:rsidR="007C111E" w:rsidRPr="0097544D">
        <w:rPr>
          <w:rFonts w:eastAsia="Calibri"/>
          <w:b/>
          <w:color w:val="000000"/>
        </w:rPr>
        <w:t xml:space="preserve"> тыс</w:t>
      </w:r>
      <w:r w:rsidR="007C111E" w:rsidRPr="008A7BFF">
        <w:rPr>
          <w:rFonts w:eastAsia="Calibri"/>
          <w:b/>
          <w:color w:val="000000"/>
        </w:rPr>
        <w:t>. руб</w:t>
      </w:r>
      <w:r w:rsidR="007C111E" w:rsidRPr="008A7BFF">
        <w:rPr>
          <w:rFonts w:eastAsia="Calibri"/>
          <w:color w:val="000000"/>
        </w:rPr>
        <w:t>. (</w:t>
      </w:r>
      <w:r w:rsidR="00C439A7">
        <w:rPr>
          <w:rFonts w:eastAsia="Calibri"/>
          <w:color w:val="000000"/>
        </w:rPr>
        <w:t>41,4</w:t>
      </w:r>
      <w:r w:rsidR="007C111E" w:rsidRPr="008A7BFF">
        <w:rPr>
          <w:rFonts w:eastAsia="Calibri"/>
          <w:color w:val="000000"/>
        </w:rPr>
        <w:t>%</w:t>
      </w:r>
      <w:r w:rsidR="007C111E" w:rsidRPr="008A7BFF">
        <w:rPr>
          <w:rFonts w:eastAsia="Calibri"/>
          <w:b/>
          <w:bCs/>
          <w:color w:val="000000"/>
        </w:rPr>
        <w:t xml:space="preserve"> </w:t>
      </w:r>
      <w:r w:rsidR="007C111E" w:rsidRPr="008A7BFF">
        <w:rPr>
          <w:rFonts w:eastAsia="Calibri"/>
          <w:color w:val="000000"/>
        </w:rPr>
        <w:t xml:space="preserve">от общего объема </w:t>
      </w:r>
      <w:r w:rsidR="007C111E">
        <w:rPr>
          <w:rFonts w:eastAsia="Calibri"/>
          <w:color w:val="000000"/>
        </w:rPr>
        <w:t>закупок</w:t>
      </w:r>
      <w:r w:rsidR="007C111E" w:rsidRPr="008A7BFF">
        <w:rPr>
          <w:rFonts w:eastAsia="Calibri"/>
          <w:color w:val="000000"/>
        </w:rPr>
        <w:t>)</w:t>
      </w:r>
      <w:r w:rsidR="009734B9">
        <w:rPr>
          <w:rFonts w:eastAsia="Calibri"/>
          <w:color w:val="000000"/>
        </w:rPr>
        <w:t>.</w:t>
      </w:r>
    </w:p>
    <w:p w:rsidR="00577DF5" w:rsidRDefault="00577DF5" w:rsidP="00577DF5">
      <w:pPr>
        <w:ind w:right="-2" w:firstLine="426"/>
        <w:jc w:val="both"/>
        <w:rPr>
          <w:noProof/>
        </w:rPr>
      </w:pPr>
      <w:r>
        <w:rPr>
          <w:noProof/>
        </w:rPr>
        <w:t>С 01.01.2022 года вступили  в силу основные положения оптимизационного закона от 02.07.2021 №360-ФЗ «О внесении изменений в отдельные законодательные акты Российской Федерации». В частности, были введены:</w:t>
      </w:r>
    </w:p>
    <w:p w:rsidR="00577DF5" w:rsidRDefault="00577DF5" w:rsidP="00456F59">
      <w:pPr>
        <w:pStyle w:val="ab"/>
        <w:numPr>
          <w:ilvl w:val="0"/>
          <w:numId w:val="17"/>
        </w:numPr>
        <w:ind w:left="0" w:right="-2" w:firstLine="426"/>
        <w:rPr>
          <w:rFonts w:ascii="Times New Roman" w:hAnsi="Times New Roman" w:cs="Times New Roman"/>
          <w:noProof/>
        </w:rPr>
      </w:pPr>
      <w:r w:rsidRPr="00291C48">
        <w:rPr>
          <w:rFonts w:ascii="Times New Roman" w:hAnsi="Times New Roman" w:cs="Times New Roman"/>
          <w:noProof/>
        </w:rPr>
        <w:t>единые требования к содержанию</w:t>
      </w:r>
      <w:r>
        <w:rPr>
          <w:rFonts w:ascii="Times New Roman" w:hAnsi="Times New Roman" w:cs="Times New Roman"/>
          <w:noProof/>
        </w:rPr>
        <w:t xml:space="preserve"> извещения, а также к составу и содержанию заявок. Это существенно упростило  потенциальным участникам закупок подготовку заявок на участие в закупке, а также упрости</w:t>
      </w:r>
      <w:r w:rsidR="000B7341">
        <w:rPr>
          <w:rFonts w:ascii="Times New Roman" w:hAnsi="Times New Roman" w:cs="Times New Roman"/>
          <w:noProof/>
        </w:rPr>
        <w:t xml:space="preserve">ло потенциальным </w:t>
      </w:r>
      <w:r>
        <w:rPr>
          <w:rFonts w:ascii="Times New Roman" w:hAnsi="Times New Roman" w:cs="Times New Roman"/>
          <w:noProof/>
        </w:rPr>
        <w:t>заказчикам рассмотрение и оценку поступивших заявок на участие в закупке;</w:t>
      </w:r>
    </w:p>
    <w:p w:rsidR="00577DF5" w:rsidRDefault="00577DF5" w:rsidP="00456F59">
      <w:pPr>
        <w:pStyle w:val="ab"/>
        <w:numPr>
          <w:ilvl w:val="0"/>
          <w:numId w:val="17"/>
        </w:numPr>
        <w:ind w:left="0" w:right="-2" w:firstLine="426"/>
        <w:rPr>
          <w:rFonts w:ascii="Times New Roman" w:hAnsi="Times New Roman" w:cs="Times New Roman"/>
          <w:noProof/>
        </w:rPr>
      </w:pPr>
      <w:r>
        <w:rPr>
          <w:rFonts w:ascii="Times New Roman" w:hAnsi="Times New Roman" w:cs="Times New Roman"/>
          <w:noProof/>
        </w:rPr>
        <w:t>подача единой заявки для участия в электронном аукционе, прием ценовых предложений в течение 4 минут, проведение электронного аукциона до рассмотрения заказчиками заявок, где указаны технические характеристики объекта закупки. Это позволило не допустить раскрытия информации об участниках электронного аукциона;</w:t>
      </w:r>
    </w:p>
    <w:p w:rsidR="00577DF5" w:rsidRDefault="00577DF5" w:rsidP="00456F59">
      <w:pPr>
        <w:pStyle w:val="ab"/>
        <w:numPr>
          <w:ilvl w:val="0"/>
          <w:numId w:val="17"/>
        </w:numPr>
        <w:ind w:left="0" w:right="-2" w:firstLine="426"/>
        <w:rPr>
          <w:rFonts w:ascii="Times New Roman" w:hAnsi="Times New Roman" w:cs="Times New Roman"/>
          <w:noProof/>
        </w:rPr>
      </w:pPr>
      <w:r>
        <w:rPr>
          <w:rFonts w:ascii="Times New Roman" w:hAnsi="Times New Roman" w:cs="Times New Roman"/>
          <w:noProof/>
        </w:rPr>
        <w:t>универсальная «предквалификаци», когла участвовать в закупке с НМЦК  свыше 20 млн. руб. сможет хозяйствующий субъект, уже имеющий опыт исполнения контракта, заключенного в рамках Закона №44-ФЗ,на сумму не менее 20,0% от НМЦК.</w:t>
      </w:r>
    </w:p>
    <w:p w:rsidR="00577DF5" w:rsidRDefault="00577DF5" w:rsidP="00577DF5">
      <w:pPr>
        <w:pStyle w:val="ab"/>
        <w:ind w:left="0" w:right="-2" w:firstLine="426"/>
        <w:rPr>
          <w:rFonts w:ascii="Times New Roman" w:hAnsi="Times New Roman" w:cs="Times New Roman"/>
          <w:noProof/>
        </w:rPr>
      </w:pPr>
      <w:r>
        <w:rPr>
          <w:rFonts w:ascii="Times New Roman" w:hAnsi="Times New Roman" w:cs="Times New Roman"/>
          <w:noProof/>
        </w:rPr>
        <w:t xml:space="preserve">В результате введения данных новаций </w:t>
      </w:r>
      <w:r w:rsidRPr="00577DF5">
        <w:rPr>
          <w:rFonts w:ascii="Times New Roman" w:hAnsi="Times New Roman" w:cs="Times New Roman"/>
          <w:b/>
          <w:noProof/>
        </w:rPr>
        <w:t>ожидалось</w:t>
      </w:r>
      <w:r>
        <w:rPr>
          <w:rFonts w:ascii="Times New Roman" w:hAnsi="Times New Roman" w:cs="Times New Roman"/>
          <w:noProof/>
        </w:rPr>
        <w:t xml:space="preserve"> </w:t>
      </w:r>
      <w:r w:rsidRPr="004744EF">
        <w:rPr>
          <w:rFonts w:ascii="Times New Roman" w:hAnsi="Times New Roman" w:cs="Times New Roman"/>
          <w:b/>
          <w:noProof/>
        </w:rPr>
        <w:t>снижение</w:t>
      </w:r>
      <w:r>
        <w:rPr>
          <w:rFonts w:ascii="Times New Roman" w:hAnsi="Times New Roman" w:cs="Times New Roman"/>
          <w:noProof/>
        </w:rPr>
        <w:t xml:space="preserve"> доли закупок, признанных несостоявшимися.</w:t>
      </w:r>
    </w:p>
    <w:p w:rsidR="00577DF5" w:rsidRDefault="00577DF5" w:rsidP="00577DF5">
      <w:pPr>
        <w:autoSpaceDE w:val="0"/>
        <w:autoSpaceDN w:val="0"/>
        <w:adjustRightInd w:val="0"/>
        <w:ind w:right="-2" w:firstLine="425"/>
        <w:jc w:val="both"/>
        <w:rPr>
          <w:rFonts w:eastAsia="Calibri"/>
          <w:color w:val="000000"/>
        </w:rPr>
      </w:pPr>
      <w:r>
        <w:rPr>
          <w:rFonts w:eastAsia="Calibri"/>
          <w:color w:val="000000"/>
        </w:rPr>
        <w:t xml:space="preserve">Но по итогам отчетного периода 2022 года в  сравнении с базовым отмечается существенное </w:t>
      </w:r>
      <w:r w:rsidRPr="0083434C">
        <w:rPr>
          <w:rFonts w:eastAsia="Calibri"/>
          <w:b/>
          <w:color w:val="000000"/>
        </w:rPr>
        <w:t>увеличение</w:t>
      </w:r>
      <w:r>
        <w:rPr>
          <w:rFonts w:eastAsia="Calibri"/>
          <w:color w:val="000000"/>
        </w:rPr>
        <w:t xml:space="preserve"> количества несостоявшихся закупок  на  </w:t>
      </w:r>
      <w:r w:rsidRPr="0083434C">
        <w:rPr>
          <w:rFonts w:eastAsia="Calibri"/>
          <w:b/>
          <w:color w:val="000000"/>
        </w:rPr>
        <w:t>50,6 процентных пунктов</w:t>
      </w:r>
      <w:r>
        <w:rPr>
          <w:rFonts w:eastAsia="Calibri"/>
          <w:color w:val="000000"/>
        </w:rPr>
        <w:t xml:space="preserve"> при </w:t>
      </w:r>
      <w:r w:rsidRPr="0083434C">
        <w:rPr>
          <w:rFonts w:eastAsia="Calibri"/>
          <w:b/>
          <w:color w:val="000000"/>
        </w:rPr>
        <w:t>увеличении</w:t>
      </w:r>
      <w:r>
        <w:rPr>
          <w:rFonts w:eastAsia="Calibri"/>
          <w:color w:val="000000"/>
        </w:rPr>
        <w:t xml:space="preserve"> их стоимостного объема на </w:t>
      </w:r>
      <w:r w:rsidR="00A53244">
        <w:rPr>
          <w:rFonts w:eastAsia="Calibri"/>
          <w:color w:val="000000"/>
        </w:rPr>
        <w:t xml:space="preserve"> </w:t>
      </w:r>
      <w:r w:rsidRPr="0083434C">
        <w:rPr>
          <w:rFonts w:eastAsia="Calibri"/>
          <w:b/>
          <w:color w:val="000000"/>
        </w:rPr>
        <w:t>220,7 процентных пунктов</w:t>
      </w:r>
      <w:proofErr w:type="gramStart"/>
      <w:r>
        <w:rPr>
          <w:rFonts w:eastAsia="Calibri"/>
          <w:color w:val="000000"/>
        </w:rPr>
        <w:t xml:space="preserve"> .</w:t>
      </w:r>
      <w:proofErr w:type="gramEnd"/>
      <w:r>
        <w:rPr>
          <w:rFonts w:eastAsia="Calibri"/>
          <w:color w:val="000000"/>
        </w:rPr>
        <w:t xml:space="preserve">  </w:t>
      </w:r>
    </w:p>
    <w:p w:rsidR="006B699E" w:rsidRDefault="006B699E" w:rsidP="00C20917">
      <w:pPr>
        <w:autoSpaceDE w:val="0"/>
        <w:autoSpaceDN w:val="0"/>
        <w:adjustRightInd w:val="0"/>
        <w:spacing w:line="120" w:lineRule="auto"/>
        <w:ind w:right="142" w:firstLine="425"/>
        <w:jc w:val="both"/>
        <w:rPr>
          <w:rFonts w:eastAsia="Calibri"/>
          <w:color w:val="000000"/>
        </w:rPr>
      </w:pPr>
    </w:p>
    <w:p w:rsidR="006B699E" w:rsidRPr="006B699E" w:rsidRDefault="006B699E" w:rsidP="00577DF5">
      <w:pPr>
        <w:autoSpaceDE w:val="0"/>
        <w:autoSpaceDN w:val="0"/>
        <w:adjustRightInd w:val="0"/>
        <w:ind w:right="142" w:firstLine="425"/>
        <w:jc w:val="both"/>
        <w:rPr>
          <w:rFonts w:eastAsia="Calibri"/>
          <w:i/>
          <w:color w:val="000000"/>
        </w:rPr>
      </w:pPr>
      <w:r w:rsidRPr="006B699E">
        <w:rPr>
          <w:rFonts w:eastAsia="Calibri"/>
          <w:i/>
          <w:color w:val="000000"/>
        </w:rPr>
        <w:t xml:space="preserve">Увеличение </w:t>
      </w:r>
      <w:r>
        <w:rPr>
          <w:rFonts w:eastAsia="Calibri"/>
          <w:i/>
          <w:color w:val="000000"/>
        </w:rPr>
        <w:t>доли несостоявшихся закупок может быть обусловлено ростом цен на товары и дефицитом отдельных товаров на рынке в связи с введением с 24.02.2022 г. мер ограничительного характера</w:t>
      </w:r>
      <w:r w:rsidR="009A5DFC">
        <w:rPr>
          <w:rFonts w:eastAsia="Calibri"/>
          <w:i/>
          <w:color w:val="000000"/>
        </w:rPr>
        <w:t xml:space="preserve"> иностранными государствами, совершающими недружественные действия в отношении Российской Федерации (санкции).</w:t>
      </w:r>
    </w:p>
    <w:p w:rsidR="00577DF5" w:rsidRDefault="0083434C" w:rsidP="00577DF5">
      <w:pPr>
        <w:autoSpaceDE w:val="0"/>
        <w:autoSpaceDN w:val="0"/>
        <w:adjustRightInd w:val="0"/>
        <w:ind w:right="142" w:firstLine="425"/>
        <w:jc w:val="both"/>
        <w:rPr>
          <w:rFonts w:eastAsia="Calibri"/>
          <w:color w:val="000000"/>
        </w:rPr>
      </w:pPr>
      <w:r>
        <w:rPr>
          <w:rFonts w:eastAsia="Calibri"/>
          <w:color w:val="000000"/>
        </w:rPr>
        <w:t>И в</w:t>
      </w:r>
      <w:r w:rsidR="00577DF5">
        <w:rPr>
          <w:rFonts w:eastAsia="Calibri"/>
          <w:color w:val="000000"/>
        </w:rPr>
        <w:t xml:space="preserve"> то же время наблюдается  уменьшение доли несостоявшихся закупок,  которые в итоге привели к заключению контрактов  по сравнению с прошлым  периодом  2021 году на 13,9 процентных пунктов.</w:t>
      </w:r>
    </w:p>
    <w:p w:rsidR="00577DF5" w:rsidRDefault="00577DF5" w:rsidP="00B921F1">
      <w:pPr>
        <w:autoSpaceDE w:val="0"/>
        <w:autoSpaceDN w:val="0"/>
        <w:adjustRightInd w:val="0"/>
        <w:ind w:right="142" w:firstLine="425"/>
        <w:jc w:val="both"/>
        <w:rPr>
          <w:rFonts w:eastAsia="Calibri"/>
          <w:color w:val="000000"/>
        </w:rPr>
      </w:pPr>
      <w:proofErr w:type="gramStart"/>
      <w:r>
        <w:rPr>
          <w:rFonts w:eastAsia="Calibri"/>
          <w:color w:val="000000"/>
        </w:rPr>
        <w:t>Указанное</w:t>
      </w:r>
      <w:proofErr w:type="gramEnd"/>
      <w:r>
        <w:rPr>
          <w:rFonts w:eastAsia="Calibri"/>
          <w:color w:val="000000"/>
        </w:rPr>
        <w:t xml:space="preserve"> выше может свидетельствовать о нестабильном функционировании контрактной системы в сфере закупок в условиях </w:t>
      </w:r>
      <w:proofErr w:type="spellStart"/>
      <w:r>
        <w:rPr>
          <w:rFonts w:eastAsia="Calibri"/>
          <w:color w:val="000000"/>
        </w:rPr>
        <w:t>санкционного</w:t>
      </w:r>
      <w:proofErr w:type="spellEnd"/>
      <w:r>
        <w:rPr>
          <w:rFonts w:eastAsia="Calibri"/>
          <w:color w:val="000000"/>
        </w:rPr>
        <w:t xml:space="preserve"> давления.</w:t>
      </w:r>
    </w:p>
    <w:p w:rsidR="00B921F1" w:rsidRDefault="00631BE4" w:rsidP="00B921F1">
      <w:pPr>
        <w:autoSpaceDE w:val="0"/>
        <w:autoSpaceDN w:val="0"/>
        <w:adjustRightInd w:val="0"/>
        <w:ind w:right="142" w:firstLine="425"/>
        <w:jc w:val="both"/>
        <w:rPr>
          <w:rFonts w:eastAsia="Calibri"/>
          <w:bCs/>
          <w:color w:val="000000"/>
        </w:rPr>
      </w:pPr>
      <w:r>
        <w:rPr>
          <w:rFonts w:eastAsia="Calibri"/>
          <w:color w:val="000000"/>
        </w:rPr>
        <w:t>Детальная информация о несостоявшихся процедурах определения</w:t>
      </w:r>
      <w:r w:rsidR="00B921F1">
        <w:rPr>
          <w:rFonts w:eastAsia="Calibri"/>
          <w:color w:val="000000"/>
        </w:rPr>
        <w:t xml:space="preserve"> поставщика (подрядчика, исполнителя) с разбивкой по способам и в разрезе</w:t>
      </w:r>
      <w:r w:rsidR="00B921F1">
        <w:rPr>
          <w:rFonts w:eastAsia="Calibri"/>
          <w:bCs/>
          <w:i/>
          <w:color w:val="000000"/>
          <w:sz w:val="23"/>
          <w:szCs w:val="23"/>
        </w:rPr>
        <w:t xml:space="preserve"> </w:t>
      </w:r>
      <w:r w:rsidR="00B921F1" w:rsidRPr="00732A48">
        <w:rPr>
          <w:rFonts w:eastAsia="Calibri"/>
          <w:bCs/>
          <w:color w:val="000000"/>
        </w:rPr>
        <w:t>причин признания закупки несостоявшейся</w:t>
      </w:r>
      <w:r w:rsidR="00732A48">
        <w:rPr>
          <w:rFonts w:eastAsia="Calibri"/>
          <w:bCs/>
          <w:color w:val="000000"/>
        </w:rPr>
        <w:t xml:space="preserve"> представлена в таблице 6</w:t>
      </w:r>
    </w:p>
    <w:p w:rsidR="00FD43FE" w:rsidRPr="00732A48" w:rsidRDefault="00FD43FE" w:rsidP="008E3038">
      <w:pPr>
        <w:autoSpaceDE w:val="0"/>
        <w:autoSpaceDN w:val="0"/>
        <w:adjustRightInd w:val="0"/>
        <w:spacing w:line="120" w:lineRule="auto"/>
        <w:ind w:right="142" w:firstLine="425"/>
        <w:jc w:val="both"/>
        <w:rPr>
          <w:rFonts w:eastAsia="Calibri"/>
          <w:color w:val="000000"/>
        </w:rPr>
      </w:pPr>
    </w:p>
    <w:p w:rsidR="00685BF6" w:rsidRDefault="00AD2BA3" w:rsidP="00685BF6">
      <w:pPr>
        <w:autoSpaceDE w:val="0"/>
        <w:autoSpaceDN w:val="0"/>
        <w:adjustRightInd w:val="0"/>
        <w:ind w:firstLine="426"/>
        <w:jc w:val="center"/>
        <w:rPr>
          <w:rFonts w:eastAsia="Calibri"/>
          <w:i/>
          <w:color w:val="000000"/>
          <w:sz w:val="23"/>
          <w:szCs w:val="23"/>
        </w:rPr>
      </w:pPr>
      <w:r>
        <w:rPr>
          <w:rFonts w:eastAsia="Calibri"/>
          <w:bCs/>
          <w:i/>
          <w:color w:val="000000"/>
          <w:sz w:val="23"/>
          <w:szCs w:val="23"/>
        </w:rPr>
        <w:t xml:space="preserve">Сведения о несостоявшихся </w:t>
      </w:r>
      <w:r w:rsidRPr="004939C8">
        <w:rPr>
          <w:rFonts w:eastAsia="Calibri"/>
          <w:bCs/>
          <w:i/>
          <w:color w:val="000000"/>
          <w:sz w:val="23"/>
          <w:szCs w:val="23"/>
        </w:rPr>
        <w:t xml:space="preserve"> закупк</w:t>
      </w:r>
      <w:r>
        <w:rPr>
          <w:rFonts w:eastAsia="Calibri"/>
          <w:bCs/>
          <w:i/>
          <w:color w:val="000000"/>
          <w:sz w:val="23"/>
          <w:szCs w:val="23"/>
        </w:rPr>
        <w:t>ах по итогам 20</w:t>
      </w:r>
      <w:r w:rsidR="00BC14DB">
        <w:rPr>
          <w:rFonts w:eastAsia="Calibri"/>
          <w:bCs/>
          <w:i/>
          <w:color w:val="000000"/>
          <w:sz w:val="23"/>
          <w:szCs w:val="23"/>
        </w:rPr>
        <w:t>22</w:t>
      </w:r>
      <w:r>
        <w:rPr>
          <w:rFonts w:eastAsia="Calibri"/>
          <w:bCs/>
          <w:i/>
          <w:color w:val="000000"/>
          <w:sz w:val="23"/>
          <w:szCs w:val="23"/>
        </w:rPr>
        <w:t xml:space="preserve"> года в разрезе причин признания закупки несостоявшейся</w:t>
      </w:r>
    </w:p>
    <w:p w:rsidR="00AD2BA3" w:rsidRPr="00685BF6" w:rsidRDefault="00AD2BA3" w:rsidP="00685BF6">
      <w:pPr>
        <w:autoSpaceDE w:val="0"/>
        <w:autoSpaceDN w:val="0"/>
        <w:adjustRightInd w:val="0"/>
        <w:rPr>
          <w:rFonts w:eastAsia="Calibri"/>
          <w:i/>
          <w:color w:val="000000"/>
          <w:sz w:val="23"/>
          <w:szCs w:val="23"/>
        </w:rPr>
      </w:pPr>
      <w:r w:rsidRPr="008A7BFF">
        <w:rPr>
          <w:rFonts w:eastAsia="Calibri"/>
          <w:b/>
          <w:color w:val="000000"/>
          <w:sz w:val="20"/>
          <w:szCs w:val="20"/>
        </w:rPr>
        <w:t xml:space="preserve">Таблица </w:t>
      </w:r>
      <w:r w:rsidR="00A1150F">
        <w:rPr>
          <w:rFonts w:eastAsia="Calibri"/>
          <w:b/>
          <w:color w:val="000000"/>
          <w:sz w:val="20"/>
          <w:szCs w:val="20"/>
        </w:rPr>
        <w:t>6</w:t>
      </w:r>
      <w:r w:rsidR="00685BF6">
        <w:rPr>
          <w:rFonts w:eastAsia="Calibri"/>
          <w:b/>
          <w:color w:val="000000"/>
          <w:sz w:val="20"/>
          <w:szCs w:val="20"/>
        </w:rPr>
        <w:t xml:space="preserve">                                                                                                                                                       тыс. руб.</w:t>
      </w:r>
    </w:p>
    <w:tbl>
      <w:tblPr>
        <w:tblpPr w:leftFromText="180" w:rightFromText="180" w:vertAnchor="text" w:horzAnchor="margin" w:tblpXSpec="center" w:tblpY="254"/>
        <w:tblW w:w="9404" w:type="dxa"/>
        <w:tblLayout w:type="fixed"/>
        <w:tblLook w:val="00A0" w:firstRow="1" w:lastRow="0" w:firstColumn="1" w:lastColumn="0" w:noHBand="0" w:noVBand="0"/>
      </w:tblPr>
      <w:tblGrid>
        <w:gridCol w:w="6407"/>
        <w:gridCol w:w="1843"/>
        <w:gridCol w:w="1154"/>
      </w:tblGrid>
      <w:tr w:rsidR="00AD2BA3" w:rsidRPr="002B7FA2" w:rsidTr="0012358E">
        <w:trPr>
          <w:trHeight w:val="253"/>
          <w:tblHeader/>
        </w:trPr>
        <w:tc>
          <w:tcPr>
            <w:tcW w:w="6407" w:type="dxa"/>
            <w:vMerge w:val="restart"/>
            <w:tcBorders>
              <w:top w:val="single" w:sz="8" w:space="0" w:color="auto"/>
              <w:left w:val="single" w:sz="8" w:space="0" w:color="auto"/>
              <w:bottom w:val="single" w:sz="8" w:space="0" w:color="000000"/>
              <w:right w:val="single" w:sz="4" w:space="0" w:color="auto"/>
            </w:tcBorders>
            <w:shd w:val="clear" w:color="auto" w:fill="EEECE1" w:themeFill="background2"/>
            <w:tcMar>
              <w:top w:w="0" w:type="dxa"/>
              <w:left w:w="28" w:type="dxa"/>
              <w:bottom w:w="0" w:type="dxa"/>
              <w:right w:w="28" w:type="dxa"/>
            </w:tcMar>
            <w:vAlign w:val="center"/>
          </w:tcPr>
          <w:p w:rsidR="00AD2BA3" w:rsidRPr="00C80AAE" w:rsidRDefault="00AD2BA3" w:rsidP="0012358E">
            <w:pPr>
              <w:jc w:val="center"/>
              <w:rPr>
                <w:b/>
                <w:bCs/>
                <w:sz w:val="20"/>
                <w:szCs w:val="20"/>
              </w:rPr>
            </w:pPr>
          </w:p>
          <w:p w:rsidR="00AD2BA3" w:rsidRPr="00C80AAE" w:rsidRDefault="00AD2BA3" w:rsidP="0012358E">
            <w:pPr>
              <w:jc w:val="center"/>
              <w:rPr>
                <w:b/>
                <w:bCs/>
                <w:sz w:val="20"/>
                <w:szCs w:val="20"/>
              </w:rPr>
            </w:pPr>
            <w:r>
              <w:rPr>
                <w:b/>
                <w:bCs/>
                <w:sz w:val="20"/>
                <w:szCs w:val="20"/>
              </w:rPr>
              <w:t xml:space="preserve">Наименование </w:t>
            </w:r>
            <w:proofErr w:type="gramStart"/>
            <w:r>
              <w:rPr>
                <w:b/>
                <w:bCs/>
                <w:sz w:val="20"/>
                <w:szCs w:val="20"/>
              </w:rPr>
              <w:t>типа причины признания определения поставщика</w:t>
            </w:r>
            <w:proofErr w:type="gramEnd"/>
            <w:r>
              <w:rPr>
                <w:b/>
                <w:bCs/>
                <w:sz w:val="20"/>
                <w:szCs w:val="20"/>
              </w:rPr>
              <w:t xml:space="preserve"> несостоявшимся</w:t>
            </w:r>
          </w:p>
        </w:tc>
        <w:tc>
          <w:tcPr>
            <w:tcW w:w="1843" w:type="dxa"/>
            <w:vMerge w:val="restart"/>
            <w:tcBorders>
              <w:top w:val="single" w:sz="8" w:space="0" w:color="auto"/>
              <w:left w:val="nil"/>
              <w:right w:val="single" w:sz="4" w:space="0" w:color="auto"/>
            </w:tcBorders>
            <w:shd w:val="clear" w:color="auto" w:fill="EEECE1" w:themeFill="background2"/>
            <w:tcMar>
              <w:top w:w="0" w:type="dxa"/>
              <w:left w:w="28" w:type="dxa"/>
              <w:bottom w:w="0" w:type="dxa"/>
              <w:right w:w="28" w:type="dxa"/>
            </w:tcMar>
            <w:vAlign w:val="center"/>
          </w:tcPr>
          <w:p w:rsidR="00AD2BA3" w:rsidRPr="009C159E" w:rsidRDefault="00AD2BA3" w:rsidP="0012358E">
            <w:pPr>
              <w:jc w:val="center"/>
              <w:rPr>
                <w:b/>
                <w:bCs/>
                <w:sz w:val="16"/>
                <w:szCs w:val="16"/>
              </w:rPr>
            </w:pPr>
            <w:r w:rsidRPr="009C159E">
              <w:rPr>
                <w:b/>
                <w:bCs/>
                <w:sz w:val="16"/>
                <w:szCs w:val="16"/>
              </w:rPr>
              <w:t xml:space="preserve">Суммарная начальная (максимальная) цена </w:t>
            </w:r>
          </w:p>
          <w:p w:rsidR="00AD2BA3" w:rsidRPr="009C159E" w:rsidRDefault="00AD2BA3" w:rsidP="0012358E">
            <w:pPr>
              <w:jc w:val="center"/>
              <w:rPr>
                <w:b/>
                <w:bCs/>
                <w:sz w:val="16"/>
                <w:szCs w:val="16"/>
              </w:rPr>
            </w:pPr>
            <w:r w:rsidRPr="009C159E">
              <w:rPr>
                <w:b/>
                <w:bCs/>
                <w:sz w:val="16"/>
                <w:szCs w:val="16"/>
              </w:rPr>
              <w:t xml:space="preserve">    тыс. руб.</w:t>
            </w:r>
          </w:p>
        </w:tc>
        <w:tc>
          <w:tcPr>
            <w:tcW w:w="1154" w:type="dxa"/>
            <w:vMerge w:val="restart"/>
            <w:tcBorders>
              <w:top w:val="single" w:sz="8" w:space="0" w:color="auto"/>
              <w:left w:val="single" w:sz="4" w:space="0" w:color="auto"/>
              <w:right w:val="single" w:sz="8" w:space="0" w:color="auto"/>
            </w:tcBorders>
            <w:shd w:val="clear" w:color="auto" w:fill="EEECE1" w:themeFill="background2"/>
            <w:tcMar>
              <w:top w:w="0" w:type="dxa"/>
              <w:left w:w="28" w:type="dxa"/>
              <w:bottom w:w="0" w:type="dxa"/>
              <w:right w:w="28" w:type="dxa"/>
            </w:tcMar>
            <w:vAlign w:val="center"/>
          </w:tcPr>
          <w:p w:rsidR="00AD2BA3" w:rsidRPr="009C159E" w:rsidRDefault="00AD2BA3" w:rsidP="0012358E">
            <w:pPr>
              <w:jc w:val="center"/>
              <w:rPr>
                <w:b/>
                <w:bCs/>
                <w:sz w:val="18"/>
                <w:szCs w:val="18"/>
              </w:rPr>
            </w:pPr>
            <w:r w:rsidRPr="009C159E">
              <w:rPr>
                <w:b/>
                <w:bCs/>
                <w:sz w:val="18"/>
                <w:szCs w:val="18"/>
              </w:rPr>
              <w:t xml:space="preserve">Количество закупок       </w:t>
            </w:r>
          </w:p>
          <w:p w:rsidR="00AD2BA3" w:rsidRPr="00C80AAE" w:rsidRDefault="00AD2BA3" w:rsidP="0012358E">
            <w:pPr>
              <w:jc w:val="center"/>
              <w:rPr>
                <w:b/>
                <w:bCs/>
                <w:sz w:val="20"/>
                <w:szCs w:val="20"/>
              </w:rPr>
            </w:pPr>
          </w:p>
        </w:tc>
      </w:tr>
      <w:tr w:rsidR="00AD2BA3" w:rsidRPr="002B7FA2" w:rsidTr="0012358E">
        <w:trPr>
          <w:trHeight w:val="540"/>
          <w:tblHeader/>
        </w:trPr>
        <w:tc>
          <w:tcPr>
            <w:tcW w:w="6407" w:type="dxa"/>
            <w:vMerge/>
            <w:tcBorders>
              <w:top w:val="single" w:sz="8" w:space="0" w:color="auto"/>
              <w:left w:val="single" w:sz="8" w:space="0" w:color="auto"/>
              <w:bottom w:val="single" w:sz="8" w:space="0" w:color="000000"/>
              <w:right w:val="single" w:sz="4" w:space="0" w:color="auto"/>
            </w:tcBorders>
            <w:shd w:val="clear" w:color="auto" w:fill="EEECE1" w:themeFill="background2"/>
            <w:vAlign w:val="center"/>
          </w:tcPr>
          <w:p w:rsidR="00AD2BA3" w:rsidRPr="002B7FA2" w:rsidRDefault="00AD2BA3" w:rsidP="0012358E">
            <w:pPr>
              <w:rPr>
                <w:b/>
                <w:bCs/>
                <w:sz w:val="18"/>
                <w:szCs w:val="20"/>
              </w:rPr>
            </w:pPr>
          </w:p>
        </w:tc>
        <w:tc>
          <w:tcPr>
            <w:tcW w:w="1843" w:type="dxa"/>
            <w:vMerge/>
            <w:tcBorders>
              <w:left w:val="nil"/>
              <w:bottom w:val="single" w:sz="8" w:space="0" w:color="auto"/>
              <w:right w:val="single" w:sz="4" w:space="0" w:color="auto"/>
            </w:tcBorders>
            <w:shd w:val="clear" w:color="auto" w:fill="EEECE1" w:themeFill="background2"/>
            <w:tcMar>
              <w:top w:w="0" w:type="dxa"/>
              <w:left w:w="28" w:type="dxa"/>
              <w:bottom w:w="0" w:type="dxa"/>
              <w:right w:w="28" w:type="dxa"/>
            </w:tcMar>
            <w:vAlign w:val="center"/>
          </w:tcPr>
          <w:p w:rsidR="00AD2BA3" w:rsidRPr="002B7FA2" w:rsidRDefault="00AD2BA3" w:rsidP="0012358E">
            <w:pPr>
              <w:jc w:val="center"/>
              <w:rPr>
                <w:b/>
                <w:bCs/>
                <w:sz w:val="18"/>
                <w:szCs w:val="20"/>
              </w:rPr>
            </w:pPr>
          </w:p>
        </w:tc>
        <w:tc>
          <w:tcPr>
            <w:tcW w:w="1154" w:type="dxa"/>
            <w:vMerge/>
            <w:tcBorders>
              <w:left w:val="single" w:sz="4" w:space="0" w:color="auto"/>
              <w:bottom w:val="single" w:sz="8" w:space="0" w:color="000000"/>
              <w:right w:val="single" w:sz="8" w:space="0" w:color="auto"/>
            </w:tcBorders>
            <w:shd w:val="clear" w:color="auto" w:fill="EEECE1" w:themeFill="background2"/>
            <w:vAlign w:val="center"/>
          </w:tcPr>
          <w:p w:rsidR="00AD2BA3" w:rsidRPr="002B7FA2" w:rsidRDefault="00AD2BA3" w:rsidP="0012358E">
            <w:pPr>
              <w:rPr>
                <w:b/>
                <w:bCs/>
                <w:sz w:val="18"/>
                <w:szCs w:val="20"/>
              </w:rPr>
            </w:pPr>
          </w:p>
        </w:tc>
      </w:tr>
      <w:tr w:rsidR="00AD2BA3" w:rsidRPr="00D154DB" w:rsidTr="0012358E">
        <w:trPr>
          <w:trHeight w:val="89"/>
          <w:tblHeader/>
        </w:trPr>
        <w:tc>
          <w:tcPr>
            <w:tcW w:w="6407"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AD2BA3" w:rsidRPr="00D154DB" w:rsidRDefault="00AD2BA3" w:rsidP="0012358E">
            <w:pPr>
              <w:jc w:val="center"/>
              <w:rPr>
                <w:b/>
                <w:sz w:val="18"/>
                <w:szCs w:val="20"/>
              </w:rPr>
            </w:pPr>
            <w:r w:rsidRPr="00D154DB">
              <w:rPr>
                <w:b/>
                <w:sz w:val="18"/>
                <w:szCs w:val="20"/>
              </w:rPr>
              <w:t>1</w:t>
            </w:r>
          </w:p>
        </w:tc>
        <w:tc>
          <w:tcPr>
            <w:tcW w:w="1843" w:type="dxa"/>
            <w:tcBorders>
              <w:top w:val="nil"/>
              <w:left w:val="nil"/>
              <w:bottom w:val="single" w:sz="8" w:space="0" w:color="auto"/>
              <w:right w:val="single" w:sz="4" w:space="0" w:color="auto"/>
            </w:tcBorders>
            <w:tcMar>
              <w:top w:w="0" w:type="dxa"/>
              <w:left w:w="28" w:type="dxa"/>
              <w:bottom w:w="0" w:type="dxa"/>
              <w:right w:w="28" w:type="dxa"/>
            </w:tcMar>
            <w:vAlign w:val="center"/>
          </w:tcPr>
          <w:p w:rsidR="00AD2BA3" w:rsidRPr="00D154DB" w:rsidRDefault="00AD2BA3" w:rsidP="0012358E">
            <w:pPr>
              <w:jc w:val="center"/>
              <w:rPr>
                <w:b/>
                <w:sz w:val="18"/>
                <w:szCs w:val="20"/>
              </w:rPr>
            </w:pPr>
            <w:r w:rsidRPr="00D154DB">
              <w:rPr>
                <w:b/>
                <w:sz w:val="18"/>
                <w:szCs w:val="20"/>
              </w:rPr>
              <w:t>2</w:t>
            </w:r>
          </w:p>
        </w:tc>
        <w:tc>
          <w:tcPr>
            <w:tcW w:w="1154" w:type="dxa"/>
            <w:tcBorders>
              <w:top w:val="nil"/>
              <w:left w:val="nil"/>
              <w:bottom w:val="single" w:sz="8" w:space="0" w:color="auto"/>
              <w:right w:val="single" w:sz="4" w:space="0" w:color="auto"/>
            </w:tcBorders>
            <w:noWrap/>
            <w:tcMar>
              <w:top w:w="0" w:type="dxa"/>
              <w:left w:w="28" w:type="dxa"/>
              <w:bottom w:w="0" w:type="dxa"/>
              <w:right w:w="28" w:type="dxa"/>
            </w:tcMar>
            <w:vAlign w:val="bottom"/>
          </w:tcPr>
          <w:p w:rsidR="00AD2BA3" w:rsidRPr="00D154DB" w:rsidRDefault="00AD2BA3" w:rsidP="0012358E">
            <w:pPr>
              <w:jc w:val="center"/>
              <w:rPr>
                <w:b/>
                <w:sz w:val="18"/>
                <w:szCs w:val="20"/>
              </w:rPr>
            </w:pPr>
            <w:r>
              <w:rPr>
                <w:b/>
                <w:sz w:val="18"/>
                <w:szCs w:val="20"/>
              </w:rPr>
              <w:t>3</w:t>
            </w:r>
          </w:p>
        </w:tc>
      </w:tr>
      <w:tr w:rsidR="00AD2BA3" w:rsidRPr="00B17798" w:rsidTr="0012358E">
        <w:trPr>
          <w:trHeight w:val="165"/>
        </w:trPr>
        <w:tc>
          <w:tcPr>
            <w:tcW w:w="9404" w:type="dxa"/>
            <w:gridSpan w:val="3"/>
            <w:tcBorders>
              <w:top w:val="nil"/>
              <w:left w:val="single" w:sz="8" w:space="0" w:color="auto"/>
              <w:bottom w:val="single" w:sz="4" w:space="0" w:color="auto"/>
              <w:right w:val="single" w:sz="4" w:space="0" w:color="auto"/>
            </w:tcBorders>
            <w:noWrap/>
            <w:vAlign w:val="bottom"/>
          </w:tcPr>
          <w:p w:rsidR="00AD2BA3" w:rsidRPr="001C3BFC" w:rsidRDefault="00AD2BA3" w:rsidP="0012358E">
            <w:pPr>
              <w:jc w:val="center"/>
              <w:rPr>
                <w:b/>
              </w:rPr>
            </w:pPr>
            <w:r>
              <w:rPr>
                <w:b/>
                <w:bCs/>
                <w:lang w:eastAsia="en-US"/>
              </w:rPr>
              <w:t xml:space="preserve">      </w:t>
            </w:r>
            <w:r w:rsidR="00481A02">
              <w:rPr>
                <w:b/>
                <w:bCs/>
                <w:lang w:eastAsia="en-US"/>
              </w:rPr>
              <w:t xml:space="preserve"> </w:t>
            </w:r>
            <w:r>
              <w:rPr>
                <w:b/>
                <w:bCs/>
                <w:lang w:eastAsia="en-US"/>
              </w:rPr>
              <w:t>Электронный аукцион</w:t>
            </w:r>
          </w:p>
        </w:tc>
      </w:tr>
      <w:tr w:rsidR="00AD2BA3" w:rsidRPr="00B17798" w:rsidTr="0012358E">
        <w:trPr>
          <w:trHeight w:val="375"/>
        </w:trPr>
        <w:tc>
          <w:tcPr>
            <w:tcW w:w="6407" w:type="dxa"/>
            <w:tcBorders>
              <w:top w:val="single" w:sz="4" w:space="0" w:color="auto"/>
              <w:left w:val="single" w:sz="8" w:space="0" w:color="auto"/>
              <w:bottom w:val="single" w:sz="4" w:space="0" w:color="auto"/>
              <w:right w:val="single" w:sz="4" w:space="0" w:color="auto"/>
            </w:tcBorders>
            <w:noWrap/>
            <w:vAlign w:val="bottom"/>
          </w:tcPr>
          <w:p w:rsidR="00AD2BA3" w:rsidRPr="00A03666" w:rsidRDefault="00A95B51" w:rsidP="0012358E">
            <w:pPr>
              <w:autoSpaceDE w:val="0"/>
              <w:autoSpaceDN w:val="0"/>
              <w:adjustRightInd w:val="0"/>
              <w:jc w:val="both"/>
              <w:rPr>
                <w:sz w:val="20"/>
                <w:szCs w:val="20"/>
              </w:rPr>
            </w:pPr>
            <w:r>
              <w:rPr>
                <w:rFonts w:ascii="Roboto" w:hAnsi="Roboto" w:cs="Calibri"/>
                <w:b/>
                <w:bCs/>
                <w:color w:val="334059"/>
                <w:sz w:val="20"/>
                <w:szCs w:val="20"/>
              </w:rPr>
              <w:t xml:space="preserve">1. </w:t>
            </w:r>
            <w:r w:rsidR="00AD2BA3" w:rsidRPr="00A03666">
              <w:rPr>
                <w:rFonts w:ascii="Roboto" w:hAnsi="Roboto" w:cs="Calibri"/>
                <w:b/>
                <w:bCs/>
                <w:color w:val="334059"/>
                <w:sz w:val="20"/>
                <w:szCs w:val="20"/>
              </w:rPr>
              <w:t xml:space="preserve">По </w:t>
            </w:r>
            <w:r w:rsidR="00EE5458" w:rsidRPr="00A95B51">
              <w:rPr>
                <w:rFonts w:ascii="Roboto" w:hAnsi="Roboto" w:cs="Calibri"/>
                <w:b/>
                <w:bCs/>
                <w:color w:val="334059"/>
                <w:sz w:val="20"/>
                <w:szCs w:val="20"/>
              </w:rPr>
              <w:t xml:space="preserve"> окончании срока подачи заявок на участие в закупке подана только одна заявка на участие в закупке</w:t>
            </w:r>
            <w:r>
              <w:rPr>
                <w:rFonts w:ascii="Roboto" w:hAnsi="Roboto" w:cs="Calibri"/>
                <w:b/>
                <w:bCs/>
                <w:color w:val="334059"/>
                <w:sz w:val="20"/>
                <w:szCs w:val="20"/>
              </w:rPr>
              <w:t xml:space="preserve"> </w:t>
            </w:r>
            <w:r w:rsidRPr="00A95B51">
              <w:rPr>
                <w:rFonts w:ascii="Roboto" w:hAnsi="Roboto" w:cs="Calibri"/>
                <w:b/>
                <w:bCs/>
                <w:color w:val="334059"/>
                <w:sz w:val="20"/>
                <w:szCs w:val="20"/>
              </w:rPr>
              <w:t xml:space="preserve"> (п.1</w:t>
            </w:r>
            <w:r w:rsidR="00AD2BA3" w:rsidRPr="00A03666">
              <w:rPr>
                <w:rFonts w:ascii="Roboto" w:hAnsi="Roboto" w:cs="Calibri"/>
                <w:b/>
                <w:bCs/>
                <w:color w:val="334059"/>
                <w:sz w:val="20"/>
                <w:szCs w:val="20"/>
              </w:rPr>
              <w:t xml:space="preserve"> ч. 1 ст. </w:t>
            </w:r>
            <w:r>
              <w:rPr>
                <w:rFonts w:ascii="Roboto" w:hAnsi="Roboto" w:cs="Calibri"/>
                <w:b/>
                <w:bCs/>
                <w:color w:val="334059"/>
                <w:sz w:val="20"/>
                <w:szCs w:val="20"/>
              </w:rPr>
              <w:t xml:space="preserve">52 </w:t>
            </w:r>
            <w:r w:rsidR="00AD2BA3" w:rsidRPr="00A03666">
              <w:rPr>
                <w:rFonts w:ascii="Roboto" w:hAnsi="Roboto" w:cs="Calibri"/>
                <w:b/>
                <w:bCs/>
                <w:color w:val="334059"/>
                <w:sz w:val="20"/>
                <w:szCs w:val="20"/>
              </w:rPr>
              <w:t>Закона № 44-ФЗ</w:t>
            </w:r>
            <w:r>
              <w:rPr>
                <w:rFonts w:ascii="Roboto" w:hAnsi="Roboto" w:cs="Calibri"/>
                <w:b/>
                <w:bCs/>
                <w:color w:val="334059"/>
                <w:sz w:val="20"/>
                <w:szCs w:val="20"/>
              </w:rPr>
              <w:t>)</w:t>
            </w:r>
          </w:p>
        </w:tc>
        <w:tc>
          <w:tcPr>
            <w:tcW w:w="1843"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AD2BA3" w:rsidRPr="007E2D16" w:rsidRDefault="0012358E" w:rsidP="0012358E">
            <w:pPr>
              <w:jc w:val="center"/>
              <w:rPr>
                <w:sz w:val="22"/>
                <w:szCs w:val="22"/>
              </w:rPr>
            </w:pPr>
            <w:r w:rsidRPr="007E2D16">
              <w:rPr>
                <w:sz w:val="22"/>
                <w:szCs w:val="22"/>
              </w:rPr>
              <w:t>302 563,3</w:t>
            </w:r>
          </w:p>
        </w:tc>
        <w:tc>
          <w:tcPr>
            <w:tcW w:w="1154" w:type="dxa"/>
            <w:tcBorders>
              <w:top w:val="single" w:sz="4" w:space="0" w:color="auto"/>
              <w:left w:val="nil"/>
              <w:bottom w:val="single" w:sz="4" w:space="0" w:color="auto"/>
              <w:right w:val="single" w:sz="4" w:space="0" w:color="auto"/>
            </w:tcBorders>
            <w:noWrap/>
            <w:tcMar>
              <w:left w:w="28" w:type="dxa"/>
              <w:right w:w="28" w:type="dxa"/>
            </w:tcMar>
            <w:vAlign w:val="center"/>
          </w:tcPr>
          <w:p w:rsidR="00AD2BA3" w:rsidRPr="007E2D16" w:rsidRDefault="0012358E" w:rsidP="0012358E">
            <w:pPr>
              <w:jc w:val="center"/>
              <w:rPr>
                <w:sz w:val="22"/>
                <w:szCs w:val="22"/>
              </w:rPr>
            </w:pPr>
            <w:r w:rsidRPr="007E2D16">
              <w:rPr>
                <w:sz w:val="22"/>
                <w:szCs w:val="22"/>
              </w:rPr>
              <w:t>91</w:t>
            </w:r>
          </w:p>
        </w:tc>
      </w:tr>
      <w:tr w:rsidR="00AD2BA3" w:rsidRPr="00B17798" w:rsidTr="0012358E">
        <w:trPr>
          <w:trHeight w:val="424"/>
        </w:trPr>
        <w:tc>
          <w:tcPr>
            <w:tcW w:w="6407" w:type="dxa"/>
            <w:tcBorders>
              <w:top w:val="nil"/>
              <w:left w:val="single" w:sz="8" w:space="0" w:color="auto"/>
              <w:bottom w:val="single" w:sz="4" w:space="0" w:color="auto"/>
              <w:right w:val="single" w:sz="4" w:space="0" w:color="auto"/>
            </w:tcBorders>
            <w:noWrap/>
            <w:vAlign w:val="bottom"/>
          </w:tcPr>
          <w:p w:rsidR="00AD2BA3" w:rsidRPr="00A03666" w:rsidRDefault="00A95B51" w:rsidP="0012358E">
            <w:pPr>
              <w:autoSpaceDE w:val="0"/>
              <w:autoSpaceDN w:val="0"/>
              <w:adjustRightInd w:val="0"/>
              <w:jc w:val="both"/>
              <w:rPr>
                <w:sz w:val="20"/>
                <w:szCs w:val="20"/>
              </w:rPr>
            </w:pPr>
            <w:r>
              <w:rPr>
                <w:rFonts w:ascii="Roboto" w:hAnsi="Roboto" w:cs="Calibri"/>
                <w:b/>
                <w:bCs/>
                <w:color w:val="334059"/>
                <w:sz w:val="20"/>
                <w:szCs w:val="20"/>
              </w:rPr>
              <w:lastRenderedPageBreak/>
              <w:t>2. П</w:t>
            </w:r>
            <w:r w:rsidRPr="00A95B51">
              <w:rPr>
                <w:rFonts w:ascii="Roboto" w:hAnsi="Roboto" w:cs="Calibri"/>
                <w:b/>
                <w:bCs/>
                <w:color w:val="334059"/>
                <w:sz w:val="20"/>
                <w:szCs w:val="20"/>
              </w:rPr>
              <w:t>о результатам рассмотрения заявок на участие в закупке только одна заявка на участие в закупке соответствует требованиям, установленным в изв</w:t>
            </w:r>
            <w:r>
              <w:rPr>
                <w:rFonts w:ascii="Roboto" w:hAnsi="Roboto" w:cs="Calibri"/>
                <w:b/>
                <w:bCs/>
                <w:color w:val="334059"/>
                <w:sz w:val="20"/>
                <w:szCs w:val="20"/>
              </w:rPr>
              <w:t xml:space="preserve">ещении об осуществлении закупки </w:t>
            </w:r>
            <w:r w:rsidRPr="00A95B51">
              <w:rPr>
                <w:rFonts w:ascii="Roboto" w:hAnsi="Roboto" w:cs="Calibri"/>
                <w:b/>
                <w:bCs/>
                <w:color w:val="334059"/>
                <w:sz w:val="20"/>
                <w:szCs w:val="20"/>
              </w:rPr>
              <w:t xml:space="preserve"> </w:t>
            </w:r>
            <w:r>
              <w:rPr>
                <w:rFonts w:ascii="Roboto" w:hAnsi="Roboto" w:cs="Calibri"/>
                <w:b/>
                <w:bCs/>
                <w:color w:val="334059"/>
                <w:sz w:val="20"/>
                <w:szCs w:val="20"/>
              </w:rPr>
              <w:t>(п.2</w:t>
            </w:r>
            <w:r w:rsidRPr="00A03666">
              <w:rPr>
                <w:rFonts w:ascii="Roboto" w:hAnsi="Roboto" w:cs="Calibri"/>
                <w:b/>
                <w:bCs/>
                <w:color w:val="334059"/>
                <w:sz w:val="20"/>
                <w:szCs w:val="20"/>
              </w:rPr>
              <w:t xml:space="preserve"> ч. 1 ст. </w:t>
            </w:r>
            <w:r>
              <w:rPr>
                <w:rFonts w:ascii="Roboto" w:hAnsi="Roboto" w:cs="Calibri"/>
                <w:b/>
                <w:bCs/>
                <w:color w:val="334059"/>
                <w:sz w:val="20"/>
                <w:szCs w:val="20"/>
              </w:rPr>
              <w:t xml:space="preserve">52 </w:t>
            </w:r>
            <w:r w:rsidRPr="00A03666">
              <w:rPr>
                <w:rFonts w:ascii="Roboto" w:hAnsi="Roboto" w:cs="Calibri"/>
                <w:b/>
                <w:bCs/>
                <w:color w:val="334059"/>
                <w:sz w:val="20"/>
                <w:szCs w:val="20"/>
              </w:rPr>
              <w:t>Закона № 44-ФЗ</w:t>
            </w:r>
            <w:r>
              <w:rPr>
                <w:rFonts w:ascii="Roboto" w:hAnsi="Roboto" w:cs="Calibri"/>
                <w:b/>
                <w:bCs/>
                <w:color w:val="334059"/>
                <w:sz w:val="20"/>
                <w:szCs w:val="20"/>
              </w:rPr>
              <w:t>)</w:t>
            </w:r>
            <w:r w:rsidR="00AD2BA3" w:rsidRPr="00A03666">
              <w:rPr>
                <w:rFonts w:ascii="Roboto" w:hAnsi="Roboto" w:cs="Calibri"/>
                <w:b/>
                <w:bCs/>
                <w:color w:val="334059"/>
                <w:sz w:val="20"/>
                <w:szCs w:val="20"/>
              </w:rPr>
              <w:t>.</w:t>
            </w:r>
          </w:p>
        </w:tc>
        <w:tc>
          <w:tcPr>
            <w:tcW w:w="1843"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AD2BA3" w:rsidRPr="007E2D16" w:rsidRDefault="0012358E" w:rsidP="0012358E">
            <w:pPr>
              <w:jc w:val="center"/>
              <w:rPr>
                <w:sz w:val="22"/>
                <w:szCs w:val="22"/>
              </w:rPr>
            </w:pPr>
            <w:r w:rsidRPr="007E2D16">
              <w:rPr>
                <w:sz w:val="22"/>
                <w:szCs w:val="22"/>
              </w:rPr>
              <w:t>25 321,6</w:t>
            </w:r>
          </w:p>
        </w:tc>
        <w:tc>
          <w:tcPr>
            <w:tcW w:w="1154" w:type="dxa"/>
            <w:tcBorders>
              <w:top w:val="nil"/>
              <w:left w:val="nil"/>
              <w:bottom w:val="single" w:sz="4" w:space="0" w:color="auto"/>
              <w:right w:val="single" w:sz="4" w:space="0" w:color="auto"/>
            </w:tcBorders>
            <w:noWrap/>
            <w:tcMar>
              <w:left w:w="28" w:type="dxa"/>
              <w:right w:w="28" w:type="dxa"/>
            </w:tcMar>
            <w:vAlign w:val="center"/>
          </w:tcPr>
          <w:p w:rsidR="00AD2BA3" w:rsidRPr="007E2D16" w:rsidRDefault="0012358E" w:rsidP="0012358E">
            <w:pPr>
              <w:jc w:val="center"/>
              <w:rPr>
                <w:sz w:val="22"/>
                <w:szCs w:val="22"/>
              </w:rPr>
            </w:pPr>
            <w:r w:rsidRPr="007E2D16">
              <w:rPr>
                <w:sz w:val="22"/>
                <w:szCs w:val="22"/>
              </w:rPr>
              <w:t>4</w:t>
            </w:r>
          </w:p>
        </w:tc>
      </w:tr>
      <w:tr w:rsidR="00AD2BA3" w:rsidRPr="00B17798" w:rsidTr="0012358E">
        <w:trPr>
          <w:trHeight w:val="126"/>
        </w:trPr>
        <w:tc>
          <w:tcPr>
            <w:tcW w:w="6407" w:type="dxa"/>
            <w:tcBorders>
              <w:top w:val="single" w:sz="4" w:space="0" w:color="auto"/>
              <w:left w:val="single" w:sz="8" w:space="0" w:color="auto"/>
              <w:bottom w:val="single" w:sz="4" w:space="0" w:color="auto"/>
              <w:right w:val="single" w:sz="4" w:space="0" w:color="auto"/>
            </w:tcBorders>
            <w:noWrap/>
            <w:vAlign w:val="bottom"/>
          </w:tcPr>
          <w:p w:rsidR="00AD2BA3" w:rsidRPr="00A03666" w:rsidRDefault="00A95B51" w:rsidP="0012358E">
            <w:pPr>
              <w:autoSpaceDE w:val="0"/>
              <w:autoSpaceDN w:val="0"/>
              <w:adjustRightInd w:val="0"/>
              <w:jc w:val="both"/>
              <w:rPr>
                <w:rFonts w:ascii="Roboto" w:hAnsi="Roboto" w:cs="Calibri"/>
                <w:b/>
                <w:bCs/>
                <w:color w:val="334059"/>
                <w:sz w:val="20"/>
                <w:szCs w:val="20"/>
              </w:rPr>
            </w:pPr>
            <w:r>
              <w:rPr>
                <w:rFonts w:ascii="Roboto" w:hAnsi="Roboto" w:cs="Calibri"/>
                <w:b/>
                <w:bCs/>
                <w:color w:val="334059"/>
                <w:sz w:val="20"/>
                <w:szCs w:val="20"/>
              </w:rPr>
              <w:t>3. П</w:t>
            </w:r>
            <w:r w:rsidRPr="00A95B51">
              <w:rPr>
                <w:rFonts w:ascii="Roboto" w:hAnsi="Roboto" w:cs="Calibri"/>
                <w:b/>
                <w:bCs/>
                <w:color w:val="334059"/>
                <w:sz w:val="20"/>
                <w:szCs w:val="20"/>
              </w:rPr>
              <w:t>о окончании срока подачи заявок на участие в закупке не подано ни одной заявки на участие в закупке</w:t>
            </w:r>
            <w:r w:rsidR="00AD2BA3" w:rsidRPr="00A03666">
              <w:rPr>
                <w:rFonts w:ascii="Roboto" w:hAnsi="Roboto" w:cs="Calibri"/>
                <w:b/>
                <w:bCs/>
                <w:color w:val="334059"/>
                <w:sz w:val="20"/>
                <w:szCs w:val="20"/>
              </w:rPr>
              <w:t xml:space="preserve"> </w:t>
            </w:r>
            <w:r>
              <w:rPr>
                <w:rFonts w:ascii="Roboto" w:hAnsi="Roboto" w:cs="Calibri"/>
                <w:b/>
                <w:bCs/>
                <w:color w:val="334059"/>
                <w:sz w:val="20"/>
                <w:szCs w:val="20"/>
              </w:rPr>
              <w:t>(п.3</w:t>
            </w:r>
            <w:r w:rsidRPr="00A03666">
              <w:rPr>
                <w:rFonts w:ascii="Roboto" w:hAnsi="Roboto" w:cs="Calibri"/>
                <w:b/>
                <w:bCs/>
                <w:color w:val="334059"/>
                <w:sz w:val="20"/>
                <w:szCs w:val="20"/>
              </w:rPr>
              <w:t xml:space="preserve"> ч. 1 ст. </w:t>
            </w:r>
            <w:r>
              <w:rPr>
                <w:rFonts w:ascii="Roboto" w:hAnsi="Roboto" w:cs="Calibri"/>
                <w:b/>
                <w:bCs/>
                <w:color w:val="334059"/>
                <w:sz w:val="20"/>
                <w:szCs w:val="20"/>
              </w:rPr>
              <w:t xml:space="preserve">52 </w:t>
            </w:r>
            <w:r w:rsidRPr="00A03666">
              <w:rPr>
                <w:rFonts w:ascii="Roboto" w:hAnsi="Roboto" w:cs="Calibri"/>
                <w:b/>
                <w:bCs/>
                <w:color w:val="334059"/>
                <w:sz w:val="20"/>
                <w:szCs w:val="20"/>
              </w:rPr>
              <w:t>Закона № 44-ФЗ</w:t>
            </w:r>
            <w:r>
              <w:rPr>
                <w:rFonts w:ascii="Roboto" w:hAnsi="Roboto" w:cs="Calibri"/>
                <w:b/>
                <w:bCs/>
                <w:color w:val="334059"/>
                <w:sz w:val="20"/>
                <w:szCs w:val="20"/>
              </w:rPr>
              <w:t>)</w:t>
            </w:r>
            <w:r w:rsidRPr="00A03666">
              <w:rPr>
                <w:rFonts w:ascii="Roboto" w:hAnsi="Roboto" w:cs="Calibri"/>
                <w:b/>
                <w:bCs/>
                <w:color w:val="334059"/>
                <w:sz w:val="20"/>
                <w:szCs w:val="20"/>
              </w:rPr>
              <w:t>.</w:t>
            </w:r>
          </w:p>
        </w:tc>
        <w:tc>
          <w:tcPr>
            <w:tcW w:w="1843"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AD2BA3" w:rsidRPr="007E2D16" w:rsidRDefault="00AA45C9" w:rsidP="00574526">
            <w:pPr>
              <w:jc w:val="center"/>
              <w:rPr>
                <w:sz w:val="22"/>
                <w:szCs w:val="22"/>
              </w:rPr>
            </w:pPr>
            <w:r w:rsidRPr="007E2D16">
              <w:rPr>
                <w:sz w:val="22"/>
                <w:szCs w:val="22"/>
              </w:rPr>
              <w:t>46 418,</w:t>
            </w:r>
            <w:r w:rsidR="00574526" w:rsidRPr="007E2D16">
              <w:rPr>
                <w:sz w:val="22"/>
                <w:szCs w:val="22"/>
              </w:rPr>
              <w:t>9</w:t>
            </w:r>
          </w:p>
        </w:tc>
        <w:tc>
          <w:tcPr>
            <w:tcW w:w="1154" w:type="dxa"/>
            <w:tcBorders>
              <w:top w:val="single" w:sz="4" w:space="0" w:color="auto"/>
              <w:left w:val="nil"/>
              <w:bottom w:val="single" w:sz="4" w:space="0" w:color="auto"/>
              <w:right w:val="single" w:sz="4" w:space="0" w:color="auto"/>
            </w:tcBorders>
            <w:noWrap/>
            <w:tcMar>
              <w:left w:w="28" w:type="dxa"/>
              <w:right w:w="28" w:type="dxa"/>
            </w:tcMar>
            <w:vAlign w:val="center"/>
          </w:tcPr>
          <w:p w:rsidR="00AD2BA3" w:rsidRPr="007E2D16" w:rsidRDefault="00AA45C9" w:rsidP="0012358E">
            <w:pPr>
              <w:jc w:val="center"/>
              <w:rPr>
                <w:sz w:val="22"/>
                <w:szCs w:val="22"/>
              </w:rPr>
            </w:pPr>
            <w:r w:rsidRPr="007E2D16">
              <w:rPr>
                <w:sz w:val="22"/>
                <w:szCs w:val="22"/>
              </w:rPr>
              <w:t>14</w:t>
            </w:r>
          </w:p>
        </w:tc>
      </w:tr>
      <w:tr w:rsidR="00AD2BA3" w:rsidRPr="00B17798" w:rsidTr="0012358E">
        <w:trPr>
          <w:trHeight w:val="136"/>
        </w:trPr>
        <w:tc>
          <w:tcPr>
            <w:tcW w:w="6407" w:type="dxa"/>
            <w:tcBorders>
              <w:top w:val="single" w:sz="4" w:space="0" w:color="auto"/>
              <w:left w:val="single" w:sz="8" w:space="0" w:color="auto"/>
              <w:bottom w:val="single" w:sz="4" w:space="0" w:color="auto"/>
              <w:right w:val="single" w:sz="4" w:space="0" w:color="auto"/>
            </w:tcBorders>
            <w:noWrap/>
            <w:vAlign w:val="bottom"/>
          </w:tcPr>
          <w:p w:rsidR="006C1059" w:rsidRPr="006C1059" w:rsidRDefault="006C1059" w:rsidP="0012358E">
            <w:pPr>
              <w:autoSpaceDE w:val="0"/>
              <w:autoSpaceDN w:val="0"/>
              <w:adjustRightInd w:val="0"/>
              <w:jc w:val="both"/>
              <w:rPr>
                <w:rFonts w:ascii="Roboto" w:hAnsi="Roboto" w:cs="Calibri"/>
                <w:b/>
                <w:bCs/>
                <w:color w:val="334059"/>
                <w:sz w:val="20"/>
                <w:szCs w:val="20"/>
              </w:rPr>
            </w:pPr>
            <w:r w:rsidRPr="006C1059">
              <w:rPr>
                <w:rFonts w:ascii="Roboto" w:hAnsi="Roboto" w:cs="Calibri"/>
                <w:b/>
                <w:bCs/>
                <w:color w:val="334059"/>
                <w:sz w:val="20"/>
                <w:szCs w:val="20"/>
              </w:rPr>
              <w:t>4. По результатам рассмотрения заявок на участие в закупке комиссия по осуществлению закупок отклонила все такие заявки</w:t>
            </w:r>
          </w:p>
          <w:p w:rsidR="00AD2BA3" w:rsidRPr="00A03666" w:rsidRDefault="006C1059" w:rsidP="009D6E2B">
            <w:pPr>
              <w:tabs>
                <w:tab w:val="left" w:pos="204"/>
              </w:tabs>
              <w:ind w:left="-80"/>
              <w:rPr>
                <w:rFonts w:ascii="Roboto" w:hAnsi="Roboto" w:cs="Calibri"/>
                <w:b/>
                <w:bCs/>
                <w:color w:val="334059"/>
                <w:sz w:val="20"/>
                <w:szCs w:val="20"/>
              </w:rPr>
            </w:pPr>
            <w:r w:rsidRPr="00A95B51">
              <w:rPr>
                <w:rFonts w:ascii="Roboto" w:hAnsi="Roboto" w:cs="Calibri"/>
                <w:b/>
                <w:bCs/>
                <w:color w:val="334059"/>
                <w:sz w:val="20"/>
                <w:szCs w:val="20"/>
              </w:rPr>
              <w:t>(</w:t>
            </w:r>
            <w:r>
              <w:rPr>
                <w:rFonts w:ascii="Roboto" w:hAnsi="Roboto" w:cs="Calibri"/>
                <w:b/>
                <w:bCs/>
                <w:color w:val="334059"/>
                <w:sz w:val="20"/>
                <w:szCs w:val="20"/>
              </w:rPr>
              <w:t xml:space="preserve">п. 4 </w:t>
            </w:r>
            <w:r w:rsidRPr="00A03666">
              <w:rPr>
                <w:rFonts w:ascii="Roboto" w:hAnsi="Roboto" w:cs="Calibri"/>
                <w:b/>
                <w:bCs/>
                <w:color w:val="334059"/>
                <w:sz w:val="20"/>
                <w:szCs w:val="20"/>
              </w:rPr>
              <w:t xml:space="preserve">ч. 1 ст. </w:t>
            </w:r>
            <w:r>
              <w:rPr>
                <w:rFonts w:ascii="Roboto" w:hAnsi="Roboto" w:cs="Calibri"/>
                <w:b/>
                <w:bCs/>
                <w:color w:val="334059"/>
                <w:sz w:val="20"/>
                <w:szCs w:val="20"/>
              </w:rPr>
              <w:t xml:space="preserve">52 </w:t>
            </w:r>
            <w:r w:rsidRPr="00A03666">
              <w:rPr>
                <w:rFonts w:ascii="Roboto" w:hAnsi="Roboto" w:cs="Calibri"/>
                <w:b/>
                <w:bCs/>
                <w:color w:val="334059"/>
                <w:sz w:val="20"/>
                <w:szCs w:val="20"/>
              </w:rPr>
              <w:t>Закона № 44-ФЗ</w:t>
            </w:r>
            <w:r>
              <w:rPr>
                <w:rFonts w:ascii="Roboto" w:hAnsi="Roboto" w:cs="Calibri"/>
                <w:b/>
                <w:bCs/>
                <w:color w:val="334059"/>
                <w:sz w:val="20"/>
                <w:szCs w:val="20"/>
              </w:rPr>
              <w:t>)</w:t>
            </w:r>
          </w:p>
        </w:tc>
        <w:tc>
          <w:tcPr>
            <w:tcW w:w="1843"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AD2BA3" w:rsidRPr="007E2D16" w:rsidRDefault="009C25AC" w:rsidP="0012358E">
            <w:pPr>
              <w:jc w:val="center"/>
              <w:rPr>
                <w:sz w:val="22"/>
                <w:szCs w:val="22"/>
              </w:rPr>
            </w:pPr>
            <w:r w:rsidRPr="007E2D16">
              <w:rPr>
                <w:sz w:val="22"/>
                <w:szCs w:val="22"/>
              </w:rPr>
              <w:t>2 772,0</w:t>
            </w:r>
          </w:p>
        </w:tc>
        <w:tc>
          <w:tcPr>
            <w:tcW w:w="1154" w:type="dxa"/>
            <w:tcBorders>
              <w:top w:val="single" w:sz="4" w:space="0" w:color="auto"/>
              <w:left w:val="nil"/>
              <w:bottom w:val="single" w:sz="4" w:space="0" w:color="auto"/>
              <w:right w:val="single" w:sz="4" w:space="0" w:color="auto"/>
            </w:tcBorders>
            <w:noWrap/>
            <w:tcMar>
              <w:left w:w="28" w:type="dxa"/>
              <w:right w:w="28" w:type="dxa"/>
            </w:tcMar>
            <w:vAlign w:val="center"/>
          </w:tcPr>
          <w:p w:rsidR="00AD2BA3" w:rsidRPr="007E2D16" w:rsidRDefault="009C25AC" w:rsidP="0012358E">
            <w:pPr>
              <w:jc w:val="center"/>
              <w:rPr>
                <w:sz w:val="22"/>
                <w:szCs w:val="22"/>
              </w:rPr>
            </w:pPr>
            <w:r w:rsidRPr="007E2D16">
              <w:rPr>
                <w:sz w:val="22"/>
                <w:szCs w:val="22"/>
              </w:rPr>
              <w:t>1</w:t>
            </w:r>
          </w:p>
        </w:tc>
      </w:tr>
      <w:tr w:rsidR="00AD2BA3" w:rsidRPr="00B17798" w:rsidTr="0012358E">
        <w:trPr>
          <w:trHeight w:val="461"/>
        </w:trPr>
        <w:tc>
          <w:tcPr>
            <w:tcW w:w="6407" w:type="dxa"/>
            <w:tcBorders>
              <w:top w:val="single" w:sz="4" w:space="0" w:color="auto"/>
              <w:left w:val="single" w:sz="8" w:space="0" w:color="auto"/>
              <w:bottom w:val="single" w:sz="4" w:space="0" w:color="auto"/>
              <w:right w:val="single" w:sz="4" w:space="0" w:color="auto"/>
            </w:tcBorders>
            <w:noWrap/>
            <w:vAlign w:val="bottom"/>
          </w:tcPr>
          <w:p w:rsidR="00D5702B" w:rsidRPr="00A03666" w:rsidRDefault="006C1059" w:rsidP="0012358E">
            <w:pPr>
              <w:tabs>
                <w:tab w:val="left" w:pos="-80"/>
              </w:tabs>
              <w:rPr>
                <w:rFonts w:ascii="Roboto" w:hAnsi="Roboto" w:cs="Calibri"/>
                <w:b/>
                <w:bCs/>
                <w:color w:val="334059"/>
                <w:sz w:val="20"/>
                <w:szCs w:val="20"/>
              </w:rPr>
            </w:pPr>
            <w:r>
              <w:rPr>
                <w:rFonts w:ascii="Roboto" w:hAnsi="Roboto" w:cs="Calibri"/>
                <w:b/>
                <w:bCs/>
                <w:color w:val="334059"/>
                <w:sz w:val="20"/>
                <w:szCs w:val="20"/>
              </w:rPr>
              <w:t xml:space="preserve">5. </w:t>
            </w:r>
            <w:r w:rsidR="00AD2BA3" w:rsidRPr="00A03666">
              <w:rPr>
                <w:rFonts w:ascii="Roboto" w:hAnsi="Roboto" w:cs="Calibri"/>
                <w:b/>
                <w:bCs/>
                <w:color w:val="334059"/>
                <w:sz w:val="20"/>
                <w:szCs w:val="20"/>
              </w:rPr>
              <w:t>Отмена определения поставщика (подрядчика, исполнителя) (ст. 36 Закона №44-ФЗ).</w:t>
            </w:r>
          </w:p>
        </w:tc>
        <w:tc>
          <w:tcPr>
            <w:tcW w:w="1843"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AD2BA3" w:rsidRPr="007E2D16" w:rsidRDefault="009D6E2B" w:rsidP="0012358E">
            <w:pPr>
              <w:jc w:val="center"/>
              <w:rPr>
                <w:sz w:val="22"/>
                <w:szCs w:val="22"/>
              </w:rPr>
            </w:pPr>
            <w:r w:rsidRPr="007E2D16">
              <w:rPr>
                <w:sz w:val="22"/>
                <w:szCs w:val="22"/>
              </w:rPr>
              <w:t>6 678,9</w:t>
            </w:r>
          </w:p>
        </w:tc>
        <w:tc>
          <w:tcPr>
            <w:tcW w:w="1154" w:type="dxa"/>
            <w:tcBorders>
              <w:top w:val="single" w:sz="4" w:space="0" w:color="auto"/>
              <w:left w:val="nil"/>
              <w:bottom w:val="single" w:sz="4" w:space="0" w:color="auto"/>
              <w:right w:val="single" w:sz="4" w:space="0" w:color="auto"/>
            </w:tcBorders>
            <w:noWrap/>
            <w:tcMar>
              <w:left w:w="28" w:type="dxa"/>
              <w:right w:w="28" w:type="dxa"/>
            </w:tcMar>
            <w:vAlign w:val="center"/>
          </w:tcPr>
          <w:p w:rsidR="00AD2BA3" w:rsidRPr="007E2D16" w:rsidRDefault="009D6E2B" w:rsidP="0012358E">
            <w:pPr>
              <w:jc w:val="center"/>
              <w:rPr>
                <w:sz w:val="22"/>
                <w:szCs w:val="22"/>
              </w:rPr>
            </w:pPr>
            <w:r w:rsidRPr="007E2D16">
              <w:rPr>
                <w:sz w:val="22"/>
                <w:szCs w:val="22"/>
              </w:rPr>
              <w:t>2</w:t>
            </w:r>
          </w:p>
        </w:tc>
      </w:tr>
      <w:tr w:rsidR="00C31EE7" w:rsidRPr="00B17798" w:rsidTr="0012358E">
        <w:trPr>
          <w:trHeight w:val="236"/>
        </w:trPr>
        <w:tc>
          <w:tcPr>
            <w:tcW w:w="6407" w:type="dxa"/>
            <w:tcBorders>
              <w:top w:val="single" w:sz="4" w:space="0" w:color="auto"/>
              <w:left w:val="single" w:sz="8" w:space="0" w:color="auto"/>
              <w:bottom w:val="single" w:sz="4" w:space="0" w:color="auto"/>
              <w:right w:val="single" w:sz="4" w:space="0" w:color="auto"/>
            </w:tcBorders>
            <w:noWrap/>
            <w:vAlign w:val="bottom"/>
          </w:tcPr>
          <w:p w:rsidR="00C31EE7" w:rsidRDefault="00C31EE7" w:rsidP="0012358E">
            <w:pPr>
              <w:rPr>
                <w:b/>
                <w:sz w:val="18"/>
                <w:szCs w:val="18"/>
              </w:rPr>
            </w:pPr>
          </w:p>
          <w:p w:rsidR="00C31EE7" w:rsidRDefault="00C31EE7" w:rsidP="0012358E">
            <w:pPr>
              <w:rPr>
                <w:b/>
                <w:sz w:val="18"/>
                <w:szCs w:val="18"/>
              </w:rPr>
            </w:pPr>
            <w:r w:rsidRPr="001C3BFC">
              <w:rPr>
                <w:b/>
                <w:sz w:val="18"/>
                <w:szCs w:val="18"/>
              </w:rPr>
              <w:t>ИТОГО</w:t>
            </w:r>
          </w:p>
        </w:tc>
        <w:tc>
          <w:tcPr>
            <w:tcW w:w="1843"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C31EE7" w:rsidRPr="007E2D16" w:rsidRDefault="009D6E2B" w:rsidP="00574526">
            <w:pPr>
              <w:jc w:val="center"/>
              <w:rPr>
                <w:b/>
                <w:sz w:val="22"/>
                <w:szCs w:val="22"/>
              </w:rPr>
            </w:pPr>
            <w:r w:rsidRPr="007E2D16">
              <w:rPr>
                <w:b/>
                <w:sz w:val="22"/>
                <w:szCs w:val="22"/>
              </w:rPr>
              <w:t>383 754,</w:t>
            </w:r>
            <w:r w:rsidR="00574526" w:rsidRPr="007E2D16">
              <w:rPr>
                <w:b/>
                <w:sz w:val="22"/>
                <w:szCs w:val="22"/>
              </w:rPr>
              <w:t>7</w:t>
            </w:r>
          </w:p>
        </w:tc>
        <w:tc>
          <w:tcPr>
            <w:tcW w:w="1154" w:type="dxa"/>
            <w:tcBorders>
              <w:top w:val="single" w:sz="4" w:space="0" w:color="auto"/>
              <w:left w:val="nil"/>
              <w:bottom w:val="single" w:sz="4" w:space="0" w:color="auto"/>
              <w:right w:val="single" w:sz="4" w:space="0" w:color="auto"/>
            </w:tcBorders>
            <w:noWrap/>
            <w:tcMar>
              <w:left w:w="28" w:type="dxa"/>
              <w:right w:w="28" w:type="dxa"/>
            </w:tcMar>
            <w:vAlign w:val="center"/>
          </w:tcPr>
          <w:p w:rsidR="00C31EE7" w:rsidRPr="007E2D16" w:rsidRDefault="009D6E2B" w:rsidP="0012358E">
            <w:pPr>
              <w:jc w:val="center"/>
              <w:rPr>
                <w:b/>
                <w:sz w:val="22"/>
                <w:szCs w:val="22"/>
              </w:rPr>
            </w:pPr>
            <w:r w:rsidRPr="007E2D16">
              <w:rPr>
                <w:b/>
                <w:sz w:val="22"/>
                <w:szCs w:val="22"/>
              </w:rPr>
              <w:t>112</w:t>
            </w:r>
          </w:p>
        </w:tc>
      </w:tr>
      <w:tr w:rsidR="00C31EE7" w:rsidRPr="00B17798" w:rsidTr="0012358E">
        <w:trPr>
          <w:trHeight w:val="234"/>
        </w:trPr>
        <w:tc>
          <w:tcPr>
            <w:tcW w:w="6407" w:type="dxa"/>
            <w:tcBorders>
              <w:top w:val="single" w:sz="4" w:space="0" w:color="auto"/>
              <w:left w:val="single" w:sz="8" w:space="0" w:color="auto"/>
              <w:bottom w:val="single" w:sz="4" w:space="0" w:color="auto"/>
              <w:right w:val="single" w:sz="4" w:space="0" w:color="auto"/>
            </w:tcBorders>
            <w:noWrap/>
            <w:vAlign w:val="bottom"/>
          </w:tcPr>
          <w:p w:rsidR="00C31EE7" w:rsidRPr="00195F56" w:rsidRDefault="00C31EE7" w:rsidP="0012358E">
            <w:pPr>
              <w:tabs>
                <w:tab w:val="left" w:pos="204"/>
              </w:tabs>
              <w:ind w:left="-80"/>
              <w:jc w:val="center"/>
              <w:rPr>
                <w:rFonts w:ascii="Roboto" w:hAnsi="Roboto" w:cs="Calibri"/>
                <w:b/>
                <w:bCs/>
                <w:color w:val="334059"/>
                <w:sz w:val="22"/>
                <w:szCs w:val="22"/>
              </w:rPr>
            </w:pPr>
            <w:r>
              <w:rPr>
                <w:b/>
              </w:rPr>
              <w:t xml:space="preserve">                                           </w:t>
            </w:r>
            <w:r w:rsidR="0012358E">
              <w:rPr>
                <w:b/>
              </w:rPr>
              <w:t xml:space="preserve">    </w:t>
            </w:r>
            <w:r>
              <w:rPr>
                <w:b/>
              </w:rPr>
              <w:t xml:space="preserve">   </w:t>
            </w:r>
            <w:r w:rsidR="0012358E">
              <w:rPr>
                <w:b/>
              </w:rPr>
              <w:t>Электронный к</w:t>
            </w:r>
            <w:r w:rsidR="008E3038">
              <w:rPr>
                <w:b/>
              </w:rPr>
              <w:t>он</w:t>
            </w:r>
            <w:r>
              <w:rPr>
                <w:b/>
              </w:rPr>
              <w:t>курс</w:t>
            </w:r>
          </w:p>
        </w:tc>
        <w:tc>
          <w:tcPr>
            <w:tcW w:w="1843"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C31EE7" w:rsidRDefault="00C31EE7" w:rsidP="0012358E">
            <w:pPr>
              <w:jc w:val="center"/>
            </w:pPr>
          </w:p>
        </w:tc>
        <w:tc>
          <w:tcPr>
            <w:tcW w:w="1154" w:type="dxa"/>
            <w:tcBorders>
              <w:top w:val="single" w:sz="4" w:space="0" w:color="auto"/>
              <w:left w:val="nil"/>
              <w:bottom w:val="single" w:sz="4" w:space="0" w:color="auto"/>
              <w:right w:val="single" w:sz="4" w:space="0" w:color="auto"/>
            </w:tcBorders>
            <w:noWrap/>
            <w:tcMar>
              <w:left w:w="28" w:type="dxa"/>
              <w:right w:w="28" w:type="dxa"/>
            </w:tcMar>
            <w:vAlign w:val="center"/>
          </w:tcPr>
          <w:p w:rsidR="00C31EE7" w:rsidRDefault="00C31EE7" w:rsidP="0012358E">
            <w:pPr>
              <w:jc w:val="center"/>
            </w:pPr>
          </w:p>
        </w:tc>
      </w:tr>
      <w:tr w:rsidR="0012358E" w:rsidRPr="00B17798" w:rsidTr="0012358E">
        <w:trPr>
          <w:trHeight w:val="679"/>
        </w:trPr>
        <w:tc>
          <w:tcPr>
            <w:tcW w:w="6407" w:type="dxa"/>
            <w:tcBorders>
              <w:top w:val="single" w:sz="4" w:space="0" w:color="auto"/>
              <w:left w:val="single" w:sz="8" w:space="0" w:color="auto"/>
              <w:bottom w:val="single" w:sz="4" w:space="0" w:color="auto"/>
              <w:right w:val="single" w:sz="4" w:space="0" w:color="auto"/>
            </w:tcBorders>
            <w:noWrap/>
            <w:vAlign w:val="bottom"/>
          </w:tcPr>
          <w:p w:rsidR="0012358E" w:rsidRPr="00A03666" w:rsidRDefault="0012358E" w:rsidP="0012358E">
            <w:pPr>
              <w:autoSpaceDE w:val="0"/>
              <w:autoSpaceDN w:val="0"/>
              <w:adjustRightInd w:val="0"/>
              <w:jc w:val="both"/>
              <w:rPr>
                <w:sz w:val="20"/>
                <w:szCs w:val="20"/>
              </w:rPr>
            </w:pPr>
            <w:r>
              <w:rPr>
                <w:rFonts w:ascii="Roboto" w:hAnsi="Roboto" w:cs="Calibri"/>
                <w:b/>
                <w:bCs/>
                <w:color w:val="334059"/>
                <w:sz w:val="20"/>
                <w:szCs w:val="20"/>
              </w:rPr>
              <w:t xml:space="preserve">1. </w:t>
            </w:r>
            <w:r w:rsidRPr="00A03666">
              <w:rPr>
                <w:rFonts w:ascii="Roboto" w:hAnsi="Roboto" w:cs="Calibri"/>
                <w:b/>
                <w:bCs/>
                <w:color w:val="334059"/>
                <w:sz w:val="20"/>
                <w:szCs w:val="20"/>
              </w:rPr>
              <w:t xml:space="preserve">По </w:t>
            </w:r>
            <w:r w:rsidRPr="00A95B51">
              <w:rPr>
                <w:rFonts w:ascii="Roboto" w:hAnsi="Roboto" w:cs="Calibri"/>
                <w:b/>
                <w:bCs/>
                <w:color w:val="334059"/>
                <w:sz w:val="20"/>
                <w:szCs w:val="20"/>
              </w:rPr>
              <w:t xml:space="preserve"> окончании срока подачи заявок на участие в закупке подана только одна заявка на участие в закупке</w:t>
            </w:r>
            <w:r>
              <w:rPr>
                <w:rFonts w:ascii="Roboto" w:hAnsi="Roboto" w:cs="Calibri"/>
                <w:b/>
                <w:bCs/>
                <w:color w:val="334059"/>
                <w:sz w:val="20"/>
                <w:szCs w:val="20"/>
              </w:rPr>
              <w:t xml:space="preserve"> </w:t>
            </w:r>
            <w:r w:rsidRPr="00A95B51">
              <w:rPr>
                <w:rFonts w:ascii="Roboto" w:hAnsi="Roboto" w:cs="Calibri"/>
                <w:b/>
                <w:bCs/>
                <w:color w:val="334059"/>
                <w:sz w:val="20"/>
                <w:szCs w:val="20"/>
              </w:rPr>
              <w:t xml:space="preserve"> (п.1</w:t>
            </w:r>
            <w:r w:rsidRPr="00A03666">
              <w:rPr>
                <w:rFonts w:ascii="Roboto" w:hAnsi="Roboto" w:cs="Calibri"/>
                <w:b/>
                <w:bCs/>
                <w:color w:val="334059"/>
                <w:sz w:val="20"/>
                <w:szCs w:val="20"/>
              </w:rPr>
              <w:t xml:space="preserve"> ч. 1 ст. </w:t>
            </w:r>
            <w:r>
              <w:rPr>
                <w:rFonts w:ascii="Roboto" w:hAnsi="Roboto" w:cs="Calibri"/>
                <w:b/>
                <w:bCs/>
                <w:color w:val="334059"/>
                <w:sz w:val="20"/>
                <w:szCs w:val="20"/>
              </w:rPr>
              <w:t xml:space="preserve">52 </w:t>
            </w:r>
            <w:r w:rsidRPr="00A03666">
              <w:rPr>
                <w:rFonts w:ascii="Roboto" w:hAnsi="Roboto" w:cs="Calibri"/>
                <w:b/>
                <w:bCs/>
                <w:color w:val="334059"/>
                <w:sz w:val="20"/>
                <w:szCs w:val="20"/>
              </w:rPr>
              <w:t>Закона № 44-ФЗ</w:t>
            </w:r>
            <w:r>
              <w:rPr>
                <w:rFonts w:ascii="Roboto" w:hAnsi="Roboto" w:cs="Calibri"/>
                <w:b/>
                <w:bCs/>
                <w:color w:val="334059"/>
                <w:sz w:val="20"/>
                <w:szCs w:val="20"/>
              </w:rPr>
              <w:t>)</w:t>
            </w:r>
          </w:p>
        </w:tc>
        <w:tc>
          <w:tcPr>
            <w:tcW w:w="1843"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12358E" w:rsidRPr="007E2D16" w:rsidRDefault="00305F2D" w:rsidP="0012358E">
            <w:pPr>
              <w:jc w:val="center"/>
              <w:rPr>
                <w:sz w:val="22"/>
                <w:szCs w:val="22"/>
              </w:rPr>
            </w:pPr>
            <w:r w:rsidRPr="007E2D16">
              <w:rPr>
                <w:sz w:val="22"/>
                <w:szCs w:val="22"/>
              </w:rPr>
              <w:t>109 762,9</w:t>
            </w:r>
          </w:p>
        </w:tc>
        <w:tc>
          <w:tcPr>
            <w:tcW w:w="1154" w:type="dxa"/>
            <w:tcBorders>
              <w:top w:val="single" w:sz="4" w:space="0" w:color="auto"/>
              <w:left w:val="nil"/>
              <w:bottom w:val="single" w:sz="4" w:space="0" w:color="auto"/>
              <w:right w:val="single" w:sz="4" w:space="0" w:color="auto"/>
            </w:tcBorders>
            <w:noWrap/>
            <w:tcMar>
              <w:left w:w="28" w:type="dxa"/>
              <w:right w:w="28" w:type="dxa"/>
            </w:tcMar>
            <w:vAlign w:val="center"/>
          </w:tcPr>
          <w:p w:rsidR="0012358E" w:rsidRPr="007E2D16" w:rsidRDefault="00305F2D" w:rsidP="0012358E">
            <w:pPr>
              <w:jc w:val="center"/>
              <w:rPr>
                <w:sz w:val="22"/>
                <w:szCs w:val="22"/>
              </w:rPr>
            </w:pPr>
            <w:r w:rsidRPr="007E2D16">
              <w:rPr>
                <w:sz w:val="22"/>
                <w:szCs w:val="22"/>
              </w:rPr>
              <w:t>6</w:t>
            </w:r>
          </w:p>
        </w:tc>
      </w:tr>
      <w:tr w:rsidR="0012358E" w:rsidRPr="00B17798" w:rsidTr="0012358E">
        <w:trPr>
          <w:trHeight w:val="910"/>
        </w:trPr>
        <w:tc>
          <w:tcPr>
            <w:tcW w:w="6407" w:type="dxa"/>
            <w:tcBorders>
              <w:top w:val="single" w:sz="4" w:space="0" w:color="auto"/>
              <w:left w:val="single" w:sz="8" w:space="0" w:color="auto"/>
              <w:bottom w:val="single" w:sz="4" w:space="0" w:color="auto"/>
              <w:right w:val="single" w:sz="4" w:space="0" w:color="auto"/>
            </w:tcBorders>
            <w:noWrap/>
            <w:vAlign w:val="bottom"/>
          </w:tcPr>
          <w:p w:rsidR="0012358E" w:rsidRPr="00A03666" w:rsidRDefault="0012358E" w:rsidP="0012358E">
            <w:pPr>
              <w:autoSpaceDE w:val="0"/>
              <w:autoSpaceDN w:val="0"/>
              <w:adjustRightInd w:val="0"/>
              <w:jc w:val="both"/>
              <w:rPr>
                <w:sz w:val="20"/>
                <w:szCs w:val="20"/>
              </w:rPr>
            </w:pPr>
            <w:r>
              <w:rPr>
                <w:rFonts w:ascii="Roboto" w:hAnsi="Roboto" w:cs="Calibri"/>
                <w:b/>
                <w:bCs/>
                <w:color w:val="334059"/>
                <w:sz w:val="20"/>
                <w:szCs w:val="20"/>
              </w:rPr>
              <w:t>2. П</w:t>
            </w:r>
            <w:r w:rsidRPr="00A95B51">
              <w:rPr>
                <w:rFonts w:ascii="Roboto" w:hAnsi="Roboto" w:cs="Calibri"/>
                <w:b/>
                <w:bCs/>
                <w:color w:val="334059"/>
                <w:sz w:val="20"/>
                <w:szCs w:val="20"/>
              </w:rPr>
              <w:t>о результатам рассмотрения заявок на участие в закупке только одна заявка на участие в закупке соответствует требованиям, установленным в изв</w:t>
            </w:r>
            <w:r>
              <w:rPr>
                <w:rFonts w:ascii="Roboto" w:hAnsi="Roboto" w:cs="Calibri"/>
                <w:b/>
                <w:bCs/>
                <w:color w:val="334059"/>
                <w:sz w:val="20"/>
                <w:szCs w:val="20"/>
              </w:rPr>
              <w:t xml:space="preserve">ещении об осуществлении закупки </w:t>
            </w:r>
            <w:r w:rsidRPr="00A95B51">
              <w:rPr>
                <w:rFonts w:ascii="Roboto" w:hAnsi="Roboto" w:cs="Calibri"/>
                <w:b/>
                <w:bCs/>
                <w:color w:val="334059"/>
                <w:sz w:val="20"/>
                <w:szCs w:val="20"/>
              </w:rPr>
              <w:t xml:space="preserve"> </w:t>
            </w:r>
            <w:r>
              <w:rPr>
                <w:rFonts w:ascii="Roboto" w:hAnsi="Roboto" w:cs="Calibri"/>
                <w:b/>
                <w:bCs/>
                <w:color w:val="334059"/>
                <w:sz w:val="20"/>
                <w:szCs w:val="20"/>
              </w:rPr>
              <w:t>(п.2</w:t>
            </w:r>
            <w:r w:rsidRPr="00A03666">
              <w:rPr>
                <w:rFonts w:ascii="Roboto" w:hAnsi="Roboto" w:cs="Calibri"/>
                <w:b/>
                <w:bCs/>
                <w:color w:val="334059"/>
                <w:sz w:val="20"/>
                <w:szCs w:val="20"/>
              </w:rPr>
              <w:t xml:space="preserve"> ч. 1 ст. </w:t>
            </w:r>
            <w:r>
              <w:rPr>
                <w:rFonts w:ascii="Roboto" w:hAnsi="Roboto" w:cs="Calibri"/>
                <w:b/>
                <w:bCs/>
                <w:color w:val="334059"/>
                <w:sz w:val="20"/>
                <w:szCs w:val="20"/>
              </w:rPr>
              <w:t xml:space="preserve">52 </w:t>
            </w:r>
            <w:r w:rsidRPr="00A03666">
              <w:rPr>
                <w:rFonts w:ascii="Roboto" w:hAnsi="Roboto" w:cs="Calibri"/>
                <w:b/>
                <w:bCs/>
                <w:color w:val="334059"/>
                <w:sz w:val="20"/>
                <w:szCs w:val="20"/>
              </w:rPr>
              <w:t>Закона № 44-ФЗ</w:t>
            </w:r>
            <w:r>
              <w:rPr>
                <w:rFonts w:ascii="Roboto" w:hAnsi="Roboto" w:cs="Calibri"/>
                <w:b/>
                <w:bCs/>
                <w:color w:val="334059"/>
                <w:sz w:val="20"/>
                <w:szCs w:val="20"/>
              </w:rPr>
              <w:t>)</w:t>
            </w:r>
            <w:r w:rsidRPr="00A03666">
              <w:rPr>
                <w:rFonts w:ascii="Roboto" w:hAnsi="Roboto" w:cs="Calibri"/>
                <w:b/>
                <w:bCs/>
                <w:color w:val="334059"/>
                <w:sz w:val="20"/>
                <w:szCs w:val="20"/>
              </w:rPr>
              <w:t>.</w:t>
            </w:r>
          </w:p>
        </w:tc>
        <w:tc>
          <w:tcPr>
            <w:tcW w:w="1843"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12358E" w:rsidRPr="007E2D16" w:rsidRDefault="00305F2D" w:rsidP="0012358E">
            <w:pPr>
              <w:jc w:val="center"/>
              <w:rPr>
                <w:sz w:val="22"/>
                <w:szCs w:val="22"/>
              </w:rPr>
            </w:pPr>
            <w:r w:rsidRPr="007E2D16">
              <w:rPr>
                <w:sz w:val="22"/>
                <w:szCs w:val="22"/>
              </w:rPr>
              <w:t>-</w:t>
            </w:r>
          </w:p>
        </w:tc>
        <w:tc>
          <w:tcPr>
            <w:tcW w:w="1154" w:type="dxa"/>
            <w:tcBorders>
              <w:top w:val="single" w:sz="4" w:space="0" w:color="auto"/>
              <w:left w:val="nil"/>
              <w:bottom w:val="single" w:sz="4" w:space="0" w:color="auto"/>
              <w:right w:val="single" w:sz="4" w:space="0" w:color="auto"/>
            </w:tcBorders>
            <w:noWrap/>
            <w:tcMar>
              <w:left w:w="28" w:type="dxa"/>
              <w:right w:w="28" w:type="dxa"/>
            </w:tcMar>
            <w:vAlign w:val="center"/>
          </w:tcPr>
          <w:p w:rsidR="0012358E" w:rsidRPr="007E2D16" w:rsidRDefault="00305F2D" w:rsidP="0012358E">
            <w:pPr>
              <w:jc w:val="center"/>
              <w:rPr>
                <w:sz w:val="22"/>
                <w:szCs w:val="22"/>
              </w:rPr>
            </w:pPr>
            <w:r w:rsidRPr="007E2D16">
              <w:rPr>
                <w:sz w:val="22"/>
                <w:szCs w:val="22"/>
              </w:rPr>
              <w:t>-</w:t>
            </w:r>
          </w:p>
        </w:tc>
      </w:tr>
      <w:tr w:rsidR="0012358E" w:rsidRPr="00B17798" w:rsidTr="0012358E">
        <w:trPr>
          <w:trHeight w:val="516"/>
        </w:trPr>
        <w:tc>
          <w:tcPr>
            <w:tcW w:w="6407" w:type="dxa"/>
            <w:tcBorders>
              <w:top w:val="single" w:sz="4" w:space="0" w:color="auto"/>
              <w:left w:val="single" w:sz="8" w:space="0" w:color="auto"/>
              <w:bottom w:val="single" w:sz="4" w:space="0" w:color="auto"/>
              <w:right w:val="single" w:sz="4" w:space="0" w:color="auto"/>
            </w:tcBorders>
            <w:noWrap/>
            <w:vAlign w:val="bottom"/>
          </w:tcPr>
          <w:p w:rsidR="0012358E" w:rsidRPr="00A03666" w:rsidRDefault="0012358E" w:rsidP="0012358E">
            <w:pPr>
              <w:autoSpaceDE w:val="0"/>
              <w:autoSpaceDN w:val="0"/>
              <w:adjustRightInd w:val="0"/>
              <w:jc w:val="both"/>
              <w:rPr>
                <w:rFonts w:ascii="Roboto" w:hAnsi="Roboto" w:cs="Calibri"/>
                <w:b/>
                <w:bCs/>
                <w:color w:val="334059"/>
                <w:sz w:val="20"/>
                <w:szCs w:val="20"/>
              </w:rPr>
            </w:pPr>
            <w:r>
              <w:rPr>
                <w:rFonts w:ascii="Roboto" w:hAnsi="Roboto" w:cs="Calibri"/>
                <w:b/>
                <w:bCs/>
                <w:color w:val="334059"/>
                <w:sz w:val="20"/>
                <w:szCs w:val="20"/>
              </w:rPr>
              <w:t>3. П</w:t>
            </w:r>
            <w:r w:rsidRPr="00A95B51">
              <w:rPr>
                <w:rFonts w:ascii="Roboto" w:hAnsi="Roboto" w:cs="Calibri"/>
                <w:b/>
                <w:bCs/>
                <w:color w:val="334059"/>
                <w:sz w:val="20"/>
                <w:szCs w:val="20"/>
              </w:rPr>
              <w:t>о окончании срока подачи заявок на участие в закупке не подано ни одной заявки на участие в закупке</w:t>
            </w:r>
            <w:r w:rsidRPr="00A03666">
              <w:rPr>
                <w:rFonts w:ascii="Roboto" w:hAnsi="Roboto" w:cs="Calibri"/>
                <w:b/>
                <w:bCs/>
                <w:color w:val="334059"/>
                <w:sz w:val="20"/>
                <w:szCs w:val="20"/>
              </w:rPr>
              <w:t xml:space="preserve"> </w:t>
            </w:r>
            <w:r>
              <w:rPr>
                <w:rFonts w:ascii="Roboto" w:hAnsi="Roboto" w:cs="Calibri"/>
                <w:b/>
                <w:bCs/>
                <w:color w:val="334059"/>
                <w:sz w:val="20"/>
                <w:szCs w:val="20"/>
              </w:rPr>
              <w:t>(п.3</w:t>
            </w:r>
            <w:r w:rsidRPr="00A03666">
              <w:rPr>
                <w:rFonts w:ascii="Roboto" w:hAnsi="Roboto" w:cs="Calibri"/>
                <w:b/>
                <w:bCs/>
                <w:color w:val="334059"/>
                <w:sz w:val="20"/>
                <w:szCs w:val="20"/>
              </w:rPr>
              <w:t xml:space="preserve"> ч. 1 ст. </w:t>
            </w:r>
            <w:r>
              <w:rPr>
                <w:rFonts w:ascii="Roboto" w:hAnsi="Roboto" w:cs="Calibri"/>
                <w:b/>
                <w:bCs/>
                <w:color w:val="334059"/>
                <w:sz w:val="20"/>
                <w:szCs w:val="20"/>
              </w:rPr>
              <w:t xml:space="preserve">52 </w:t>
            </w:r>
            <w:r w:rsidRPr="00A03666">
              <w:rPr>
                <w:rFonts w:ascii="Roboto" w:hAnsi="Roboto" w:cs="Calibri"/>
                <w:b/>
                <w:bCs/>
                <w:color w:val="334059"/>
                <w:sz w:val="20"/>
                <w:szCs w:val="20"/>
              </w:rPr>
              <w:t>Закона № 44-ФЗ</w:t>
            </w:r>
            <w:r>
              <w:rPr>
                <w:rFonts w:ascii="Roboto" w:hAnsi="Roboto" w:cs="Calibri"/>
                <w:b/>
                <w:bCs/>
                <w:color w:val="334059"/>
                <w:sz w:val="20"/>
                <w:szCs w:val="20"/>
              </w:rPr>
              <w:t>)</w:t>
            </w:r>
            <w:r w:rsidRPr="00A03666">
              <w:rPr>
                <w:rFonts w:ascii="Roboto" w:hAnsi="Roboto" w:cs="Calibri"/>
                <w:b/>
                <w:bCs/>
                <w:color w:val="334059"/>
                <w:sz w:val="20"/>
                <w:szCs w:val="20"/>
              </w:rPr>
              <w:t>.</w:t>
            </w:r>
          </w:p>
        </w:tc>
        <w:tc>
          <w:tcPr>
            <w:tcW w:w="1843"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12358E" w:rsidRPr="007E2D16" w:rsidRDefault="00305F2D" w:rsidP="0012358E">
            <w:pPr>
              <w:jc w:val="center"/>
              <w:rPr>
                <w:sz w:val="22"/>
                <w:szCs w:val="22"/>
              </w:rPr>
            </w:pPr>
            <w:r w:rsidRPr="007E2D16">
              <w:rPr>
                <w:sz w:val="22"/>
                <w:szCs w:val="22"/>
              </w:rPr>
              <w:t>-</w:t>
            </w:r>
          </w:p>
        </w:tc>
        <w:tc>
          <w:tcPr>
            <w:tcW w:w="1154" w:type="dxa"/>
            <w:tcBorders>
              <w:top w:val="single" w:sz="4" w:space="0" w:color="auto"/>
              <w:left w:val="nil"/>
              <w:bottom w:val="single" w:sz="4" w:space="0" w:color="auto"/>
              <w:right w:val="single" w:sz="4" w:space="0" w:color="auto"/>
            </w:tcBorders>
            <w:noWrap/>
            <w:tcMar>
              <w:left w:w="28" w:type="dxa"/>
              <w:right w:w="28" w:type="dxa"/>
            </w:tcMar>
            <w:vAlign w:val="center"/>
          </w:tcPr>
          <w:p w:rsidR="0012358E" w:rsidRPr="007E2D16" w:rsidRDefault="00305F2D" w:rsidP="0012358E">
            <w:pPr>
              <w:jc w:val="center"/>
              <w:rPr>
                <w:sz w:val="22"/>
                <w:szCs w:val="22"/>
              </w:rPr>
            </w:pPr>
            <w:r w:rsidRPr="007E2D16">
              <w:rPr>
                <w:sz w:val="22"/>
                <w:szCs w:val="22"/>
              </w:rPr>
              <w:t>-</w:t>
            </w:r>
          </w:p>
        </w:tc>
      </w:tr>
      <w:tr w:rsidR="0012358E" w:rsidRPr="00B17798" w:rsidTr="0012358E">
        <w:trPr>
          <w:trHeight w:val="122"/>
        </w:trPr>
        <w:tc>
          <w:tcPr>
            <w:tcW w:w="6407" w:type="dxa"/>
            <w:tcBorders>
              <w:top w:val="single" w:sz="4" w:space="0" w:color="auto"/>
              <w:left w:val="single" w:sz="8" w:space="0" w:color="auto"/>
              <w:bottom w:val="single" w:sz="4" w:space="0" w:color="auto"/>
              <w:right w:val="single" w:sz="4" w:space="0" w:color="auto"/>
            </w:tcBorders>
            <w:noWrap/>
            <w:vAlign w:val="bottom"/>
          </w:tcPr>
          <w:p w:rsidR="0012358E" w:rsidRPr="006C1059" w:rsidRDefault="0012358E" w:rsidP="0012358E">
            <w:pPr>
              <w:autoSpaceDE w:val="0"/>
              <w:autoSpaceDN w:val="0"/>
              <w:adjustRightInd w:val="0"/>
              <w:jc w:val="both"/>
              <w:rPr>
                <w:rFonts w:ascii="Roboto" w:hAnsi="Roboto" w:cs="Calibri"/>
                <w:b/>
                <w:bCs/>
                <w:color w:val="334059"/>
                <w:sz w:val="20"/>
                <w:szCs w:val="20"/>
              </w:rPr>
            </w:pPr>
            <w:r w:rsidRPr="006C1059">
              <w:rPr>
                <w:rFonts w:ascii="Roboto" w:hAnsi="Roboto" w:cs="Calibri"/>
                <w:b/>
                <w:bCs/>
                <w:color w:val="334059"/>
                <w:sz w:val="20"/>
                <w:szCs w:val="20"/>
              </w:rPr>
              <w:t>4. По результатам рассмотрения заявок на участие в закупке комиссия по осуществлению закупок отклонила все такие заявки</w:t>
            </w:r>
          </w:p>
          <w:p w:rsidR="0012358E" w:rsidRPr="00A03666" w:rsidRDefault="0012358E" w:rsidP="00305F2D">
            <w:pPr>
              <w:tabs>
                <w:tab w:val="left" w:pos="204"/>
              </w:tabs>
              <w:ind w:left="-80"/>
              <w:rPr>
                <w:rFonts w:ascii="Roboto" w:hAnsi="Roboto" w:cs="Calibri"/>
                <w:b/>
                <w:bCs/>
                <w:color w:val="334059"/>
                <w:sz w:val="20"/>
                <w:szCs w:val="20"/>
              </w:rPr>
            </w:pPr>
            <w:r w:rsidRPr="00A95B51">
              <w:rPr>
                <w:rFonts w:ascii="Roboto" w:hAnsi="Roboto" w:cs="Calibri"/>
                <w:b/>
                <w:bCs/>
                <w:color w:val="334059"/>
                <w:sz w:val="20"/>
                <w:szCs w:val="20"/>
              </w:rPr>
              <w:t>(</w:t>
            </w:r>
            <w:r>
              <w:rPr>
                <w:rFonts w:ascii="Roboto" w:hAnsi="Roboto" w:cs="Calibri"/>
                <w:b/>
                <w:bCs/>
                <w:color w:val="334059"/>
                <w:sz w:val="20"/>
                <w:szCs w:val="20"/>
              </w:rPr>
              <w:t xml:space="preserve">п. 4 </w:t>
            </w:r>
            <w:r w:rsidRPr="00A03666">
              <w:rPr>
                <w:rFonts w:ascii="Roboto" w:hAnsi="Roboto" w:cs="Calibri"/>
                <w:b/>
                <w:bCs/>
                <w:color w:val="334059"/>
                <w:sz w:val="20"/>
                <w:szCs w:val="20"/>
              </w:rPr>
              <w:t xml:space="preserve">ч. 1 ст. </w:t>
            </w:r>
            <w:r>
              <w:rPr>
                <w:rFonts w:ascii="Roboto" w:hAnsi="Roboto" w:cs="Calibri"/>
                <w:b/>
                <w:bCs/>
                <w:color w:val="334059"/>
                <w:sz w:val="20"/>
                <w:szCs w:val="20"/>
              </w:rPr>
              <w:t xml:space="preserve">52 </w:t>
            </w:r>
            <w:r w:rsidRPr="00A03666">
              <w:rPr>
                <w:rFonts w:ascii="Roboto" w:hAnsi="Roboto" w:cs="Calibri"/>
                <w:b/>
                <w:bCs/>
                <w:color w:val="334059"/>
                <w:sz w:val="20"/>
                <w:szCs w:val="20"/>
              </w:rPr>
              <w:t>Закона № 44-ФЗ</w:t>
            </w:r>
            <w:r>
              <w:rPr>
                <w:rFonts w:ascii="Roboto" w:hAnsi="Roboto" w:cs="Calibri"/>
                <w:b/>
                <w:bCs/>
                <w:color w:val="334059"/>
                <w:sz w:val="20"/>
                <w:szCs w:val="20"/>
              </w:rPr>
              <w:t>)</w:t>
            </w:r>
          </w:p>
        </w:tc>
        <w:tc>
          <w:tcPr>
            <w:tcW w:w="1843"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12358E" w:rsidRPr="007E2D16" w:rsidRDefault="006E6D3A" w:rsidP="0012358E">
            <w:pPr>
              <w:jc w:val="center"/>
              <w:rPr>
                <w:sz w:val="22"/>
                <w:szCs w:val="22"/>
              </w:rPr>
            </w:pPr>
            <w:r w:rsidRPr="007E2D16">
              <w:rPr>
                <w:sz w:val="22"/>
                <w:szCs w:val="22"/>
              </w:rPr>
              <w:t>-</w:t>
            </w:r>
          </w:p>
        </w:tc>
        <w:tc>
          <w:tcPr>
            <w:tcW w:w="1154" w:type="dxa"/>
            <w:tcBorders>
              <w:top w:val="single" w:sz="4" w:space="0" w:color="auto"/>
              <w:left w:val="nil"/>
              <w:bottom w:val="single" w:sz="4" w:space="0" w:color="auto"/>
              <w:right w:val="single" w:sz="4" w:space="0" w:color="auto"/>
            </w:tcBorders>
            <w:noWrap/>
            <w:tcMar>
              <w:left w:w="28" w:type="dxa"/>
              <w:right w:w="28" w:type="dxa"/>
            </w:tcMar>
            <w:vAlign w:val="center"/>
          </w:tcPr>
          <w:p w:rsidR="0012358E" w:rsidRPr="007E2D16" w:rsidRDefault="006E6D3A" w:rsidP="0012358E">
            <w:pPr>
              <w:jc w:val="center"/>
              <w:rPr>
                <w:sz w:val="22"/>
                <w:szCs w:val="22"/>
              </w:rPr>
            </w:pPr>
            <w:r w:rsidRPr="007E2D16">
              <w:rPr>
                <w:sz w:val="22"/>
                <w:szCs w:val="22"/>
              </w:rPr>
              <w:t>-</w:t>
            </w:r>
          </w:p>
        </w:tc>
      </w:tr>
      <w:tr w:rsidR="0012358E" w:rsidRPr="00B17798" w:rsidTr="0012358E">
        <w:trPr>
          <w:trHeight w:val="258"/>
        </w:trPr>
        <w:tc>
          <w:tcPr>
            <w:tcW w:w="6407" w:type="dxa"/>
            <w:tcBorders>
              <w:top w:val="single" w:sz="4" w:space="0" w:color="auto"/>
              <w:left w:val="single" w:sz="8" w:space="0" w:color="auto"/>
              <w:bottom w:val="single" w:sz="4" w:space="0" w:color="auto"/>
              <w:right w:val="single" w:sz="4" w:space="0" w:color="auto"/>
            </w:tcBorders>
            <w:noWrap/>
            <w:vAlign w:val="bottom"/>
          </w:tcPr>
          <w:p w:rsidR="0012358E" w:rsidRPr="00A03666" w:rsidRDefault="0012358E" w:rsidP="0012358E">
            <w:pPr>
              <w:tabs>
                <w:tab w:val="left" w:pos="-80"/>
              </w:tabs>
              <w:rPr>
                <w:rFonts w:ascii="Roboto" w:hAnsi="Roboto" w:cs="Calibri"/>
                <w:b/>
                <w:bCs/>
                <w:color w:val="334059"/>
                <w:sz w:val="20"/>
                <w:szCs w:val="20"/>
              </w:rPr>
            </w:pPr>
            <w:r>
              <w:rPr>
                <w:rFonts w:ascii="Roboto" w:hAnsi="Roboto" w:cs="Calibri"/>
                <w:b/>
                <w:bCs/>
                <w:color w:val="334059"/>
                <w:sz w:val="20"/>
                <w:szCs w:val="20"/>
              </w:rPr>
              <w:t xml:space="preserve">5. </w:t>
            </w:r>
            <w:r w:rsidRPr="00A03666">
              <w:rPr>
                <w:rFonts w:ascii="Roboto" w:hAnsi="Roboto" w:cs="Calibri"/>
                <w:b/>
                <w:bCs/>
                <w:color w:val="334059"/>
                <w:sz w:val="20"/>
                <w:szCs w:val="20"/>
              </w:rPr>
              <w:t>Отмена определения поставщика (подрядчика, исполнителя) (ст. 36 Закона №44-ФЗ).</w:t>
            </w:r>
          </w:p>
        </w:tc>
        <w:tc>
          <w:tcPr>
            <w:tcW w:w="1843"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12358E" w:rsidRPr="007E2D16" w:rsidRDefault="006E6D3A" w:rsidP="0012358E">
            <w:pPr>
              <w:jc w:val="center"/>
              <w:rPr>
                <w:sz w:val="22"/>
                <w:szCs w:val="22"/>
              </w:rPr>
            </w:pPr>
            <w:r w:rsidRPr="007E2D16">
              <w:rPr>
                <w:sz w:val="22"/>
                <w:szCs w:val="22"/>
              </w:rPr>
              <w:t>5 621,7</w:t>
            </w:r>
          </w:p>
        </w:tc>
        <w:tc>
          <w:tcPr>
            <w:tcW w:w="1154" w:type="dxa"/>
            <w:tcBorders>
              <w:top w:val="single" w:sz="4" w:space="0" w:color="auto"/>
              <w:left w:val="nil"/>
              <w:bottom w:val="single" w:sz="4" w:space="0" w:color="auto"/>
              <w:right w:val="single" w:sz="4" w:space="0" w:color="auto"/>
            </w:tcBorders>
            <w:noWrap/>
            <w:tcMar>
              <w:left w:w="28" w:type="dxa"/>
              <w:right w:w="28" w:type="dxa"/>
            </w:tcMar>
            <w:vAlign w:val="center"/>
          </w:tcPr>
          <w:p w:rsidR="0012358E" w:rsidRPr="007E2D16" w:rsidRDefault="006E6D3A" w:rsidP="0012358E">
            <w:pPr>
              <w:jc w:val="center"/>
              <w:rPr>
                <w:sz w:val="22"/>
                <w:szCs w:val="22"/>
              </w:rPr>
            </w:pPr>
            <w:r w:rsidRPr="007E2D16">
              <w:rPr>
                <w:sz w:val="22"/>
                <w:szCs w:val="22"/>
              </w:rPr>
              <w:t>1</w:t>
            </w:r>
          </w:p>
        </w:tc>
      </w:tr>
      <w:tr w:rsidR="0012358E" w:rsidRPr="00B17798" w:rsidTr="0012358E">
        <w:trPr>
          <w:trHeight w:val="127"/>
        </w:trPr>
        <w:tc>
          <w:tcPr>
            <w:tcW w:w="6407" w:type="dxa"/>
            <w:tcBorders>
              <w:top w:val="single" w:sz="4" w:space="0" w:color="auto"/>
              <w:left w:val="single" w:sz="8" w:space="0" w:color="auto"/>
              <w:bottom w:val="single" w:sz="4" w:space="0" w:color="auto"/>
              <w:right w:val="single" w:sz="4" w:space="0" w:color="auto"/>
            </w:tcBorders>
            <w:noWrap/>
            <w:vAlign w:val="bottom"/>
          </w:tcPr>
          <w:p w:rsidR="0012358E" w:rsidRPr="00195F56" w:rsidRDefault="0012358E" w:rsidP="0012358E">
            <w:pPr>
              <w:tabs>
                <w:tab w:val="left" w:pos="204"/>
              </w:tabs>
              <w:ind w:left="-80"/>
              <w:rPr>
                <w:rFonts w:ascii="Roboto" w:hAnsi="Roboto" w:cs="Calibri"/>
                <w:b/>
                <w:bCs/>
                <w:color w:val="334059"/>
                <w:sz w:val="22"/>
                <w:szCs w:val="22"/>
              </w:rPr>
            </w:pPr>
            <w:r w:rsidRPr="00A54982">
              <w:rPr>
                <w:b/>
                <w:sz w:val="18"/>
                <w:szCs w:val="18"/>
              </w:rPr>
              <w:t>ИТОГО</w:t>
            </w:r>
          </w:p>
        </w:tc>
        <w:tc>
          <w:tcPr>
            <w:tcW w:w="1843"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12358E" w:rsidRPr="007E2D16" w:rsidRDefault="006E6D3A" w:rsidP="0012358E">
            <w:pPr>
              <w:jc w:val="center"/>
              <w:rPr>
                <w:b/>
                <w:sz w:val="22"/>
                <w:szCs w:val="22"/>
              </w:rPr>
            </w:pPr>
            <w:r w:rsidRPr="007E2D16">
              <w:rPr>
                <w:b/>
                <w:sz w:val="22"/>
                <w:szCs w:val="22"/>
              </w:rPr>
              <w:t>115 384,6</w:t>
            </w:r>
          </w:p>
        </w:tc>
        <w:tc>
          <w:tcPr>
            <w:tcW w:w="1154" w:type="dxa"/>
            <w:tcBorders>
              <w:top w:val="single" w:sz="4" w:space="0" w:color="auto"/>
              <w:left w:val="nil"/>
              <w:bottom w:val="single" w:sz="4" w:space="0" w:color="auto"/>
              <w:right w:val="single" w:sz="4" w:space="0" w:color="auto"/>
            </w:tcBorders>
            <w:noWrap/>
            <w:tcMar>
              <w:left w:w="28" w:type="dxa"/>
              <w:right w:w="28" w:type="dxa"/>
            </w:tcMar>
            <w:vAlign w:val="center"/>
          </w:tcPr>
          <w:p w:rsidR="0012358E" w:rsidRPr="007E2D16" w:rsidRDefault="006E6D3A" w:rsidP="0012358E">
            <w:pPr>
              <w:jc w:val="center"/>
              <w:rPr>
                <w:b/>
                <w:sz w:val="22"/>
                <w:szCs w:val="22"/>
              </w:rPr>
            </w:pPr>
            <w:r w:rsidRPr="007E2D16">
              <w:rPr>
                <w:b/>
                <w:sz w:val="22"/>
                <w:szCs w:val="22"/>
              </w:rPr>
              <w:t>7</w:t>
            </w:r>
          </w:p>
        </w:tc>
      </w:tr>
      <w:tr w:rsidR="0012358E" w:rsidRPr="00B17798" w:rsidTr="00D164CE">
        <w:trPr>
          <w:trHeight w:val="424"/>
        </w:trPr>
        <w:tc>
          <w:tcPr>
            <w:tcW w:w="6407" w:type="dxa"/>
            <w:tcBorders>
              <w:top w:val="nil"/>
              <w:left w:val="single" w:sz="8" w:space="0" w:color="auto"/>
              <w:bottom w:val="single" w:sz="4" w:space="0" w:color="auto"/>
              <w:right w:val="single" w:sz="4" w:space="0" w:color="auto"/>
            </w:tcBorders>
            <w:shd w:val="clear" w:color="auto" w:fill="EEECE1" w:themeFill="background2"/>
            <w:noWrap/>
            <w:vAlign w:val="bottom"/>
          </w:tcPr>
          <w:p w:rsidR="0012358E" w:rsidRDefault="0012358E" w:rsidP="00D164CE">
            <w:pPr>
              <w:rPr>
                <w:b/>
              </w:rPr>
            </w:pPr>
            <w:r>
              <w:rPr>
                <w:b/>
              </w:rPr>
              <w:t>Всего</w:t>
            </w:r>
          </w:p>
          <w:p w:rsidR="00D164CE" w:rsidRPr="00F37A7B" w:rsidRDefault="00D164CE" w:rsidP="00D164CE">
            <w:pPr>
              <w:rPr>
                <w:b/>
              </w:rPr>
            </w:pPr>
          </w:p>
        </w:tc>
        <w:tc>
          <w:tcPr>
            <w:tcW w:w="1843" w:type="dxa"/>
            <w:tcBorders>
              <w:top w:val="nil"/>
              <w:left w:val="nil"/>
              <w:bottom w:val="single" w:sz="4" w:space="0" w:color="auto"/>
              <w:right w:val="single" w:sz="4" w:space="0" w:color="auto"/>
            </w:tcBorders>
            <w:shd w:val="clear" w:color="auto" w:fill="EEECE1" w:themeFill="background2"/>
            <w:noWrap/>
            <w:tcMar>
              <w:top w:w="0" w:type="dxa"/>
              <w:left w:w="0" w:type="dxa"/>
              <w:bottom w:w="0" w:type="dxa"/>
              <w:right w:w="0" w:type="dxa"/>
            </w:tcMar>
            <w:vAlign w:val="center"/>
          </w:tcPr>
          <w:p w:rsidR="0012358E" w:rsidRPr="007E2D16" w:rsidRDefault="00574526" w:rsidP="0012358E">
            <w:pPr>
              <w:jc w:val="center"/>
              <w:rPr>
                <w:b/>
                <w:sz w:val="22"/>
                <w:szCs w:val="22"/>
              </w:rPr>
            </w:pPr>
            <w:r w:rsidRPr="007E2D16">
              <w:rPr>
                <w:b/>
                <w:sz w:val="22"/>
                <w:szCs w:val="22"/>
              </w:rPr>
              <w:t>499 139,3</w:t>
            </w:r>
          </w:p>
        </w:tc>
        <w:tc>
          <w:tcPr>
            <w:tcW w:w="1154" w:type="dxa"/>
            <w:tcBorders>
              <w:top w:val="nil"/>
              <w:left w:val="nil"/>
              <w:bottom w:val="single" w:sz="4" w:space="0" w:color="auto"/>
              <w:right w:val="single" w:sz="4" w:space="0" w:color="auto"/>
            </w:tcBorders>
            <w:shd w:val="clear" w:color="auto" w:fill="EEECE1" w:themeFill="background2"/>
            <w:noWrap/>
            <w:tcMar>
              <w:left w:w="28" w:type="dxa"/>
              <w:right w:w="28" w:type="dxa"/>
            </w:tcMar>
            <w:vAlign w:val="center"/>
          </w:tcPr>
          <w:p w:rsidR="0012358E" w:rsidRPr="007E2D16" w:rsidRDefault="00574526" w:rsidP="0012358E">
            <w:pPr>
              <w:jc w:val="center"/>
              <w:rPr>
                <w:b/>
                <w:sz w:val="22"/>
                <w:szCs w:val="22"/>
              </w:rPr>
            </w:pPr>
            <w:r w:rsidRPr="007E2D16">
              <w:rPr>
                <w:b/>
                <w:sz w:val="22"/>
                <w:szCs w:val="22"/>
              </w:rPr>
              <w:t>119</w:t>
            </w:r>
          </w:p>
        </w:tc>
      </w:tr>
    </w:tbl>
    <w:p w:rsidR="00AD2BA3" w:rsidRDefault="00AD2BA3" w:rsidP="00FF687B">
      <w:pPr>
        <w:ind w:right="140" w:firstLine="426"/>
        <w:jc w:val="both"/>
        <w:rPr>
          <w:rFonts w:eastAsia="Calibri"/>
          <w:color w:val="000000"/>
        </w:rPr>
      </w:pPr>
    </w:p>
    <w:p w:rsidR="00002985" w:rsidRDefault="00002985" w:rsidP="00002985">
      <w:pPr>
        <w:autoSpaceDE w:val="0"/>
        <w:autoSpaceDN w:val="0"/>
        <w:adjustRightInd w:val="0"/>
        <w:ind w:firstLine="426"/>
        <w:jc w:val="both"/>
        <w:rPr>
          <w:rFonts w:eastAsia="Calibri"/>
          <w:color w:val="000000"/>
        </w:rPr>
      </w:pPr>
      <w:r w:rsidRPr="00934052">
        <w:rPr>
          <w:rFonts w:eastAsia="Calibri"/>
          <w:color w:val="000000"/>
        </w:rPr>
        <w:t xml:space="preserve">Наиболее </w:t>
      </w:r>
      <w:r w:rsidRPr="00E017FF">
        <w:rPr>
          <w:rFonts w:eastAsia="Calibri"/>
          <w:b/>
          <w:color w:val="000000"/>
        </w:rPr>
        <w:t>результативными</w:t>
      </w:r>
      <w:r w:rsidRPr="00934052">
        <w:rPr>
          <w:rFonts w:eastAsia="Calibri"/>
          <w:color w:val="000000"/>
        </w:rPr>
        <w:t xml:space="preserve"> </w:t>
      </w:r>
      <w:r w:rsidRPr="00E017FF">
        <w:rPr>
          <w:rFonts w:eastAsia="Calibri"/>
          <w:b/>
          <w:color w:val="000000"/>
        </w:rPr>
        <w:t>процедурами</w:t>
      </w:r>
      <w:r w:rsidRPr="00934052">
        <w:rPr>
          <w:rFonts w:eastAsia="Calibri"/>
          <w:color w:val="000000"/>
        </w:rPr>
        <w:t xml:space="preserve">, с точки зрения соотношения состоявшихся/несостоявшихся закупок, в отчетном периоде являются </w:t>
      </w:r>
      <w:r>
        <w:rPr>
          <w:rFonts w:eastAsia="Calibri"/>
          <w:b/>
          <w:color w:val="000000"/>
        </w:rPr>
        <w:t>электронный аукцион</w:t>
      </w:r>
      <w:r w:rsidRPr="00934052">
        <w:rPr>
          <w:rFonts w:eastAsia="Calibri"/>
          <w:color w:val="000000"/>
        </w:rPr>
        <w:t xml:space="preserve"> (</w:t>
      </w:r>
      <w:r w:rsidR="00067907">
        <w:rPr>
          <w:rFonts w:eastAsia="Calibri"/>
          <w:color w:val="000000"/>
        </w:rPr>
        <w:t>70,4</w:t>
      </w:r>
      <w:r>
        <w:rPr>
          <w:rFonts w:eastAsia="Calibri"/>
          <w:color w:val="000000"/>
        </w:rPr>
        <w:t>%/</w:t>
      </w:r>
      <w:r w:rsidR="00067907">
        <w:rPr>
          <w:rFonts w:eastAsia="Calibri"/>
          <w:color w:val="000000"/>
        </w:rPr>
        <w:t>29,6</w:t>
      </w:r>
      <w:r>
        <w:rPr>
          <w:rFonts w:eastAsia="Calibri"/>
          <w:color w:val="000000"/>
        </w:rPr>
        <w:t>%).(Диаграмма 3)</w:t>
      </w:r>
      <w:r w:rsidR="00C20917">
        <w:rPr>
          <w:rFonts w:eastAsia="Calibri"/>
          <w:color w:val="000000"/>
        </w:rPr>
        <w:t>.</w:t>
      </w:r>
    </w:p>
    <w:p w:rsidR="009550E2" w:rsidRPr="00934052" w:rsidRDefault="009550E2" w:rsidP="009550E2">
      <w:pPr>
        <w:autoSpaceDE w:val="0"/>
        <w:autoSpaceDN w:val="0"/>
        <w:adjustRightInd w:val="0"/>
        <w:spacing w:line="120" w:lineRule="auto"/>
        <w:ind w:firstLine="425"/>
        <w:jc w:val="both"/>
        <w:rPr>
          <w:rFonts w:eastAsia="Calibri"/>
          <w:color w:val="000000"/>
        </w:rPr>
      </w:pPr>
    </w:p>
    <w:p w:rsidR="00685BF6" w:rsidRPr="00934052" w:rsidRDefault="00685BF6" w:rsidP="00685BF6">
      <w:pPr>
        <w:autoSpaceDE w:val="0"/>
        <w:autoSpaceDN w:val="0"/>
        <w:adjustRightInd w:val="0"/>
        <w:ind w:firstLine="426"/>
        <w:jc w:val="both"/>
        <w:rPr>
          <w:rFonts w:eastAsia="Calibri"/>
          <w:color w:val="000000"/>
        </w:rPr>
      </w:pPr>
      <w:r w:rsidRPr="00934052">
        <w:rPr>
          <w:rFonts w:eastAsia="Calibri"/>
          <w:color w:val="000000"/>
        </w:rPr>
        <w:t>По сравнению с предыдущим периодом в 20</w:t>
      </w:r>
      <w:r>
        <w:rPr>
          <w:rFonts w:eastAsia="Calibri"/>
          <w:color w:val="000000"/>
        </w:rPr>
        <w:t>22</w:t>
      </w:r>
      <w:r w:rsidRPr="00934052">
        <w:rPr>
          <w:rFonts w:eastAsia="Calibri"/>
          <w:color w:val="000000"/>
        </w:rPr>
        <w:t xml:space="preserve"> году произошло </w:t>
      </w:r>
      <w:r>
        <w:rPr>
          <w:rFonts w:eastAsia="Calibri"/>
          <w:color w:val="000000"/>
        </w:rPr>
        <w:t>уменьшение</w:t>
      </w:r>
      <w:r w:rsidRPr="00934052">
        <w:rPr>
          <w:rFonts w:eastAsia="Calibri"/>
          <w:color w:val="000000"/>
        </w:rPr>
        <w:t xml:space="preserve"> </w:t>
      </w:r>
      <w:r w:rsidRPr="00934052">
        <w:rPr>
          <w:rFonts w:eastAsia="Calibri"/>
          <w:b/>
          <w:color w:val="000000"/>
        </w:rPr>
        <w:t>результативности закупок</w:t>
      </w:r>
      <w:r w:rsidRPr="00934052">
        <w:rPr>
          <w:rFonts w:eastAsia="Calibri"/>
          <w:color w:val="000000"/>
        </w:rPr>
        <w:t xml:space="preserve"> по </w:t>
      </w:r>
      <w:r>
        <w:rPr>
          <w:rFonts w:eastAsia="Calibri"/>
          <w:color w:val="000000"/>
        </w:rPr>
        <w:t>следующим</w:t>
      </w:r>
      <w:r w:rsidRPr="00934052">
        <w:rPr>
          <w:rFonts w:eastAsia="Calibri"/>
          <w:color w:val="000000"/>
        </w:rPr>
        <w:t xml:space="preserve"> конкурентным способам закупок: </w:t>
      </w:r>
    </w:p>
    <w:p w:rsidR="00685BF6" w:rsidRPr="00934052" w:rsidRDefault="00685BF6" w:rsidP="00685BF6">
      <w:pPr>
        <w:spacing w:line="268" w:lineRule="auto"/>
        <w:ind w:firstLine="426"/>
        <w:jc w:val="both"/>
      </w:pPr>
      <w:r w:rsidRPr="00934052">
        <w:rPr>
          <w:rFonts w:eastAsia="Calibri"/>
          <w:color w:val="000000"/>
        </w:rPr>
        <w:t xml:space="preserve">- по электронным аукционам на </w:t>
      </w:r>
      <w:r w:rsidR="00067907">
        <w:rPr>
          <w:rFonts w:eastAsia="Calibri"/>
          <w:color w:val="000000"/>
        </w:rPr>
        <w:t>14,8</w:t>
      </w:r>
      <w:r w:rsidRPr="00934052">
        <w:rPr>
          <w:rFonts w:eastAsia="Calibri"/>
          <w:color w:val="000000"/>
        </w:rPr>
        <w:t>%;</w:t>
      </w:r>
    </w:p>
    <w:p w:rsidR="00685BF6" w:rsidRPr="00A91494" w:rsidRDefault="00685BF6" w:rsidP="00685BF6">
      <w:pPr>
        <w:autoSpaceDE w:val="0"/>
        <w:autoSpaceDN w:val="0"/>
        <w:adjustRightInd w:val="0"/>
        <w:ind w:firstLine="426"/>
        <w:jc w:val="both"/>
      </w:pPr>
      <w:r>
        <w:rPr>
          <w:rFonts w:eastAsia="Calibri"/>
          <w:color w:val="000000"/>
        </w:rPr>
        <w:t xml:space="preserve">- по электронным конкурсам на </w:t>
      </w:r>
      <w:r w:rsidR="00067907">
        <w:rPr>
          <w:rFonts w:eastAsia="Calibri"/>
          <w:color w:val="000000"/>
        </w:rPr>
        <w:t>37,5</w:t>
      </w:r>
      <w:r w:rsidRPr="00A91494">
        <w:rPr>
          <w:rFonts w:eastAsia="Calibri"/>
          <w:color w:val="000000"/>
        </w:rPr>
        <w:t>%.</w:t>
      </w:r>
    </w:p>
    <w:p w:rsidR="00685BF6" w:rsidRDefault="00685BF6" w:rsidP="00685BF6">
      <w:pPr>
        <w:spacing w:line="268" w:lineRule="auto"/>
        <w:ind w:firstLine="426"/>
        <w:jc w:val="both"/>
      </w:pPr>
      <w:r>
        <w:t xml:space="preserve">Сохраняется соотношение причин признания определения поставщика (подрядчика, исполнителя) </w:t>
      </w:r>
      <w:proofErr w:type="gramStart"/>
      <w:r>
        <w:t>несостоявшимся</w:t>
      </w:r>
      <w:proofErr w:type="gramEnd"/>
      <w:r>
        <w:t>.</w:t>
      </w:r>
    </w:p>
    <w:p w:rsidR="00685BF6" w:rsidRDefault="00685BF6" w:rsidP="00685BF6">
      <w:pPr>
        <w:spacing w:line="268" w:lineRule="auto"/>
        <w:ind w:firstLine="426"/>
        <w:jc w:val="both"/>
      </w:pPr>
      <w:r>
        <w:t>Основными</w:t>
      </w:r>
      <w:r w:rsidRPr="00D94105">
        <w:t xml:space="preserve"> причин</w:t>
      </w:r>
      <w:r>
        <w:t>ами</w:t>
      </w:r>
      <w:r w:rsidRPr="00D94105">
        <w:t xml:space="preserve"> признания </w:t>
      </w:r>
      <w:r>
        <w:t xml:space="preserve">проведенных </w:t>
      </w:r>
      <w:r w:rsidRPr="00D94105">
        <w:t>закупок несостоявшимися</w:t>
      </w:r>
      <w:r>
        <w:t xml:space="preserve"> за 2022 год,</w:t>
      </w:r>
      <w:r w:rsidRPr="00D94105">
        <w:t xml:space="preserve"> </w:t>
      </w:r>
      <w:r>
        <w:t>как и в аналогичном периоде 2021 года, являются:</w:t>
      </w:r>
    </w:p>
    <w:p w:rsidR="00685BF6" w:rsidRDefault="00685BF6" w:rsidP="00685BF6">
      <w:pPr>
        <w:numPr>
          <w:ilvl w:val="0"/>
          <w:numId w:val="18"/>
        </w:numPr>
        <w:ind w:left="0" w:firstLine="425"/>
        <w:jc w:val="both"/>
      </w:pPr>
      <w:r w:rsidRPr="00E541D0">
        <w:rPr>
          <w:b/>
        </w:rPr>
        <w:t>подача на участие в закупке единственной заявки</w:t>
      </w:r>
      <w:r>
        <w:t xml:space="preserve"> и признание ее соответствующей требованиям законодательства о контрактной системе, извещению о закупке, что может свидетельствовать об отсутствии конкуренции при осуществлении закупок.</w:t>
      </w:r>
    </w:p>
    <w:p w:rsidR="00685BF6" w:rsidRDefault="00685BF6" w:rsidP="00C20917">
      <w:pPr>
        <w:ind w:firstLine="709"/>
        <w:jc w:val="center"/>
        <w:rPr>
          <w:b/>
          <w:noProof/>
        </w:rPr>
      </w:pPr>
    </w:p>
    <w:p w:rsidR="00BE539A" w:rsidRDefault="00BE539A" w:rsidP="00C20917">
      <w:pPr>
        <w:ind w:firstLine="709"/>
        <w:jc w:val="center"/>
        <w:rPr>
          <w:b/>
        </w:rPr>
      </w:pPr>
      <w:r w:rsidRPr="004311B1">
        <w:rPr>
          <w:b/>
          <w:noProof/>
        </w:rPr>
        <w:t>Диаграмма</w:t>
      </w:r>
      <w:r>
        <w:rPr>
          <w:noProof/>
        </w:rPr>
        <w:t xml:space="preserve"> </w:t>
      </w:r>
      <w:r w:rsidRPr="00BE539A">
        <w:rPr>
          <w:b/>
          <w:noProof/>
        </w:rPr>
        <w:t>3</w:t>
      </w:r>
      <w:r w:rsidRPr="004311B1">
        <w:rPr>
          <w:b/>
        </w:rPr>
        <w:t xml:space="preserve">. </w:t>
      </w:r>
      <w:r>
        <w:rPr>
          <w:b/>
        </w:rPr>
        <w:t>Соотношение состоявшихся/несостоявшихся закупок по способам определения поставщика, (подрядчика, исполнителя)</w:t>
      </w:r>
    </w:p>
    <w:p w:rsidR="00934052" w:rsidRDefault="00934052" w:rsidP="002A0D88">
      <w:pPr>
        <w:spacing w:line="268" w:lineRule="auto"/>
        <w:ind w:firstLine="426"/>
        <w:jc w:val="both"/>
      </w:pPr>
    </w:p>
    <w:p w:rsidR="00934052" w:rsidRDefault="00A96210" w:rsidP="00A91494">
      <w:pPr>
        <w:spacing w:line="268" w:lineRule="auto"/>
        <w:jc w:val="both"/>
      </w:pPr>
      <w:r>
        <w:rPr>
          <w:noProof/>
        </w:rPr>
        <w:lastRenderedPageBreak/>
        <w:drawing>
          <wp:inline distT="0" distB="0" distL="0" distR="0">
            <wp:extent cx="5960853" cy="3036498"/>
            <wp:effectExtent l="0" t="0" r="20955" b="1206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DE63A8" w:rsidRDefault="00DE63A8" w:rsidP="00DE63A8">
      <w:pPr>
        <w:autoSpaceDE w:val="0"/>
        <w:autoSpaceDN w:val="0"/>
        <w:adjustRightInd w:val="0"/>
        <w:spacing w:line="120" w:lineRule="auto"/>
        <w:ind w:firstLine="425"/>
        <w:jc w:val="both"/>
        <w:rPr>
          <w:rFonts w:eastAsia="Calibri"/>
          <w:color w:val="000000"/>
        </w:rPr>
      </w:pPr>
    </w:p>
    <w:p w:rsidR="00894507" w:rsidRDefault="00E541D0" w:rsidP="00CC710A">
      <w:pPr>
        <w:ind w:firstLine="425"/>
        <w:jc w:val="both"/>
      </w:pPr>
      <w:r>
        <w:t>Доля таких закупок в 20</w:t>
      </w:r>
      <w:r w:rsidR="004E0B3C">
        <w:t>22</w:t>
      </w:r>
      <w:r>
        <w:t xml:space="preserve"> году составляет  </w:t>
      </w:r>
      <w:r w:rsidR="004E0B3C" w:rsidRPr="004E0B3C">
        <w:rPr>
          <w:b/>
        </w:rPr>
        <w:t>81,5</w:t>
      </w:r>
      <w:r w:rsidRPr="004E0B3C">
        <w:rPr>
          <w:b/>
        </w:rPr>
        <w:t>%</w:t>
      </w:r>
      <w:r>
        <w:t xml:space="preserve">  от всех несостоявшихся закупок (в 20</w:t>
      </w:r>
      <w:r w:rsidR="00D27C27">
        <w:t>2</w:t>
      </w:r>
      <w:r w:rsidR="004E0B3C">
        <w:t>1</w:t>
      </w:r>
      <w:r w:rsidR="00894507">
        <w:t xml:space="preserve"> </w:t>
      </w:r>
      <w:r>
        <w:t xml:space="preserve"> году – </w:t>
      </w:r>
      <w:r w:rsidR="004E0B3C">
        <w:t>54,4</w:t>
      </w:r>
      <w:r>
        <w:t>%)</w:t>
      </w:r>
      <w:proofErr w:type="gramStart"/>
      <w:r>
        <w:t xml:space="preserve"> ;</w:t>
      </w:r>
      <w:proofErr w:type="gramEnd"/>
    </w:p>
    <w:p w:rsidR="00EF5E7D" w:rsidRDefault="00E541D0" w:rsidP="00456F59">
      <w:pPr>
        <w:numPr>
          <w:ilvl w:val="0"/>
          <w:numId w:val="19"/>
        </w:numPr>
        <w:ind w:left="0" w:firstLine="425"/>
        <w:jc w:val="both"/>
      </w:pPr>
      <w:r w:rsidRPr="00EF5E7D">
        <w:rPr>
          <w:b/>
        </w:rPr>
        <w:t>соответствие только одной заявки</w:t>
      </w:r>
      <w:r>
        <w:t>, поданной на участие в закупке, требованиям законодательства о контрактн</w:t>
      </w:r>
      <w:r w:rsidR="004E0B3C">
        <w:t>ой системе, извещению о закупке</w:t>
      </w:r>
      <w:r w:rsidR="00B3692E">
        <w:t>, что может</w:t>
      </w:r>
      <w:r>
        <w:t xml:space="preserve"> свидетельствовать как о низком качестве подготовки заявок участниками закупок, </w:t>
      </w:r>
      <w:r w:rsidR="00202DEE">
        <w:t xml:space="preserve"> зачастую, приводит к отклонению участников закупок.</w:t>
      </w:r>
      <w:r>
        <w:t xml:space="preserve"> </w:t>
      </w:r>
    </w:p>
    <w:p w:rsidR="00EF5E7D" w:rsidRDefault="00E541D0" w:rsidP="00EF5E7D">
      <w:pPr>
        <w:spacing w:line="268" w:lineRule="auto"/>
        <w:ind w:firstLine="426"/>
        <w:jc w:val="both"/>
      </w:pPr>
      <w:r>
        <w:t>Доля таких закупок в 20</w:t>
      </w:r>
      <w:r w:rsidR="00B3692E">
        <w:t>22</w:t>
      </w:r>
      <w:r>
        <w:t xml:space="preserve"> году составляет </w:t>
      </w:r>
      <w:r w:rsidR="00EF5E7D">
        <w:t xml:space="preserve"> </w:t>
      </w:r>
      <w:r w:rsidR="00A53244">
        <w:t>3,4%</w:t>
      </w:r>
      <w:r>
        <w:t xml:space="preserve"> </w:t>
      </w:r>
      <w:r w:rsidR="00EF5E7D">
        <w:t>от всех несостоявшихся закупок</w:t>
      </w:r>
      <w:proofErr w:type="gramStart"/>
      <w:r w:rsidR="00202DEE" w:rsidRPr="00202DEE">
        <w:t xml:space="preserve"> </w:t>
      </w:r>
      <w:r w:rsidR="003244E4">
        <w:t>,</w:t>
      </w:r>
      <w:proofErr w:type="gramEnd"/>
      <w:r w:rsidR="003244E4">
        <w:t xml:space="preserve"> что на 5,5 процентных пунктов ниже итогов 2021 года </w:t>
      </w:r>
      <w:r w:rsidR="00202DEE">
        <w:t xml:space="preserve">(в </w:t>
      </w:r>
      <w:r w:rsidR="003244E4">
        <w:t xml:space="preserve">аналогичном периоде </w:t>
      </w:r>
      <w:r w:rsidR="00202DEE">
        <w:t>20</w:t>
      </w:r>
      <w:r w:rsidR="004E0B3C">
        <w:t>21</w:t>
      </w:r>
      <w:r w:rsidR="00202DEE">
        <w:t xml:space="preserve">  год – </w:t>
      </w:r>
      <w:r w:rsidR="004E0B3C">
        <w:t>8,9</w:t>
      </w:r>
      <w:r w:rsidR="00202DEE">
        <w:t>%)</w:t>
      </w:r>
      <w:r w:rsidR="00B3692E">
        <w:t>.</w:t>
      </w:r>
    </w:p>
    <w:p w:rsidR="003244E4" w:rsidRDefault="003244E4" w:rsidP="00EF5E7D">
      <w:pPr>
        <w:spacing w:line="268" w:lineRule="auto"/>
        <w:ind w:firstLine="426"/>
        <w:jc w:val="both"/>
        <w:rPr>
          <w:i/>
        </w:rPr>
      </w:pPr>
      <w:r w:rsidRPr="003244E4">
        <w:rPr>
          <w:i/>
        </w:rPr>
        <w:t>Данный факт может быть обусловлен</w:t>
      </w:r>
      <w:r>
        <w:rPr>
          <w:i/>
        </w:rPr>
        <w:t xml:space="preserve"> вступлением  </w:t>
      </w:r>
      <w:r w:rsidR="00503A73" w:rsidRPr="003244E4">
        <w:rPr>
          <w:i/>
        </w:rPr>
        <w:t xml:space="preserve">с 01.01.2022 года </w:t>
      </w:r>
      <w:r>
        <w:rPr>
          <w:i/>
        </w:rPr>
        <w:t xml:space="preserve"> в силу основных положений </w:t>
      </w:r>
      <w:r w:rsidR="00503A73" w:rsidRPr="003244E4">
        <w:rPr>
          <w:i/>
        </w:rPr>
        <w:t xml:space="preserve"> Оптимизационного закона (</w:t>
      </w:r>
      <w:r w:rsidR="00067907">
        <w:rPr>
          <w:i/>
        </w:rPr>
        <w:t xml:space="preserve">Закон </w:t>
      </w:r>
      <w:r w:rsidR="00503A73" w:rsidRPr="003244E4">
        <w:rPr>
          <w:i/>
        </w:rPr>
        <w:t>№360 –ФЗ</w:t>
      </w:r>
      <w:r>
        <w:rPr>
          <w:i/>
        </w:rPr>
        <w:t>).</w:t>
      </w:r>
    </w:p>
    <w:p w:rsidR="00B3692E" w:rsidRPr="003244E4" w:rsidRDefault="003244E4" w:rsidP="00EF5E7D">
      <w:pPr>
        <w:spacing w:line="268" w:lineRule="auto"/>
        <w:ind w:firstLine="426"/>
        <w:jc w:val="both"/>
        <w:rPr>
          <w:i/>
        </w:rPr>
      </w:pPr>
      <w:r>
        <w:rPr>
          <w:i/>
        </w:rPr>
        <w:t>В</w:t>
      </w:r>
      <w:r w:rsidR="00503A73" w:rsidRPr="003244E4">
        <w:rPr>
          <w:i/>
        </w:rPr>
        <w:t xml:space="preserve"> частности, введены единые требования к содержанию извещения, а также к составу и содержанию заявок</w:t>
      </w:r>
      <w:r w:rsidR="008A4EBC" w:rsidRPr="003244E4">
        <w:rPr>
          <w:i/>
        </w:rPr>
        <w:t xml:space="preserve">. Это </w:t>
      </w:r>
      <w:r w:rsidR="00503A73" w:rsidRPr="003244E4">
        <w:rPr>
          <w:i/>
        </w:rPr>
        <w:t xml:space="preserve"> существенно упрости</w:t>
      </w:r>
      <w:r w:rsidR="008A4EBC" w:rsidRPr="003244E4">
        <w:rPr>
          <w:i/>
        </w:rPr>
        <w:t xml:space="preserve">ло </w:t>
      </w:r>
      <w:r w:rsidR="00503A73" w:rsidRPr="003244E4">
        <w:rPr>
          <w:i/>
        </w:rPr>
        <w:t xml:space="preserve"> потенциальным участникам закупок подготовку заявок на участие  в закупке, а также упростило заказчикам</w:t>
      </w:r>
      <w:r w:rsidR="008A4EBC" w:rsidRPr="003244E4">
        <w:rPr>
          <w:i/>
        </w:rPr>
        <w:t xml:space="preserve"> рассмотрение и оценку поступивших заявок</w:t>
      </w:r>
      <w:r w:rsidR="00503A73" w:rsidRPr="003244E4">
        <w:rPr>
          <w:i/>
        </w:rPr>
        <w:t>.</w:t>
      </w:r>
      <w:r w:rsidR="008A4EBC" w:rsidRPr="003244E4">
        <w:rPr>
          <w:i/>
        </w:rPr>
        <w:t xml:space="preserve"> Кроме того, </w:t>
      </w:r>
      <w:proofErr w:type="gramStart"/>
      <w:r w:rsidR="008A4EBC" w:rsidRPr="003244E4">
        <w:rPr>
          <w:i/>
        </w:rPr>
        <w:t>введена</w:t>
      </w:r>
      <w:proofErr w:type="gramEnd"/>
      <w:r w:rsidR="008A4EBC" w:rsidRPr="003244E4">
        <w:rPr>
          <w:i/>
        </w:rPr>
        <w:t xml:space="preserve"> универсальная  «</w:t>
      </w:r>
      <w:proofErr w:type="spellStart"/>
      <w:r w:rsidR="008A4EBC" w:rsidRPr="003244E4">
        <w:rPr>
          <w:i/>
        </w:rPr>
        <w:t>предквалификация</w:t>
      </w:r>
      <w:proofErr w:type="spellEnd"/>
      <w:r w:rsidR="008A4EBC" w:rsidRPr="003244E4">
        <w:rPr>
          <w:i/>
        </w:rPr>
        <w:t>», когда в закупке с НМЦК свыше 20 млн. руб. сможет участвовать хозяйствующий субъект</w:t>
      </w:r>
      <w:r w:rsidR="00A53244" w:rsidRPr="003244E4">
        <w:rPr>
          <w:i/>
        </w:rPr>
        <w:t xml:space="preserve">, уже имеющий опыт исполнения контракта, заключенного в рамках </w:t>
      </w:r>
      <w:r w:rsidR="00067907">
        <w:rPr>
          <w:i/>
        </w:rPr>
        <w:t>З</w:t>
      </w:r>
      <w:r w:rsidR="00A53244" w:rsidRPr="003244E4">
        <w:rPr>
          <w:i/>
        </w:rPr>
        <w:t xml:space="preserve">акона №44-ФЗ на сумму не менее 20% от НМЦК. В результате введения данных новаций </w:t>
      </w:r>
      <w:r>
        <w:rPr>
          <w:i/>
        </w:rPr>
        <w:t xml:space="preserve"> </w:t>
      </w:r>
      <w:r w:rsidR="001872D1">
        <w:rPr>
          <w:i/>
        </w:rPr>
        <w:t xml:space="preserve">предположительно и </w:t>
      </w:r>
      <w:r>
        <w:rPr>
          <w:i/>
        </w:rPr>
        <w:t xml:space="preserve">сократилось </w:t>
      </w:r>
      <w:r w:rsidR="00A53244" w:rsidRPr="003244E4">
        <w:rPr>
          <w:i/>
        </w:rPr>
        <w:t xml:space="preserve"> количеств</w:t>
      </w:r>
      <w:r>
        <w:rPr>
          <w:i/>
        </w:rPr>
        <w:t>о</w:t>
      </w:r>
      <w:r w:rsidR="00A53244" w:rsidRPr="003244E4">
        <w:rPr>
          <w:i/>
        </w:rPr>
        <w:t xml:space="preserve"> отклоненных заявок</w:t>
      </w:r>
      <w:r>
        <w:rPr>
          <w:i/>
        </w:rPr>
        <w:t>.</w:t>
      </w:r>
    </w:p>
    <w:p w:rsidR="00202DEE" w:rsidRDefault="00202DEE" w:rsidP="00456F59">
      <w:pPr>
        <w:pStyle w:val="ab"/>
        <w:numPr>
          <w:ilvl w:val="0"/>
          <w:numId w:val="24"/>
        </w:numPr>
        <w:spacing w:line="268" w:lineRule="auto"/>
        <w:ind w:left="0" w:firstLine="426"/>
        <w:rPr>
          <w:rFonts w:ascii="Times New Roman" w:hAnsi="Times New Roman" w:cs="Times New Roman"/>
        </w:rPr>
      </w:pPr>
      <w:r>
        <w:rPr>
          <w:rFonts w:ascii="Times New Roman" w:hAnsi="Times New Roman" w:cs="Times New Roman"/>
          <w:b/>
        </w:rPr>
        <w:t>о</w:t>
      </w:r>
      <w:r w:rsidRPr="00202DEE">
        <w:rPr>
          <w:rFonts w:ascii="Times New Roman" w:hAnsi="Times New Roman" w:cs="Times New Roman"/>
          <w:b/>
        </w:rPr>
        <w:t>тсутствие заявок</w:t>
      </w:r>
      <w:r w:rsidRPr="00202DEE">
        <w:rPr>
          <w:rFonts w:ascii="Times New Roman" w:hAnsi="Times New Roman" w:cs="Times New Roman"/>
        </w:rPr>
        <w:t xml:space="preserve"> на участие в закупке, что может свидетельствовать об отсутствии конкуренции при осуществлении закупок. Доля таких закупок в 20</w:t>
      </w:r>
      <w:r w:rsidR="003A62B3">
        <w:rPr>
          <w:rFonts w:ascii="Times New Roman" w:hAnsi="Times New Roman" w:cs="Times New Roman"/>
        </w:rPr>
        <w:t>22</w:t>
      </w:r>
      <w:r w:rsidRPr="00202DEE">
        <w:rPr>
          <w:rFonts w:ascii="Times New Roman" w:hAnsi="Times New Roman" w:cs="Times New Roman"/>
        </w:rPr>
        <w:t xml:space="preserve"> году составляет  </w:t>
      </w:r>
      <w:r w:rsidR="00112A3A">
        <w:rPr>
          <w:rFonts w:ascii="Times New Roman" w:hAnsi="Times New Roman" w:cs="Times New Roman"/>
          <w:b/>
        </w:rPr>
        <w:t>11,8</w:t>
      </w:r>
      <w:r w:rsidRPr="00202DEE">
        <w:rPr>
          <w:rFonts w:ascii="Times New Roman" w:hAnsi="Times New Roman" w:cs="Times New Roman"/>
          <w:b/>
        </w:rPr>
        <w:t>%</w:t>
      </w:r>
      <w:r w:rsidRPr="00202DEE">
        <w:rPr>
          <w:rFonts w:ascii="Times New Roman" w:hAnsi="Times New Roman" w:cs="Times New Roman"/>
        </w:rPr>
        <w:t xml:space="preserve"> от всех несостоявшихся закупок</w:t>
      </w:r>
      <w:r w:rsidR="00112A3A">
        <w:rPr>
          <w:rFonts w:ascii="Times New Roman" w:hAnsi="Times New Roman" w:cs="Times New Roman"/>
        </w:rPr>
        <w:t>, что на 21,1 процентных пунктов ниже показателя за аналогичный период 2021 года, составивший 32,9</w:t>
      </w:r>
      <w:r w:rsidRPr="00202DEE">
        <w:rPr>
          <w:rFonts w:ascii="Times New Roman" w:hAnsi="Times New Roman" w:cs="Times New Roman"/>
        </w:rPr>
        <w:t>%</w:t>
      </w:r>
      <w:r w:rsidR="0057003A">
        <w:rPr>
          <w:rFonts w:ascii="Times New Roman" w:hAnsi="Times New Roman" w:cs="Times New Roman"/>
        </w:rPr>
        <w:t>.</w:t>
      </w:r>
    </w:p>
    <w:p w:rsidR="00291C48" w:rsidRDefault="00112A3A" w:rsidP="00F11141">
      <w:pPr>
        <w:spacing w:line="268" w:lineRule="auto"/>
        <w:ind w:firstLine="426"/>
        <w:jc w:val="both"/>
        <w:rPr>
          <w:rFonts w:eastAsia="Calibri"/>
          <w:i/>
          <w:color w:val="000000"/>
        </w:rPr>
      </w:pPr>
      <w:r>
        <w:rPr>
          <w:rFonts w:eastAsia="Calibri"/>
          <w:i/>
          <w:color w:val="000000"/>
        </w:rPr>
        <w:t>В результате применения антикризисных мер, разработанных Правительством РФ и Правительств</w:t>
      </w:r>
      <w:r w:rsidR="0081699D">
        <w:rPr>
          <w:rFonts w:eastAsia="Calibri"/>
          <w:i/>
          <w:color w:val="000000"/>
        </w:rPr>
        <w:t>ом</w:t>
      </w:r>
      <w:r w:rsidR="00D47708">
        <w:rPr>
          <w:rFonts w:eastAsia="Calibri"/>
          <w:i/>
          <w:color w:val="000000"/>
        </w:rPr>
        <w:t xml:space="preserve"> Ленинградской области начиная с апреля 2022 года</w:t>
      </w:r>
      <w:r w:rsidR="00067907">
        <w:rPr>
          <w:rFonts w:eastAsia="Calibri"/>
          <w:i/>
          <w:color w:val="000000"/>
        </w:rPr>
        <w:t>,</w:t>
      </w:r>
      <w:r w:rsidR="00D47708">
        <w:rPr>
          <w:rFonts w:eastAsia="Calibri"/>
          <w:i/>
          <w:color w:val="000000"/>
        </w:rPr>
        <w:t xml:space="preserve"> отмечена тенденция по снижению доли несостоявшихс</w:t>
      </w:r>
      <w:r w:rsidR="00B0312B">
        <w:rPr>
          <w:rFonts w:eastAsia="Calibri"/>
          <w:i/>
          <w:color w:val="000000"/>
        </w:rPr>
        <w:t>я закупок по причине отсутствия участников.</w:t>
      </w:r>
    </w:p>
    <w:p w:rsidR="00C1720B" w:rsidRPr="00EF5E7D" w:rsidRDefault="00EF5E7D" w:rsidP="0057003A">
      <w:pPr>
        <w:autoSpaceDE w:val="0"/>
        <w:autoSpaceDN w:val="0"/>
        <w:adjustRightInd w:val="0"/>
        <w:spacing w:after="120" w:line="300" w:lineRule="exact"/>
        <w:ind w:right="-2" w:firstLine="426"/>
        <w:jc w:val="both"/>
        <w:rPr>
          <w:rFonts w:eastAsia="Calibri"/>
          <w:color w:val="000000"/>
        </w:rPr>
      </w:pPr>
      <w:r>
        <w:rPr>
          <w:rFonts w:eastAsia="Calibri"/>
          <w:color w:val="000000"/>
        </w:rPr>
        <w:t>П</w:t>
      </w:r>
      <w:r w:rsidR="00096B34" w:rsidRPr="003A4799">
        <w:rPr>
          <w:rFonts w:eastAsia="Calibri"/>
          <w:color w:val="000000"/>
        </w:rPr>
        <w:t>оскольку</w:t>
      </w:r>
      <w:r w:rsidR="009871CA">
        <w:rPr>
          <w:rFonts w:eastAsia="Calibri"/>
          <w:color w:val="000000"/>
        </w:rPr>
        <w:t>,</w:t>
      </w:r>
      <w:r w:rsidR="00096B34" w:rsidRPr="003A4799">
        <w:rPr>
          <w:rFonts w:eastAsia="Calibri"/>
          <w:color w:val="000000"/>
        </w:rPr>
        <w:t xml:space="preserve"> </w:t>
      </w:r>
      <w:r>
        <w:rPr>
          <w:rFonts w:eastAsia="Calibri"/>
          <w:color w:val="000000"/>
        </w:rPr>
        <w:t>как уже отмечалось выше,</w:t>
      </w:r>
      <w:r w:rsidR="00E9335F">
        <w:rPr>
          <w:rFonts w:eastAsia="Calibri"/>
          <w:color w:val="000000"/>
        </w:rPr>
        <w:t xml:space="preserve"> </w:t>
      </w:r>
      <w:r w:rsidR="00F37B0E">
        <w:rPr>
          <w:rFonts w:eastAsia="Calibri"/>
          <w:color w:val="000000"/>
        </w:rPr>
        <w:t xml:space="preserve"> </w:t>
      </w:r>
      <w:r w:rsidR="0083434C">
        <w:rPr>
          <w:rFonts w:eastAsia="Calibri"/>
          <w:b/>
          <w:color w:val="000000"/>
        </w:rPr>
        <w:t>95,2</w:t>
      </w:r>
      <w:r w:rsidR="00096B34" w:rsidRPr="00F37B0E">
        <w:rPr>
          <w:rFonts w:eastAsia="Calibri"/>
          <w:b/>
          <w:color w:val="000000"/>
        </w:rPr>
        <w:t>%</w:t>
      </w:r>
      <w:r w:rsidR="00096B34" w:rsidRPr="003A4799">
        <w:rPr>
          <w:rFonts w:eastAsia="Calibri"/>
          <w:color w:val="000000"/>
        </w:rPr>
        <w:t xml:space="preserve"> закупок осуществлялись заказчиками путем проведения </w:t>
      </w:r>
      <w:r w:rsidR="00096B34" w:rsidRPr="000A3127">
        <w:rPr>
          <w:rFonts w:eastAsia="Calibri"/>
          <w:b/>
          <w:color w:val="000000"/>
        </w:rPr>
        <w:t>электронного аукциона</w:t>
      </w:r>
      <w:r w:rsidR="00096B34" w:rsidRPr="003A4799">
        <w:rPr>
          <w:rFonts w:eastAsia="Calibri"/>
          <w:color w:val="000000"/>
        </w:rPr>
        <w:t xml:space="preserve">, в связи с этим </w:t>
      </w:r>
      <w:r w:rsidR="00C1720B">
        <w:rPr>
          <w:rFonts w:eastAsia="Calibri"/>
          <w:color w:val="000000"/>
        </w:rPr>
        <w:t xml:space="preserve">существенную долю в общее </w:t>
      </w:r>
      <w:r w:rsidR="00C1720B">
        <w:rPr>
          <w:rFonts w:eastAsia="Calibri"/>
          <w:color w:val="000000"/>
        </w:rPr>
        <w:lastRenderedPageBreak/>
        <w:t xml:space="preserve">количество несостоявшихся закупок </w:t>
      </w:r>
      <w:r w:rsidR="000A3127">
        <w:rPr>
          <w:rFonts w:eastAsia="Calibri"/>
          <w:color w:val="000000"/>
        </w:rPr>
        <w:t xml:space="preserve"> </w:t>
      </w:r>
      <w:r w:rsidR="00C1720B">
        <w:rPr>
          <w:rFonts w:eastAsia="Calibri"/>
          <w:color w:val="000000"/>
        </w:rPr>
        <w:t xml:space="preserve">внесли аукционы </w:t>
      </w:r>
      <w:r w:rsidR="000A3127">
        <w:rPr>
          <w:rFonts w:eastAsia="Calibri"/>
          <w:color w:val="000000"/>
        </w:rPr>
        <w:t>–</w:t>
      </w:r>
      <w:r w:rsidR="00C1720B">
        <w:rPr>
          <w:rFonts w:eastAsia="Calibri"/>
          <w:color w:val="000000"/>
        </w:rPr>
        <w:t xml:space="preserve"> </w:t>
      </w:r>
      <w:r w:rsidR="0083434C" w:rsidRPr="0083434C">
        <w:rPr>
          <w:rFonts w:eastAsia="Calibri"/>
          <w:b/>
          <w:color w:val="000000"/>
        </w:rPr>
        <w:t>70,4</w:t>
      </w:r>
      <w:r w:rsidR="000A3127" w:rsidRPr="0083434C">
        <w:rPr>
          <w:rFonts w:eastAsia="Calibri"/>
          <w:b/>
          <w:color w:val="000000"/>
        </w:rPr>
        <w:t>%</w:t>
      </w:r>
      <w:r w:rsidR="000A3127">
        <w:rPr>
          <w:rFonts w:eastAsia="Calibri"/>
          <w:b/>
          <w:color w:val="000000"/>
        </w:rPr>
        <w:t xml:space="preserve"> </w:t>
      </w:r>
      <w:r w:rsidR="000A3127">
        <w:rPr>
          <w:rFonts w:eastAsia="Calibri"/>
          <w:color w:val="000000"/>
        </w:rPr>
        <w:t xml:space="preserve"> которых признаны несостоявшимися. При этом их доля от общего числа </w:t>
      </w:r>
      <w:r w:rsidR="00E541D0">
        <w:rPr>
          <w:rFonts w:eastAsia="Calibri"/>
          <w:color w:val="000000"/>
        </w:rPr>
        <w:t xml:space="preserve">и </w:t>
      </w:r>
      <w:r>
        <w:rPr>
          <w:rFonts w:eastAsia="Calibri"/>
          <w:color w:val="000000"/>
        </w:rPr>
        <w:t xml:space="preserve">общей </w:t>
      </w:r>
      <w:proofErr w:type="gramStart"/>
      <w:r>
        <w:rPr>
          <w:rFonts w:eastAsia="Calibri"/>
          <w:color w:val="000000"/>
        </w:rPr>
        <w:t>суммы</w:t>
      </w:r>
      <w:proofErr w:type="gramEnd"/>
      <w:r>
        <w:rPr>
          <w:rFonts w:eastAsia="Calibri"/>
          <w:color w:val="000000"/>
        </w:rPr>
        <w:t xml:space="preserve"> </w:t>
      </w:r>
      <w:r w:rsidR="000A3127">
        <w:rPr>
          <w:rFonts w:eastAsia="Calibri"/>
          <w:color w:val="000000"/>
        </w:rPr>
        <w:t xml:space="preserve">несостоявшихся в отчетном периоде закупок составляет  около  </w:t>
      </w:r>
      <w:r w:rsidR="0083434C">
        <w:rPr>
          <w:rFonts w:eastAsia="Calibri"/>
          <w:b/>
          <w:color w:val="000000"/>
        </w:rPr>
        <w:t>94,1</w:t>
      </w:r>
      <w:r w:rsidR="000A3127" w:rsidRPr="0057003A">
        <w:rPr>
          <w:rFonts w:eastAsia="Calibri"/>
          <w:b/>
          <w:color w:val="000000"/>
        </w:rPr>
        <w:t>%</w:t>
      </w:r>
      <w:r>
        <w:rPr>
          <w:rFonts w:eastAsia="Calibri"/>
          <w:b/>
          <w:color w:val="000000"/>
        </w:rPr>
        <w:t xml:space="preserve"> </w:t>
      </w:r>
      <w:r w:rsidRPr="00EF5E7D">
        <w:rPr>
          <w:rFonts w:eastAsia="Calibri"/>
          <w:color w:val="000000"/>
        </w:rPr>
        <w:t>и</w:t>
      </w:r>
      <w:r>
        <w:rPr>
          <w:rFonts w:eastAsia="Calibri"/>
          <w:b/>
          <w:color w:val="000000"/>
        </w:rPr>
        <w:t xml:space="preserve"> </w:t>
      </w:r>
      <w:r w:rsidR="0057003A">
        <w:rPr>
          <w:rFonts w:eastAsia="Calibri"/>
          <w:b/>
          <w:color w:val="000000"/>
        </w:rPr>
        <w:t>7</w:t>
      </w:r>
      <w:r w:rsidR="0083434C">
        <w:rPr>
          <w:rFonts w:eastAsia="Calibri"/>
          <w:b/>
          <w:color w:val="000000"/>
        </w:rPr>
        <w:t>6,9</w:t>
      </w:r>
      <w:r>
        <w:rPr>
          <w:rFonts w:eastAsia="Calibri"/>
          <w:b/>
          <w:color w:val="000000"/>
        </w:rPr>
        <w:t xml:space="preserve">% </w:t>
      </w:r>
      <w:r w:rsidRPr="00EF5E7D">
        <w:rPr>
          <w:rFonts w:eastAsia="Calibri"/>
          <w:color w:val="000000"/>
        </w:rPr>
        <w:t>соответственно</w:t>
      </w:r>
      <w:r w:rsidR="000A3127" w:rsidRPr="00EF5E7D">
        <w:rPr>
          <w:rFonts w:eastAsia="Calibri"/>
          <w:color w:val="000000"/>
        </w:rPr>
        <w:t>.</w:t>
      </w:r>
    </w:p>
    <w:p w:rsidR="00672765" w:rsidRDefault="00C105B9" w:rsidP="00692F5C">
      <w:pPr>
        <w:spacing w:line="260" w:lineRule="auto"/>
        <w:ind w:right="-2" w:firstLine="426"/>
        <w:jc w:val="both"/>
        <w:rPr>
          <w:noProof/>
        </w:rPr>
      </w:pPr>
      <w:r w:rsidRPr="00F10054">
        <w:rPr>
          <w:bCs/>
        </w:rPr>
        <w:t xml:space="preserve">По итогам </w:t>
      </w:r>
      <w:r w:rsidR="00692F5C">
        <w:rPr>
          <w:bCs/>
        </w:rPr>
        <w:t xml:space="preserve"> </w:t>
      </w:r>
      <w:r w:rsidRPr="00F10054">
        <w:rPr>
          <w:bCs/>
        </w:rPr>
        <w:t>20</w:t>
      </w:r>
      <w:r w:rsidR="00692F5C">
        <w:rPr>
          <w:bCs/>
        </w:rPr>
        <w:t>22</w:t>
      </w:r>
      <w:r w:rsidRPr="00F10054">
        <w:rPr>
          <w:bCs/>
        </w:rPr>
        <w:t xml:space="preserve"> года </w:t>
      </w:r>
      <w:r w:rsidR="00182B5D">
        <w:rPr>
          <w:bCs/>
        </w:rPr>
        <w:t xml:space="preserve"> </w:t>
      </w:r>
      <w:r w:rsidR="00E65E87" w:rsidRPr="00E65E87">
        <w:rPr>
          <w:b/>
          <w:bCs/>
        </w:rPr>
        <w:t>3</w:t>
      </w:r>
      <w:r w:rsidRPr="00D94105">
        <w:t xml:space="preserve"> </w:t>
      </w:r>
      <w:r w:rsidRPr="00DF1F9E">
        <w:rPr>
          <w:b/>
        </w:rPr>
        <w:t>закуп</w:t>
      </w:r>
      <w:r w:rsidR="00E65E87" w:rsidRPr="00DF1F9E">
        <w:rPr>
          <w:b/>
        </w:rPr>
        <w:t>ки</w:t>
      </w:r>
      <w:r w:rsidR="00182B5D">
        <w:t xml:space="preserve"> (</w:t>
      </w:r>
      <w:r w:rsidR="00692F5C">
        <w:t>2,5</w:t>
      </w:r>
      <w:r w:rsidR="00182B5D">
        <w:t xml:space="preserve">% от общего количества несостоявшихся закупок) </w:t>
      </w:r>
      <w:r w:rsidRPr="00D94105">
        <w:t xml:space="preserve">на общую сумму </w:t>
      </w:r>
      <w:r w:rsidR="00182B5D">
        <w:t xml:space="preserve"> </w:t>
      </w:r>
      <w:r w:rsidR="00692F5C">
        <w:rPr>
          <w:b/>
        </w:rPr>
        <w:t>12 300,6</w:t>
      </w:r>
      <w:r w:rsidRPr="00182B5D">
        <w:rPr>
          <w:b/>
        </w:rPr>
        <w:t xml:space="preserve"> тыс. руб</w:t>
      </w:r>
      <w:r>
        <w:t>.</w:t>
      </w:r>
      <w:r w:rsidRPr="00D94105">
        <w:t xml:space="preserve"> были отменены</w:t>
      </w:r>
      <w:r w:rsidR="00692F5C">
        <w:t xml:space="preserve">  </w:t>
      </w:r>
      <w:r w:rsidRPr="00692F5C">
        <w:rPr>
          <w:b/>
        </w:rPr>
        <w:t>по решению заказчика</w:t>
      </w:r>
      <w:r w:rsidR="007B0CA4">
        <w:rPr>
          <w:b/>
        </w:rPr>
        <w:t xml:space="preserve">  </w:t>
      </w:r>
      <w:r w:rsidR="007B0CA4" w:rsidRPr="007B0CA4">
        <w:t>(организации, осуществляющей определение поставщика (подрядчика, исполнителя) для заказчика)</w:t>
      </w:r>
      <w:r w:rsidR="00692F5C">
        <w:t>.</w:t>
      </w:r>
      <w:r w:rsidRPr="00D94105">
        <w:rPr>
          <w:noProof/>
        </w:rPr>
        <w:t xml:space="preserve"> </w:t>
      </w:r>
    </w:p>
    <w:p w:rsidR="00692F5C" w:rsidRDefault="007B0CA4" w:rsidP="00CC710A">
      <w:pPr>
        <w:autoSpaceDE w:val="0"/>
        <w:autoSpaceDN w:val="0"/>
        <w:adjustRightInd w:val="0"/>
        <w:ind w:right="-2" w:firstLine="426"/>
        <w:jc w:val="both"/>
        <w:rPr>
          <w:rFonts w:eastAsia="Calibri"/>
          <w:color w:val="000000"/>
        </w:rPr>
      </w:pPr>
      <w:r>
        <w:rPr>
          <w:rFonts w:eastAsia="Calibri"/>
          <w:color w:val="000000"/>
        </w:rPr>
        <w:t>Отмечается увеличение стоимостного объема отмененных определений поставщика (подрядчика, исполнителя) по сравнению с базисным периодом на 53,8% при одновременном сохранении количественного объема на уровне 2021 года. В аналоги</w:t>
      </w:r>
      <w:r w:rsidR="00D86E73">
        <w:rPr>
          <w:rFonts w:eastAsia="Calibri"/>
          <w:color w:val="000000"/>
        </w:rPr>
        <w:t>чном периоде прошлого года были отменены 3 закупки на сумму 7 997,4 тыс. руб.</w:t>
      </w:r>
    </w:p>
    <w:p w:rsidR="00182B5D" w:rsidRPr="00B42264" w:rsidRDefault="00182B5D" w:rsidP="00CC710A">
      <w:pPr>
        <w:autoSpaceDE w:val="0"/>
        <w:autoSpaceDN w:val="0"/>
        <w:adjustRightInd w:val="0"/>
        <w:ind w:right="-2" w:firstLine="426"/>
        <w:jc w:val="both"/>
        <w:rPr>
          <w:rFonts w:eastAsia="Calibri"/>
          <w:color w:val="000000"/>
        </w:rPr>
      </w:pPr>
      <w:r w:rsidRPr="00B42264">
        <w:rPr>
          <w:rFonts w:eastAsia="Calibri"/>
          <w:color w:val="000000"/>
        </w:rPr>
        <w:t xml:space="preserve">В соответствии с действующими положениями Закона № 44-ФЗ в результате признания процедуры определения поставщика (подрядчика, исполнителя) несостоявшейся, заказчик вправе: </w:t>
      </w:r>
    </w:p>
    <w:p w:rsidR="00182B5D" w:rsidRPr="00124AC5" w:rsidRDefault="00182B5D" w:rsidP="00362ABA">
      <w:pPr>
        <w:tabs>
          <w:tab w:val="left" w:pos="709"/>
        </w:tabs>
        <w:autoSpaceDE w:val="0"/>
        <w:autoSpaceDN w:val="0"/>
        <w:adjustRightInd w:val="0"/>
        <w:ind w:right="-2" w:firstLine="426"/>
        <w:jc w:val="both"/>
        <w:rPr>
          <w:rFonts w:eastAsia="Calibri"/>
        </w:rPr>
      </w:pPr>
      <w:r w:rsidRPr="00B42264">
        <w:rPr>
          <w:rFonts w:eastAsia="Calibri"/>
          <w:b/>
          <w:color w:val="000000"/>
        </w:rPr>
        <w:t>1</w:t>
      </w:r>
      <w:r w:rsidRPr="00B42264">
        <w:rPr>
          <w:rFonts w:eastAsia="Calibri"/>
          <w:color w:val="000000"/>
        </w:rPr>
        <w:t>. В случае</w:t>
      </w:r>
      <w:proofErr w:type="gramStart"/>
      <w:r w:rsidRPr="00B42264">
        <w:rPr>
          <w:rFonts w:eastAsia="Calibri"/>
          <w:color w:val="000000"/>
        </w:rPr>
        <w:t>,</w:t>
      </w:r>
      <w:proofErr w:type="gramEnd"/>
      <w:r w:rsidRPr="00B42264">
        <w:rPr>
          <w:rFonts w:eastAsia="Calibri"/>
          <w:color w:val="000000"/>
        </w:rPr>
        <w:t xml:space="preserve"> если на участие в закупке подана только 1 заявка, и заявка такого единственного участника соответствует требованиям документации о закупке или только 1 </w:t>
      </w:r>
      <w:r w:rsidRPr="00124AC5">
        <w:rPr>
          <w:rFonts w:eastAsia="Calibri"/>
        </w:rPr>
        <w:t xml:space="preserve">заявка признана соответствующей требованиям документации о закупке, заказчик заключает контракт с единственным поставщиком (подрядчиком, исполнителем) на основании </w:t>
      </w:r>
      <w:r w:rsidRPr="00124AC5">
        <w:rPr>
          <w:rStyle w:val="af"/>
          <w:rFonts w:cs="Times New Roman CYR"/>
          <w:b/>
          <w:color w:val="auto"/>
        </w:rPr>
        <w:t>пунктов 25</w:t>
      </w:r>
      <w:r w:rsidR="00B933DB">
        <w:rPr>
          <w:rStyle w:val="af"/>
          <w:rFonts w:cs="Times New Roman CYR"/>
          <w:b/>
          <w:color w:val="auto"/>
        </w:rPr>
        <w:t xml:space="preserve"> части</w:t>
      </w:r>
      <w:r w:rsidRPr="00124AC5">
        <w:rPr>
          <w:rStyle w:val="af"/>
          <w:rFonts w:cs="Times New Roman CYR"/>
          <w:b/>
          <w:color w:val="auto"/>
        </w:rPr>
        <w:t xml:space="preserve"> 1 статьи 93 </w:t>
      </w:r>
      <w:r w:rsidRPr="00124AC5">
        <w:rPr>
          <w:rFonts w:eastAsia="Calibri"/>
        </w:rPr>
        <w:t xml:space="preserve">Закона № 44-ФЗ; </w:t>
      </w:r>
    </w:p>
    <w:p w:rsidR="00182B5D" w:rsidRPr="00020268" w:rsidRDefault="00D86E73" w:rsidP="00020268">
      <w:pPr>
        <w:autoSpaceDE w:val="0"/>
        <w:autoSpaceDN w:val="0"/>
        <w:adjustRightInd w:val="0"/>
        <w:jc w:val="both"/>
        <w:rPr>
          <w:rFonts w:eastAsia="Calibri"/>
          <w:b/>
        </w:rPr>
      </w:pPr>
      <w:r>
        <w:rPr>
          <w:rFonts w:eastAsia="Calibri"/>
          <w:b/>
        </w:rPr>
        <w:t xml:space="preserve">       </w:t>
      </w:r>
      <w:r w:rsidR="00182B5D" w:rsidRPr="00124AC5">
        <w:rPr>
          <w:rFonts w:eastAsia="Calibri"/>
          <w:b/>
        </w:rPr>
        <w:t>2</w:t>
      </w:r>
      <w:r w:rsidR="00182B5D" w:rsidRPr="00124AC5">
        <w:rPr>
          <w:rFonts w:eastAsia="Calibri"/>
        </w:rPr>
        <w:t>.  В случае если на участие в закупке не подано ни одной заявки</w:t>
      </w:r>
      <w:proofErr w:type="gramStart"/>
      <w:r>
        <w:rPr>
          <w:rFonts w:eastAsia="Calibri"/>
        </w:rPr>
        <w:t xml:space="preserve"> </w:t>
      </w:r>
      <w:r w:rsidR="00182B5D" w:rsidRPr="00124AC5">
        <w:rPr>
          <w:rFonts w:eastAsia="Calibri"/>
        </w:rPr>
        <w:t>,</w:t>
      </w:r>
      <w:proofErr w:type="gramEnd"/>
      <w:r w:rsidR="00182B5D" w:rsidRPr="00124AC5">
        <w:rPr>
          <w:rFonts w:eastAsia="Calibri"/>
        </w:rPr>
        <w:t xml:space="preserve"> или по результатам рассмотрения заявок комиссией по осуществлению закупок принято решение об отказе в допуске к участию в нем всех его участников, подавших заявки на участие в такой закупке, </w:t>
      </w:r>
      <w:r>
        <w:rPr>
          <w:rFonts w:eastAsia="Calibri"/>
        </w:rPr>
        <w:t>или все участники закупки, не отозвавшие в соответствии с Законом №44-ФЗ заявку на участие в закупке, признаны уклонившимися от заключения контракта;</w:t>
      </w:r>
      <w:r w:rsidR="00020268">
        <w:rPr>
          <w:rFonts w:eastAsia="Calibri"/>
        </w:rPr>
        <w:t xml:space="preserve"> или заказчик в соответствии с </w:t>
      </w:r>
      <w:hyperlink r:id="rId55" w:history="1">
        <w:r w:rsidR="00020268" w:rsidRPr="00020268">
          <w:rPr>
            <w:rFonts w:eastAsia="Calibri"/>
          </w:rPr>
          <w:t>частями 9</w:t>
        </w:r>
      </w:hyperlink>
      <w:r w:rsidR="00020268" w:rsidRPr="00020268">
        <w:rPr>
          <w:rFonts w:eastAsia="Calibri"/>
        </w:rPr>
        <w:t xml:space="preserve"> и </w:t>
      </w:r>
      <w:hyperlink r:id="rId56" w:history="1">
        <w:r w:rsidR="00020268" w:rsidRPr="00020268">
          <w:rPr>
            <w:rFonts w:eastAsia="Calibri"/>
          </w:rPr>
          <w:t>10 статьи 31</w:t>
        </w:r>
      </w:hyperlink>
      <w:r w:rsidR="00020268">
        <w:rPr>
          <w:rFonts w:eastAsia="Calibri"/>
        </w:rPr>
        <w:t xml:space="preserve"> Закона №44-ФЗ отказался от заключения контракта с участником закупки</w:t>
      </w:r>
      <w:proofErr w:type="gramStart"/>
      <w:r w:rsidR="00020268">
        <w:rPr>
          <w:rFonts w:eastAsia="Calibri"/>
        </w:rPr>
        <w:t xml:space="preserve"> ,</w:t>
      </w:r>
      <w:proofErr w:type="gramEnd"/>
      <w:r w:rsidR="00020268">
        <w:rPr>
          <w:rFonts w:eastAsia="Calibri"/>
        </w:rPr>
        <w:t xml:space="preserve"> подавшим заявку на участие в закупке, которая является единственной, либо с участником закупки, подавшим заявку на участие в закупке, признанную единственной соответствующей требованиям, установленным в извещении об осуществлении закупки,  </w:t>
      </w:r>
      <w:r>
        <w:rPr>
          <w:rFonts w:eastAsia="Calibri"/>
        </w:rPr>
        <w:t xml:space="preserve">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w:t>
      </w:r>
      <w:r w:rsidRPr="00020268">
        <w:rPr>
          <w:rFonts w:eastAsia="Calibri"/>
          <w:b/>
        </w:rPr>
        <w:t xml:space="preserve">с </w:t>
      </w:r>
      <w:hyperlink r:id="rId57" w:history="1">
        <w:r w:rsidRPr="00020268">
          <w:rPr>
            <w:rFonts w:eastAsia="Calibri"/>
            <w:b/>
          </w:rPr>
          <w:t>пунктом 25 части 1 статьи 93</w:t>
        </w:r>
      </w:hyperlink>
      <w:r w:rsidRPr="00020268">
        <w:rPr>
          <w:rFonts w:eastAsia="Calibri"/>
          <w:b/>
        </w:rPr>
        <w:t xml:space="preserve"> </w:t>
      </w:r>
      <w:r w:rsidR="00020268" w:rsidRPr="00020268">
        <w:rPr>
          <w:rFonts w:eastAsia="Calibri"/>
        </w:rPr>
        <w:t>Закона №44-ФЗ</w:t>
      </w:r>
      <w:r w:rsidRPr="00020268">
        <w:rPr>
          <w:rFonts w:eastAsia="Calibri"/>
        </w:rPr>
        <w:t>.</w:t>
      </w:r>
    </w:p>
    <w:p w:rsidR="00866234" w:rsidRDefault="00866234" w:rsidP="00A03666">
      <w:pPr>
        <w:autoSpaceDE w:val="0"/>
        <w:autoSpaceDN w:val="0"/>
        <w:adjustRightInd w:val="0"/>
        <w:spacing w:line="120" w:lineRule="auto"/>
        <w:ind w:firstLine="425"/>
        <w:jc w:val="both"/>
        <w:rPr>
          <w:rFonts w:eastAsia="Calibri"/>
        </w:rPr>
      </w:pPr>
    </w:p>
    <w:p w:rsidR="00605225" w:rsidRPr="00C00D99" w:rsidRDefault="00605225" w:rsidP="00C00D99">
      <w:pPr>
        <w:jc w:val="both"/>
      </w:pPr>
      <w:r w:rsidRPr="00C00D99">
        <w:rPr>
          <w:b/>
        </w:rPr>
        <w:t>4.</w:t>
      </w:r>
      <w:r w:rsidR="00906D39" w:rsidRPr="00C00D99">
        <w:rPr>
          <w:b/>
        </w:rPr>
        <w:t>3</w:t>
      </w:r>
      <w:r w:rsidRPr="00C00D99">
        <w:rPr>
          <w:b/>
        </w:rPr>
        <w:t>. Закупки у единственного поставщика  (подрядчика, исполнителя)</w:t>
      </w:r>
      <w:r w:rsidR="006032B3" w:rsidRPr="00C00D99">
        <w:rPr>
          <w:b/>
        </w:rPr>
        <w:t>.</w:t>
      </w:r>
    </w:p>
    <w:p w:rsidR="00672765" w:rsidRDefault="00672765" w:rsidP="00CC710A">
      <w:pPr>
        <w:spacing w:line="120" w:lineRule="auto"/>
        <w:ind w:right="142" w:firstLine="426"/>
        <w:jc w:val="both"/>
        <w:rPr>
          <w:noProof/>
        </w:rPr>
      </w:pPr>
    </w:p>
    <w:p w:rsidR="00646C03" w:rsidRPr="00EB67AD" w:rsidRDefault="00646C03" w:rsidP="00461CB3">
      <w:pPr>
        <w:pStyle w:val="ad"/>
        <w:spacing w:before="0" w:beforeAutospacing="0" w:after="0" w:afterAutospacing="0"/>
        <w:ind w:firstLine="426"/>
        <w:jc w:val="both"/>
        <w:rPr>
          <w:rStyle w:val="af"/>
          <w:rFonts w:cs="Times New Roman CYR"/>
          <w:b/>
          <w:color w:val="auto"/>
        </w:rPr>
      </w:pPr>
      <w:r w:rsidRPr="00BE2C60">
        <w:t>Заказчик</w:t>
      </w:r>
      <w:r w:rsidR="006E4329">
        <w:t>ам</w:t>
      </w:r>
      <w:r w:rsidRPr="00BE2C60">
        <w:t xml:space="preserve"> не обязательно использовать конкурентные способы закупки</w:t>
      </w:r>
      <w:r w:rsidR="002A38BB">
        <w:t xml:space="preserve"> (когда в процедуре участвуют два и более претендента)</w:t>
      </w:r>
      <w:r w:rsidRPr="00BE2C60">
        <w:t xml:space="preserve">, можно заключить контракт </w:t>
      </w:r>
      <w:r w:rsidR="002A38BB">
        <w:t xml:space="preserve">особым неконкурентным способом - </w:t>
      </w:r>
      <w:r w:rsidRPr="00BE2C60">
        <w:t xml:space="preserve">с единственным поставщиком. </w:t>
      </w:r>
      <w:r w:rsidR="002A38BB">
        <w:t>По времени и труд</w:t>
      </w:r>
      <w:r w:rsidR="00682E62">
        <w:t>озатратам этот способ определения исполнителя очень удобен для всех участников.  П</w:t>
      </w:r>
      <w:r w:rsidRPr="00BE2C60">
        <w:t xml:space="preserve">ри этом нужно учесть правила </w:t>
      </w:r>
      <w:r w:rsidR="00682E62">
        <w:t xml:space="preserve"> </w:t>
      </w:r>
      <w:hyperlink r:id="rId58" w:anchor="/document/99/499011838/" w:tooltip="О контрактной системе в сфере закупок товаров, работ, услуг для обеспечения государственных и муниципальных нужд" w:history="1">
        <w:r w:rsidRPr="00EB67AD">
          <w:rPr>
            <w:rStyle w:val="af"/>
            <w:rFonts w:cs="Times New Roman CYR"/>
            <w:b/>
            <w:color w:val="auto"/>
          </w:rPr>
          <w:t>Закона № 44-ФЗ</w:t>
        </w:r>
      </w:hyperlink>
      <w:r w:rsidRPr="00EB67AD">
        <w:rPr>
          <w:rStyle w:val="af"/>
          <w:rFonts w:cs="Times New Roman CYR"/>
          <w:b/>
          <w:color w:val="auto"/>
        </w:rPr>
        <w:t>.</w:t>
      </w:r>
    </w:p>
    <w:p w:rsidR="000F09E0" w:rsidRDefault="000F09E0" w:rsidP="000F09E0">
      <w:pPr>
        <w:autoSpaceDE w:val="0"/>
        <w:autoSpaceDN w:val="0"/>
        <w:adjustRightInd w:val="0"/>
        <w:ind w:firstLine="425"/>
        <w:jc w:val="both"/>
        <w:rPr>
          <w:rFonts w:eastAsia="Calibri"/>
          <w:bCs/>
        </w:rPr>
      </w:pPr>
      <w:r w:rsidRPr="000F09E0">
        <w:rPr>
          <w:rFonts w:eastAsia="Calibri"/>
          <w:b/>
          <w:bCs/>
        </w:rPr>
        <w:t>Единственный поставщик</w:t>
      </w:r>
      <w:r w:rsidRPr="000F09E0">
        <w:rPr>
          <w:rFonts w:eastAsia="Calibri"/>
          <w:bCs/>
        </w:rPr>
        <w:t xml:space="preserve"> - это физическое или юридическое лицо, с которым можно заключить контракт без проведения конкурентной процедуры. Заключить контракт с таким поставщиком можно только в определенных случаях (</w:t>
      </w:r>
      <w:hyperlink r:id="rId59" w:history="1">
        <w:r w:rsidRPr="000F09E0">
          <w:rPr>
            <w:rFonts w:eastAsia="Calibri"/>
            <w:b/>
            <w:bCs/>
          </w:rPr>
          <w:t>ч. 1 ст. 93</w:t>
        </w:r>
      </w:hyperlink>
      <w:r w:rsidRPr="000F09E0">
        <w:rPr>
          <w:rFonts w:eastAsia="Calibri"/>
          <w:b/>
          <w:bCs/>
        </w:rPr>
        <w:t xml:space="preserve"> </w:t>
      </w:r>
      <w:r w:rsidRPr="000F09E0">
        <w:rPr>
          <w:rFonts w:eastAsia="Calibri"/>
          <w:bCs/>
        </w:rPr>
        <w:t xml:space="preserve">Закона N 44-ФЗ, </w:t>
      </w:r>
      <w:hyperlink r:id="rId60" w:history="1">
        <w:r w:rsidRPr="000F09E0">
          <w:rPr>
            <w:rFonts w:eastAsia="Calibri"/>
            <w:bCs/>
          </w:rPr>
          <w:t>Постановление</w:t>
        </w:r>
      </w:hyperlink>
      <w:r w:rsidRPr="000F09E0">
        <w:rPr>
          <w:rFonts w:eastAsia="Calibri"/>
          <w:bCs/>
        </w:rPr>
        <w:t xml:space="preserve"> Правительства РФ </w:t>
      </w:r>
      <w:r w:rsidRPr="000F09E0">
        <w:rPr>
          <w:rFonts w:eastAsia="Calibri"/>
          <w:b/>
          <w:bCs/>
        </w:rPr>
        <w:t>от 10.03.2022 N 339</w:t>
      </w:r>
      <w:r w:rsidRPr="000F09E0">
        <w:rPr>
          <w:rFonts w:eastAsia="Calibri"/>
          <w:bCs/>
        </w:rPr>
        <w:t xml:space="preserve">). Например, если закупаются товары на сумму не более </w:t>
      </w:r>
      <w:hyperlink r:id="rId61" w:history="1">
        <w:r w:rsidRPr="000F09E0">
          <w:rPr>
            <w:rFonts w:eastAsia="Calibri"/>
            <w:bCs/>
          </w:rPr>
          <w:t>600</w:t>
        </w:r>
      </w:hyperlink>
      <w:r w:rsidRPr="000F09E0">
        <w:rPr>
          <w:rFonts w:eastAsia="Calibri"/>
          <w:bCs/>
        </w:rPr>
        <w:t xml:space="preserve"> тыс. руб. или не более 3 </w:t>
      </w:r>
      <w:proofErr w:type="gramStart"/>
      <w:r w:rsidRPr="000F09E0">
        <w:rPr>
          <w:rFonts w:eastAsia="Calibri"/>
          <w:bCs/>
        </w:rPr>
        <w:t>млн</w:t>
      </w:r>
      <w:proofErr w:type="gramEnd"/>
      <w:r w:rsidRPr="000F09E0">
        <w:rPr>
          <w:rFonts w:eastAsia="Calibri"/>
          <w:bCs/>
        </w:rPr>
        <w:t xml:space="preserve"> руб., если закупка проводится в электронной форме в соответствии с </w:t>
      </w:r>
      <w:hyperlink r:id="rId62" w:history="1">
        <w:r w:rsidRPr="000F09E0">
          <w:rPr>
            <w:rFonts w:eastAsia="Calibri"/>
            <w:bCs/>
          </w:rPr>
          <w:t>ч. 12 ст. 93</w:t>
        </w:r>
      </w:hyperlink>
      <w:r w:rsidRPr="000F09E0">
        <w:rPr>
          <w:rFonts w:eastAsia="Calibri"/>
          <w:bCs/>
        </w:rPr>
        <w:t xml:space="preserve"> Закона N 44-ФЗ.</w:t>
      </w:r>
    </w:p>
    <w:p w:rsidR="000F09E0" w:rsidRDefault="000F09E0" w:rsidP="000F09E0">
      <w:pPr>
        <w:autoSpaceDE w:val="0"/>
        <w:autoSpaceDN w:val="0"/>
        <w:adjustRightInd w:val="0"/>
        <w:ind w:firstLine="425"/>
        <w:jc w:val="both"/>
        <w:rPr>
          <w:rFonts w:eastAsia="Calibri"/>
          <w:bCs/>
        </w:rPr>
      </w:pPr>
      <w:r w:rsidRPr="000F09E0">
        <w:rPr>
          <w:rFonts w:eastAsia="Calibri"/>
          <w:bCs/>
        </w:rPr>
        <w:t xml:space="preserve">За заключение контракта с единственным поставщиком в ситуации, которая в </w:t>
      </w:r>
      <w:hyperlink r:id="rId63" w:history="1">
        <w:r w:rsidRPr="000F09E0">
          <w:rPr>
            <w:rFonts w:eastAsia="Calibri"/>
            <w:bCs/>
          </w:rPr>
          <w:t>Законе</w:t>
        </w:r>
      </w:hyperlink>
      <w:r w:rsidRPr="000F09E0">
        <w:rPr>
          <w:rFonts w:eastAsia="Calibri"/>
          <w:bCs/>
        </w:rPr>
        <w:t xml:space="preserve"> N 44-ФЗ не указана, предусмотрен штраф в размере 30 тыс. или 50 тыс. руб. (</w:t>
      </w:r>
      <w:hyperlink r:id="rId64" w:history="1">
        <w:r w:rsidRPr="000F09E0">
          <w:rPr>
            <w:rFonts w:eastAsia="Calibri"/>
            <w:bCs/>
          </w:rPr>
          <w:t>ч. 1</w:t>
        </w:r>
      </w:hyperlink>
      <w:r w:rsidRPr="000F09E0">
        <w:rPr>
          <w:rFonts w:eastAsia="Calibri"/>
          <w:bCs/>
        </w:rPr>
        <w:t xml:space="preserve">, </w:t>
      </w:r>
      <w:hyperlink r:id="rId65" w:history="1">
        <w:r w:rsidRPr="000F09E0">
          <w:rPr>
            <w:rFonts w:eastAsia="Calibri"/>
            <w:bCs/>
          </w:rPr>
          <w:t>2 ст. 7.29</w:t>
        </w:r>
      </w:hyperlink>
      <w:r w:rsidRPr="000F09E0">
        <w:rPr>
          <w:rFonts w:eastAsia="Calibri"/>
          <w:bCs/>
        </w:rPr>
        <w:t xml:space="preserve"> КоАП РФ). Кроме того, такой контракт могут признать недействительным.</w:t>
      </w:r>
    </w:p>
    <w:p w:rsidR="000F09E0" w:rsidRPr="000F09E0" w:rsidRDefault="000F09E0" w:rsidP="000F09E0">
      <w:pPr>
        <w:autoSpaceDE w:val="0"/>
        <w:autoSpaceDN w:val="0"/>
        <w:adjustRightInd w:val="0"/>
        <w:ind w:firstLine="425"/>
        <w:jc w:val="both"/>
        <w:rPr>
          <w:rFonts w:eastAsia="Calibri"/>
          <w:bCs/>
        </w:rPr>
      </w:pPr>
      <w:r>
        <w:rPr>
          <w:rFonts w:eastAsia="Calibri"/>
          <w:bCs/>
        </w:rPr>
        <w:t>В</w:t>
      </w:r>
      <w:r w:rsidRPr="000F09E0">
        <w:rPr>
          <w:rFonts w:eastAsia="Calibri"/>
          <w:bCs/>
        </w:rPr>
        <w:t xml:space="preserve">ыбранный единственный поставщик должен соответствовать </w:t>
      </w:r>
      <w:r w:rsidRPr="000F09E0">
        <w:rPr>
          <w:rFonts w:eastAsia="Calibri"/>
          <w:b/>
          <w:bCs/>
        </w:rPr>
        <w:t>единым требованиям</w:t>
      </w:r>
      <w:r w:rsidRPr="000F09E0">
        <w:rPr>
          <w:rFonts w:eastAsia="Calibri"/>
          <w:bCs/>
        </w:rPr>
        <w:t>, установленным для всех участников закупок.</w:t>
      </w:r>
    </w:p>
    <w:p w:rsidR="000F09E0" w:rsidRPr="002D5234" w:rsidRDefault="000F09E0" w:rsidP="002D5234">
      <w:pPr>
        <w:autoSpaceDE w:val="0"/>
        <w:autoSpaceDN w:val="0"/>
        <w:adjustRightInd w:val="0"/>
        <w:jc w:val="both"/>
        <w:rPr>
          <w:rFonts w:eastAsia="Calibri"/>
          <w:bCs/>
        </w:rPr>
      </w:pPr>
      <w:r>
        <w:rPr>
          <w:rFonts w:eastAsia="Calibri"/>
          <w:b/>
          <w:bCs/>
        </w:rPr>
        <w:lastRenderedPageBreak/>
        <w:t xml:space="preserve">       </w:t>
      </w:r>
      <w:r w:rsidRPr="002D5234">
        <w:rPr>
          <w:rFonts w:eastAsia="Calibri"/>
          <w:bCs/>
        </w:rPr>
        <w:t xml:space="preserve">Закупки у единственного поставщика в большинстве случаев включают в план-график в </w:t>
      </w:r>
      <w:hyperlink r:id="rId66" w:history="1">
        <w:r w:rsidRPr="002D5234">
          <w:rPr>
            <w:rFonts w:eastAsia="Calibri"/>
            <w:bCs/>
          </w:rPr>
          <w:t>общем порядке</w:t>
        </w:r>
      </w:hyperlink>
      <w:r w:rsidRPr="002D5234">
        <w:rPr>
          <w:rFonts w:eastAsia="Calibri"/>
          <w:bCs/>
        </w:rPr>
        <w:t>.</w:t>
      </w:r>
    </w:p>
    <w:p w:rsidR="000F09E0" w:rsidRPr="002D5234" w:rsidRDefault="000F09E0" w:rsidP="002D5234">
      <w:pPr>
        <w:autoSpaceDE w:val="0"/>
        <w:autoSpaceDN w:val="0"/>
        <w:adjustRightInd w:val="0"/>
        <w:jc w:val="both"/>
        <w:rPr>
          <w:rFonts w:eastAsia="Calibri"/>
          <w:bCs/>
        </w:rPr>
      </w:pPr>
      <w:r w:rsidRPr="002D5234">
        <w:rPr>
          <w:rFonts w:eastAsia="Calibri"/>
          <w:bCs/>
        </w:rPr>
        <w:t xml:space="preserve">      </w:t>
      </w:r>
      <w:r w:rsidR="002D5234">
        <w:rPr>
          <w:rFonts w:eastAsia="Calibri"/>
          <w:bCs/>
        </w:rPr>
        <w:t xml:space="preserve"> </w:t>
      </w:r>
      <w:r w:rsidRPr="002D5234">
        <w:rPr>
          <w:rFonts w:eastAsia="Calibri"/>
          <w:b/>
          <w:bCs/>
        </w:rPr>
        <w:t>Обоснование</w:t>
      </w:r>
      <w:r w:rsidRPr="002D5234">
        <w:rPr>
          <w:rFonts w:eastAsia="Calibri"/>
          <w:bCs/>
        </w:rPr>
        <w:t xml:space="preserve"> закупки у единственного поставщика при ее планировании формировать не нужно, поскольку это не предусмотрено </w:t>
      </w:r>
      <w:hyperlink r:id="rId67" w:history="1">
        <w:r w:rsidRPr="002D5234">
          <w:rPr>
            <w:rFonts w:eastAsia="Calibri"/>
            <w:bCs/>
          </w:rPr>
          <w:t>Законом</w:t>
        </w:r>
      </w:hyperlink>
      <w:r w:rsidRPr="002D5234">
        <w:rPr>
          <w:rFonts w:eastAsia="Calibri"/>
          <w:bCs/>
        </w:rPr>
        <w:t xml:space="preserve"> N 44-ФЗ. Для признания закупки обоснованной достаточно только, чтобы она соответствовала требованиям данного Закона в части нормирования и формирования цены контракта с единственным поставщиком (</w:t>
      </w:r>
      <w:hyperlink r:id="rId68" w:history="1">
        <w:r w:rsidRPr="002D5234">
          <w:rPr>
            <w:rFonts w:eastAsia="Calibri"/>
            <w:bCs/>
          </w:rPr>
          <w:t>ч. 1 ст. 18</w:t>
        </w:r>
      </w:hyperlink>
      <w:r w:rsidRPr="002D5234">
        <w:rPr>
          <w:rFonts w:eastAsia="Calibri"/>
          <w:bCs/>
        </w:rPr>
        <w:t xml:space="preserve"> Закона N 44-ФЗ). В </w:t>
      </w:r>
      <w:hyperlink r:id="rId69" w:history="1">
        <w:r w:rsidRPr="002D5234">
          <w:rPr>
            <w:rFonts w:eastAsia="Calibri"/>
            <w:bCs/>
          </w:rPr>
          <w:t>ряде случаев</w:t>
        </w:r>
      </w:hyperlink>
      <w:r w:rsidRPr="002D5234">
        <w:rPr>
          <w:rFonts w:eastAsia="Calibri"/>
          <w:bCs/>
        </w:rPr>
        <w:t xml:space="preserve"> вам потребуется включить в контракт обоснование его цены (</w:t>
      </w:r>
      <w:hyperlink r:id="rId70" w:history="1">
        <w:r w:rsidRPr="002D5234">
          <w:rPr>
            <w:rFonts w:eastAsia="Calibri"/>
            <w:bCs/>
          </w:rPr>
          <w:t>ч. 4 ст. 93</w:t>
        </w:r>
      </w:hyperlink>
      <w:r w:rsidRPr="002D5234">
        <w:rPr>
          <w:rFonts w:eastAsia="Calibri"/>
          <w:bCs/>
        </w:rPr>
        <w:t xml:space="preserve"> Закона N 44-ФЗ).</w:t>
      </w:r>
    </w:p>
    <w:p w:rsidR="000F09E0" w:rsidRPr="002D5234" w:rsidRDefault="002D5234" w:rsidP="002D5234">
      <w:pPr>
        <w:autoSpaceDE w:val="0"/>
        <w:autoSpaceDN w:val="0"/>
        <w:adjustRightInd w:val="0"/>
        <w:jc w:val="both"/>
        <w:rPr>
          <w:rFonts w:eastAsia="Calibri"/>
          <w:bCs/>
        </w:rPr>
      </w:pPr>
      <w:r>
        <w:rPr>
          <w:rFonts w:eastAsia="Calibri"/>
          <w:bCs/>
        </w:rPr>
        <w:t xml:space="preserve">      </w:t>
      </w:r>
      <w:r w:rsidR="000F09E0" w:rsidRPr="002D5234">
        <w:rPr>
          <w:rFonts w:eastAsia="Calibri"/>
          <w:bCs/>
        </w:rPr>
        <w:t xml:space="preserve">При планировании закупок по </w:t>
      </w:r>
      <w:hyperlink r:id="rId71" w:history="1">
        <w:r w:rsidR="000F09E0" w:rsidRPr="002D5234">
          <w:rPr>
            <w:rFonts w:eastAsia="Calibri"/>
            <w:bCs/>
          </w:rPr>
          <w:t>п. п. 4</w:t>
        </w:r>
      </w:hyperlink>
      <w:r w:rsidR="000F09E0" w:rsidRPr="002D5234">
        <w:rPr>
          <w:rFonts w:eastAsia="Calibri"/>
          <w:bCs/>
        </w:rPr>
        <w:t xml:space="preserve">, </w:t>
      </w:r>
      <w:hyperlink r:id="rId72" w:history="1">
        <w:r w:rsidR="000F09E0" w:rsidRPr="002D5234">
          <w:rPr>
            <w:rFonts w:eastAsia="Calibri"/>
            <w:bCs/>
          </w:rPr>
          <w:t>5 ч. 1 ст. 93</w:t>
        </w:r>
      </w:hyperlink>
      <w:r w:rsidR="000F09E0" w:rsidRPr="002D5234">
        <w:rPr>
          <w:rFonts w:eastAsia="Calibri"/>
          <w:bCs/>
        </w:rPr>
        <w:t xml:space="preserve"> Закона N 44-ФЗ учитывайте установленный данными нормами </w:t>
      </w:r>
      <w:r w:rsidR="000F09E0" w:rsidRPr="002D5234">
        <w:rPr>
          <w:rFonts w:eastAsia="Calibri"/>
          <w:b/>
          <w:bCs/>
        </w:rPr>
        <w:t>годовой объем</w:t>
      </w:r>
      <w:r w:rsidR="000F09E0" w:rsidRPr="002D5234">
        <w:rPr>
          <w:rFonts w:eastAsia="Calibri"/>
          <w:bCs/>
        </w:rPr>
        <w:t xml:space="preserve"> таких закупок, который вы не можете превышать.</w:t>
      </w:r>
    </w:p>
    <w:p w:rsidR="002D5234" w:rsidRPr="002D5234" w:rsidRDefault="002D5234" w:rsidP="002D5234">
      <w:pPr>
        <w:autoSpaceDE w:val="0"/>
        <w:autoSpaceDN w:val="0"/>
        <w:adjustRightInd w:val="0"/>
        <w:jc w:val="both"/>
        <w:rPr>
          <w:rFonts w:eastAsia="Calibri"/>
          <w:bCs/>
        </w:rPr>
      </w:pPr>
      <w:r>
        <w:rPr>
          <w:rFonts w:eastAsia="Calibri"/>
          <w:bCs/>
        </w:rPr>
        <w:t xml:space="preserve">       </w:t>
      </w:r>
      <w:r w:rsidRPr="002D5234">
        <w:rPr>
          <w:rFonts w:eastAsia="Calibri"/>
          <w:bCs/>
        </w:rPr>
        <w:t>Извещение о закупке у единственного поставщика по Закону N 44-ФЗ не составляется и, следовательно, не размещается в ЕИС (</w:t>
      </w:r>
      <w:hyperlink r:id="rId73" w:history="1">
        <w:r w:rsidRPr="002D5234">
          <w:rPr>
            <w:rFonts w:eastAsia="Calibri"/>
            <w:bCs/>
          </w:rPr>
          <w:t>ч. 3 ст. 93</w:t>
        </w:r>
      </w:hyperlink>
      <w:r w:rsidRPr="002D5234">
        <w:rPr>
          <w:rFonts w:eastAsia="Calibri"/>
          <w:bCs/>
        </w:rPr>
        <w:t xml:space="preserve"> Закона N 44-ФЗ).</w:t>
      </w:r>
    </w:p>
    <w:p w:rsidR="002D5234" w:rsidRPr="002D5234" w:rsidRDefault="002D5234" w:rsidP="002D5234">
      <w:pPr>
        <w:autoSpaceDE w:val="0"/>
        <w:autoSpaceDN w:val="0"/>
        <w:adjustRightInd w:val="0"/>
        <w:jc w:val="both"/>
        <w:rPr>
          <w:rFonts w:eastAsia="Calibri"/>
          <w:bCs/>
        </w:rPr>
      </w:pPr>
      <w:r>
        <w:rPr>
          <w:rFonts w:eastAsia="Calibri"/>
          <w:bCs/>
        </w:rPr>
        <w:t xml:space="preserve">      </w:t>
      </w:r>
      <w:r w:rsidRPr="002D5234">
        <w:rPr>
          <w:rFonts w:eastAsia="Calibri"/>
          <w:b/>
          <w:bCs/>
        </w:rPr>
        <w:t>Исключением</w:t>
      </w:r>
      <w:r w:rsidRPr="002D5234">
        <w:rPr>
          <w:rFonts w:eastAsia="Calibri"/>
          <w:bCs/>
        </w:rPr>
        <w:t xml:space="preserve"> являются закупки по </w:t>
      </w:r>
      <w:hyperlink r:id="rId74" w:history="1">
        <w:r w:rsidRPr="002D5234">
          <w:rPr>
            <w:rFonts w:eastAsia="Calibri"/>
            <w:bCs/>
          </w:rPr>
          <w:t>п. п. 4</w:t>
        </w:r>
      </w:hyperlink>
      <w:r w:rsidRPr="002D5234">
        <w:rPr>
          <w:rFonts w:eastAsia="Calibri"/>
          <w:bCs/>
        </w:rPr>
        <w:t xml:space="preserve"> и </w:t>
      </w:r>
      <w:hyperlink r:id="rId75" w:history="1">
        <w:r w:rsidRPr="002D5234">
          <w:rPr>
            <w:rFonts w:eastAsia="Calibri"/>
            <w:bCs/>
          </w:rPr>
          <w:t>5 ч. 1 ст. 93</w:t>
        </w:r>
      </w:hyperlink>
      <w:r w:rsidRPr="002D5234">
        <w:rPr>
          <w:rFonts w:eastAsia="Calibri"/>
          <w:bCs/>
        </w:rPr>
        <w:t xml:space="preserve"> Закона N 44-ФЗ в случае проведения закупки в электронной форме в соответствии с </w:t>
      </w:r>
      <w:hyperlink r:id="rId76" w:history="1">
        <w:r w:rsidRPr="002D5234">
          <w:rPr>
            <w:rFonts w:eastAsia="Calibri"/>
            <w:b/>
            <w:bCs/>
          </w:rPr>
          <w:t>ч. 12 ст. 93</w:t>
        </w:r>
      </w:hyperlink>
      <w:r w:rsidRPr="002D5234">
        <w:rPr>
          <w:rFonts w:eastAsia="Calibri"/>
          <w:bCs/>
        </w:rPr>
        <w:t xml:space="preserve"> Закона N 44-ФЗ. При их проведении заказчиком размещается в ЕИС извещение, включающее в </w:t>
      </w:r>
      <w:proofErr w:type="gramStart"/>
      <w:r w:rsidRPr="002D5234">
        <w:rPr>
          <w:rFonts w:eastAsia="Calibri"/>
          <w:bCs/>
        </w:rPr>
        <w:t>себя</w:t>
      </w:r>
      <w:proofErr w:type="gramEnd"/>
      <w:r w:rsidRPr="002D5234">
        <w:rPr>
          <w:rFonts w:eastAsia="Calibri"/>
          <w:bCs/>
        </w:rPr>
        <w:t xml:space="preserve"> в том числе проект контракта и обоснование цены (</w:t>
      </w:r>
      <w:hyperlink r:id="rId77" w:history="1">
        <w:r w:rsidRPr="002D5234">
          <w:rPr>
            <w:rFonts w:eastAsia="Calibri"/>
            <w:bCs/>
          </w:rPr>
          <w:t>п. п. 3</w:t>
        </w:r>
      </w:hyperlink>
      <w:r w:rsidRPr="002D5234">
        <w:rPr>
          <w:rFonts w:eastAsia="Calibri"/>
          <w:bCs/>
        </w:rPr>
        <w:t xml:space="preserve">, </w:t>
      </w:r>
      <w:hyperlink r:id="rId78" w:history="1">
        <w:r w:rsidRPr="002D5234">
          <w:rPr>
            <w:rFonts w:eastAsia="Calibri"/>
            <w:bCs/>
          </w:rPr>
          <w:t>4 ч. 12 ст. 93</w:t>
        </w:r>
      </w:hyperlink>
      <w:r w:rsidRPr="002D5234">
        <w:rPr>
          <w:rFonts w:eastAsia="Calibri"/>
          <w:bCs/>
        </w:rPr>
        <w:t xml:space="preserve"> Закона N 44-ФЗ). Минфин России разъяснил некоторые вопросы об особенностях проведения закупок согласно </w:t>
      </w:r>
      <w:hyperlink r:id="rId79" w:history="1">
        <w:r w:rsidRPr="002D5234">
          <w:rPr>
            <w:rFonts w:eastAsia="Calibri"/>
            <w:bCs/>
          </w:rPr>
          <w:t>ч. 12 ст. 93</w:t>
        </w:r>
      </w:hyperlink>
      <w:r w:rsidRPr="002D5234">
        <w:rPr>
          <w:rFonts w:eastAsia="Calibri"/>
          <w:bCs/>
        </w:rPr>
        <w:t xml:space="preserve"> Закона N 44-ФЗ (</w:t>
      </w:r>
      <w:hyperlink r:id="rId80" w:history="1">
        <w:r w:rsidRPr="002D5234">
          <w:rPr>
            <w:rFonts w:eastAsia="Calibri"/>
            <w:bCs/>
          </w:rPr>
          <w:t>Письмо</w:t>
        </w:r>
      </w:hyperlink>
      <w:r w:rsidRPr="002D5234">
        <w:rPr>
          <w:rFonts w:eastAsia="Calibri"/>
          <w:bCs/>
        </w:rPr>
        <w:t xml:space="preserve"> от 12.02.2021 N 24-06-08/9591).</w:t>
      </w:r>
    </w:p>
    <w:p w:rsidR="000326EA" w:rsidRDefault="000326EA" w:rsidP="003D7709">
      <w:pPr>
        <w:shd w:val="clear" w:color="auto" w:fill="FFFFFF" w:themeFill="background1"/>
        <w:autoSpaceDE w:val="0"/>
        <w:autoSpaceDN w:val="0"/>
        <w:adjustRightInd w:val="0"/>
        <w:ind w:firstLine="426"/>
        <w:jc w:val="both"/>
        <w:rPr>
          <w:color w:val="000000"/>
          <w:shd w:val="clear" w:color="auto" w:fill="FFFFFF" w:themeFill="background1"/>
        </w:rPr>
      </w:pPr>
      <w:r w:rsidRPr="000326EA">
        <w:rPr>
          <w:b/>
          <w:color w:val="000000"/>
          <w:shd w:val="clear" w:color="auto" w:fill="FFFFFF" w:themeFill="background1"/>
        </w:rPr>
        <w:t>Необходимо отметить</w:t>
      </w:r>
      <w:r w:rsidRPr="000326EA">
        <w:rPr>
          <w:color w:val="000000"/>
          <w:shd w:val="clear" w:color="auto" w:fill="FFFFFF" w:themeFill="background1"/>
        </w:rPr>
        <w:t xml:space="preserve">, что накладываемые на российские компании иностранные санкции серьезно осложняют экономическую ситуацию и в сфере </w:t>
      </w:r>
      <w:proofErr w:type="spellStart"/>
      <w:r w:rsidRPr="000326EA">
        <w:rPr>
          <w:color w:val="000000"/>
          <w:shd w:val="clear" w:color="auto" w:fill="FFFFFF" w:themeFill="background1"/>
        </w:rPr>
        <w:t>госзакупок</w:t>
      </w:r>
      <w:proofErr w:type="spellEnd"/>
      <w:r w:rsidRPr="000326EA">
        <w:rPr>
          <w:color w:val="000000"/>
          <w:shd w:val="clear" w:color="auto" w:fill="FFFFFF" w:themeFill="background1"/>
        </w:rPr>
        <w:t xml:space="preserve">. </w:t>
      </w:r>
    </w:p>
    <w:p w:rsidR="000326EA" w:rsidRDefault="00D13055" w:rsidP="003D7709">
      <w:pPr>
        <w:shd w:val="clear" w:color="auto" w:fill="FFFFFF" w:themeFill="background1"/>
        <w:autoSpaceDE w:val="0"/>
        <w:autoSpaceDN w:val="0"/>
        <w:adjustRightInd w:val="0"/>
        <w:ind w:firstLine="426"/>
        <w:jc w:val="both"/>
        <w:rPr>
          <w:color w:val="000000"/>
          <w:shd w:val="clear" w:color="auto" w:fill="FFFFFF" w:themeFill="background1"/>
        </w:rPr>
      </w:pPr>
      <w:r>
        <w:rPr>
          <w:color w:val="000000"/>
          <w:shd w:val="clear" w:color="auto" w:fill="FFFFFF" w:themeFill="background1"/>
        </w:rPr>
        <w:t xml:space="preserve">4 ноября 2022 года был опубликован Федеральный закон  </w:t>
      </w:r>
      <w:r w:rsidRPr="00D13055">
        <w:rPr>
          <w:b/>
          <w:color w:val="000000"/>
          <w:shd w:val="clear" w:color="auto" w:fill="FFFFFF" w:themeFill="background1"/>
        </w:rPr>
        <w:t>от 04.11.2022 г. №420-ФЗ</w:t>
      </w:r>
      <w:r>
        <w:rPr>
          <w:color w:val="000000"/>
          <w:shd w:val="clear" w:color="auto" w:fill="FFFFFF" w:themeFill="background1"/>
        </w:rPr>
        <w:t>, который вносит изменения в Закон №44-ФЗ, №360-ФЗ и №46-ФЗ. Экспертным сообществом и законодателями он уже обозначен как закон, продлевающий меры поддержки заказчиков и поставщиков в условиях санкций.</w:t>
      </w:r>
    </w:p>
    <w:p w:rsidR="000326EA" w:rsidRDefault="000326EA" w:rsidP="003D7709">
      <w:pPr>
        <w:shd w:val="clear" w:color="auto" w:fill="FFFFFF" w:themeFill="background1"/>
        <w:autoSpaceDE w:val="0"/>
        <w:autoSpaceDN w:val="0"/>
        <w:adjustRightInd w:val="0"/>
        <w:ind w:firstLine="426"/>
        <w:jc w:val="both"/>
        <w:rPr>
          <w:color w:val="000000"/>
          <w:shd w:val="clear" w:color="auto" w:fill="FFFFFF" w:themeFill="background1"/>
        </w:rPr>
      </w:pPr>
      <w:r w:rsidRPr="000326EA">
        <w:rPr>
          <w:color w:val="000000"/>
          <w:shd w:val="clear" w:color="auto" w:fill="FFFFFF" w:themeFill="background1"/>
        </w:rPr>
        <w:t xml:space="preserve">Чтобы поддержать заказчиков и их контрагентов, правительство РФ продолжает расширять спектр поддерживающих мер, одна из которых — увеличение числа случаев, когда допускается закупка у единственного поставщика, на 2023 год новые основания для заключения контрактов без конкурентных тендеров продлили как на федеральном </w:t>
      </w:r>
      <w:proofErr w:type="gramStart"/>
      <w:r w:rsidRPr="000326EA">
        <w:rPr>
          <w:color w:val="000000"/>
          <w:shd w:val="clear" w:color="auto" w:fill="FFFFFF" w:themeFill="background1"/>
        </w:rPr>
        <w:t>уровне</w:t>
      </w:r>
      <w:proofErr w:type="gramEnd"/>
      <w:r w:rsidRPr="000326EA">
        <w:rPr>
          <w:color w:val="000000"/>
          <w:shd w:val="clear" w:color="auto" w:fill="FFFFFF" w:themeFill="background1"/>
        </w:rPr>
        <w:t xml:space="preserve"> так и на региональном.</w:t>
      </w:r>
    </w:p>
    <w:p w:rsidR="00D13055" w:rsidRPr="00D13055" w:rsidRDefault="00D13055" w:rsidP="00D13055">
      <w:pPr>
        <w:shd w:val="clear" w:color="auto" w:fill="FFFFFF" w:themeFill="background1"/>
        <w:autoSpaceDE w:val="0"/>
        <w:autoSpaceDN w:val="0"/>
        <w:adjustRightInd w:val="0"/>
        <w:ind w:firstLine="426"/>
        <w:jc w:val="both"/>
      </w:pPr>
      <w:r w:rsidRPr="00D13055">
        <w:t xml:space="preserve">В целях реализации антикризисного закона (от 08.03.2022 № 46-ФЗ «О внесении изменений в отдельные законодательные акты Российской Федерации») Правительством РФ принято постановление </w:t>
      </w:r>
      <w:r>
        <w:t xml:space="preserve"> </w:t>
      </w:r>
      <w:r w:rsidRPr="00D13055">
        <w:rPr>
          <w:b/>
        </w:rPr>
        <w:t>от 10.03.2022  № 339</w:t>
      </w:r>
      <w:r>
        <w:rPr>
          <w:b/>
        </w:rPr>
        <w:t xml:space="preserve"> (</w:t>
      </w:r>
      <w:r w:rsidRPr="00D13055">
        <w:t>далее</w:t>
      </w:r>
      <w:r>
        <w:rPr>
          <w:b/>
        </w:rPr>
        <w:t xml:space="preserve"> – Постановление №339) </w:t>
      </w:r>
      <w:r w:rsidRPr="00D13055">
        <w:t xml:space="preserve">, в соответствии с которым Правительство РФ и высшие исполнительные органы государственной власти субъектов РФ наделены правом устанавливать дополнительные основания закупок у единственного поставщика </w:t>
      </w:r>
      <w:proofErr w:type="gramStart"/>
      <w:r w:rsidRPr="00D13055">
        <w:t>(</w:t>
      </w:r>
      <w:r>
        <w:t xml:space="preserve"> </w:t>
      </w:r>
      <w:proofErr w:type="gramEnd"/>
      <w:r w:rsidRPr="00D13055">
        <w:t>подрядчика, исполнителя) и определять порядок их осуществления.</w:t>
      </w:r>
    </w:p>
    <w:p w:rsidR="00D13055" w:rsidRDefault="000326EA" w:rsidP="00D13055">
      <w:pPr>
        <w:shd w:val="clear" w:color="auto" w:fill="FFFFFF" w:themeFill="background1"/>
        <w:autoSpaceDE w:val="0"/>
        <w:autoSpaceDN w:val="0"/>
        <w:adjustRightInd w:val="0"/>
        <w:ind w:firstLine="426"/>
        <w:jc w:val="both"/>
      </w:pPr>
      <w:r w:rsidRPr="00D13055">
        <w:t>Заказчики до конца 2023 года вправе осуществить закупку для гос</w:t>
      </w:r>
      <w:r w:rsidR="00EB2905">
        <w:t xml:space="preserve">ударственных (муниципальных) </w:t>
      </w:r>
      <w:r w:rsidRPr="00D13055">
        <w:t>нужд  у ед</w:t>
      </w:r>
      <w:r w:rsidR="00D13055">
        <w:t xml:space="preserve">инственного </w:t>
      </w:r>
      <w:r w:rsidRPr="00D13055">
        <w:t>поставщика, которого выберет Правительство или высший исполнительный орган субъекта в своих актах (</w:t>
      </w:r>
      <w:hyperlink r:id="rId81" w:anchor="/document/99/728383312/XA00MA02N0/" w:tgtFrame="_self" w:history="1">
        <w:r w:rsidRPr="00D13055">
          <w:rPr>
            <w:rStyle w:val="a5"/>
            <w:color w:val="auto"/>
          </w:rPr>
          <w:t>ч. 1</w:t>
        </w:r>
      </w:hyperlink>
      <w:r w:rsidRPr="00D13055">
        <w:t>, </w:t>
      </w:r>
      <w:hyperlink r:id="rId82" w:anchor="/document/99/728383312/XA00MB02NA/" w:tgtFrame="_self" w:history="1">
        <w:r w:rsidRPr="00D13055">
          <w:rPr>
            <w:rStyle w:val="a5"/>
            <w:color w:val="auto"/>
          </w:rPr>
          <w:t>ч. 2</w:t>
        </w:r>
      </w:hyperlink>
      <w:r w:rsidRPr="00D13055">
        <w:t> ст. 15 Закона № 46-ФЗ, </w:t>
      </w:r>
      <w:proofErr w:type="gramStart"/>
      <w:r w:rsidR="00D13055" w:rsidRPr="00D13055">
        <w:rPr>
          <w:u w:val="single"/>
        </w:rPr>
        <w:t>П</w:t>
      </w:r>
      <w:proofErr w:type="gramEnd"/>
      <w:r w:rsidR="00A6037A">
        <w:fldChar w:fldCharType="begin"/>
      </w:r>
      <w:r w:rsidR="00A6037A">
        <w:instrText xml:space="preserve"> HYPERLINK "https://vip.1gzakaz.ru/" \l "/document/99/728434946/" \t "_self" </w:instrText>
      </w:r>
      <w:r w:rsidR="00A6037A">
        <w:fldChar w:fldCharType="separate"/>
      </w:r>
      <w:r w:rsidRPr="00D13055">
        <w:rPr>
          <w:rStyle w:val="a5"/>
          <w:color w:val="auto"/>
        </w:rPr>
        <w:t>остановление  № 339</w:t>
      </w:r>
      <w:r w:rsidR="00A6037A">
        <w:rPr>
          <w:rStyle w:val="a5"/>
          <w:color w:val="auto"/>
        </w:rPr>
        <w:fldChar w:fldCharType="end"/>
      </w:r>
      <w:r w:rsidRPr="00D13055">
        <w:t>).</w:t>
      </w:r>
      <w:r w:rsidR="00D13055">
        <w:t xml:space="preserve"> </w:t>
      </w:r>
    </w:p>
    <w:p w:rsidR="00D13055" w:rsidRDefault="000326EA" w:rsidP="00D13055">
      <w:pPr>
        <w:shd w:val="clear" w:color="auto" w:fill="FFFFFF" w:themeFill="background1"/>
        <w:autoSpaceDE w:val="0"/>
        <w:autoSpaceDN w:val="0"/>
        <w:adjustRightInd w:val="0"/>
        <w:ind w:firstLine="426"/>
        <w:jc w:val="both"/>
        <w:rPr>
          <w:color w:val="000000"/>
        </w:rPr>
      </w:pPr>
      <w:r w:rsidRPr="00D13055">
        <w:t>К закупкам у ед</w:t>
      </w:r>
      <w:r w:rsidR="00D13055">
        <w:t xml:space="preserve">инственного </w:t>
      </w:r>
      <w:r w:rsidRPr="00D13055">
        <w:t xml:space="preserve">поставщика по дополнительным </w:t>
      </w:r>
      <w:r>
        <w:rPr>
          <w:color w:val="000000"/>
        </w:rPr>
        <w:t>основаниям не применяют нормы об ограничении конкуренции</w:t>
      </w:r>
      <w:r w:rsidR="000A1040">
        <w:rPr>
          <w:color w:val="000000"/>
        </w:rPr>
        <w:t>, н</w:t>
      </w:r>
      <w:r>
        <w:rPr>
          <w:color w:val="000000"/>
        </w:rPr>
        <w:t>е действуют статьи </w:t>
      </w:r>
      <w:hyperlink r:id="rId83" w:anchor="/document/99/901989534/ZA01SJI3AG/" w:tgtFrame="_self" w:history="1">
        <w:r w:rsidRPr="00D13055">
          <w:rPr>
            <w:rStyle w:val="a5"/>
            <w:color w:val="auto"/>
          </w:rPr>
          <w:t>15</w:t>
        </w:r>
      </w:hyperlink>
      <w:r w:rsidRPr="00D13055">
        <w:t>, </w:t>
      </w:r>
      <w:hyperlink r:id="rId84" w:anchor="/document/99/901989534/XA00M9U2ND/" w:tgtFrame="_self" w:history="1">
        <w:r w:rsidRPr="00D13055">
          <w:rPr>
            <w:rStyle w:val="a5"/>
            <w:color w:val="auto"/>
          </w:rPr>
          <w:t>16</w:t>
        </w:r>
      </w:hyperlink>
      <w:r w:rsidRPr="00D13055">
        <w:t> и </w:t>
      </w:r>
      <w:hyperlink r:id="rId85" w:anchor="/document/99/901989534/XA00MB02NI/" w:tgtFrame="_self" w:history="1">
        <w:r w:rsidRPr="00D13055">
          <w:rPr>
            <w:rStyle w:val="a5"/>
            <w:color w:val="auto"/>
          </w:rPr>
          <w:t>17</w:t>
        </w:r>
      </w:hyperlink>
      <w:r w:rsidRPr="00D13055">
        <w:t> Закона «О защите конкуренции». Это означает, что при закупках у ед</w:t>
      </w:r>
      <w:r w:rsidR="00D13055">
        <w:t xml:space="preserve">инственного </w:t>
      </w:r>
      <w:r w:rsidRPr="00D13055">
        <w:t xml:space="preserve">поставщика </w:t>
      </w:r>
      <w:r>
        <w:rPr>
          <w:color w:val="000000"/>
        </w:rPr>
        <w:t>по актам госорганов заказчиков не будут наказывать за нарушение конкуренции.</w:t>
      </w:r>
    </w:p>
    <w:p w:rsidR="000326EA" w:rsidRPr="00D13055" w:rsidRDefault="000326EA" w:rsidP="00D13055">
      <w:pPr>
        <w:shd w:val="clear" w:color="auto" w:fill="FFFFFF" w:themeFill="background1"/>
        <w:autoSpaceDE w:val="0"/>
        <w:autoSpaceDN w:val="0"/>
        <w:adjustRightInd w:val="0"/>
        <w:ind w:firstLine="426"/>
        <w:jc w:val="both"/>
      </w:pPr>
      <w:r>
        <w:rPr>
          <w:color w:val="000000"/>
        </w:rPr>
        <w:t>Новое правило действует с 14 июля 2022 года и распространяется на закупки</w:t>
      </w:r>
      <w:r w:rsidR="00D13055">
        <w:rPr>
          <w:color w:val="000000"/>
        </w:rPr>
        <w:t xml:space="preserve">, которые заказчики провели у </w:t>
      </w:r>
      <w:r w:rsidR="00D13055" w:rsidRPr="00D13055">
        <w:t>ед</w:t>
      </w:r>
      <w:r w:rsidR="00D13055">
        <w:t xml:space="preserve">инственного  </w:t>
      </w:r>
      <w:r>
        <w:rPr>
          <w:color w:val="000000"/>
        </w:rPr>
        <w:t xml:space="preserve">поставщика с 8 марта 2022 года </w:t>
      </w:r>
      <w:r w:rsidRPr="00D13055">
        <w:t>(</w:t>
      </w:r>
      <w:hyperlink r:id="rId86" w:anchor="/document/99/351176027/" w:tgtFrame="_self" w:history="1">
        <w:r w:rsidRPr="00D13055">
          <w:rPr>
            <w:rStyle w:val="a5"/>
            <w:color w:val="auto"/>
            <w:u w:val="none"/>
          </w:rPr>
          <w:t>Федеральный закон от 14.07.2022 № 286-ФЗ</w:t>
        </w:r>
      </w:hyperlink>
      <w:r w:rsidRPr="00D13055">
        <w:t>).</w:t>
      </w:r>
    </w:p>
    <w:p w:rsidR="000326EA" w:rsidRPr="00D13055" w:rsidRDefault="003D7709" w:rsidP="003D7709">
      <w:pPr>
        <w:autoSpaceDE w:val="0"/>
        <w:autoSpaceDN w:val="0"/>
        <w:adjustRightInd w:val="0"/>
        <w:ind w:firstLine="426"/>
        <w:jc w:val="both"/>
        <w:rPr>
          <w:color w:val="000000"/>
          <w:shd w:val="clear" w:color="auto" w:fill="FFFFFF" w:themeFill="background1"/>
        </w:rPr>
      </w:pPr>
      <w:r w:rsidRPr="00EB2905">
        <w:rPr>
          <w:color w:val="000000"/>
          <w:shd w:val="clear" w:color="auto" w:fill="FFFFFF" w:themeFill="background1"/>
        </w:rPr>
        <w:t>На общероссийском уровне дополнительные основания для заключения контр</w:t>
      </w:r>
      <w:r w:rsidR="00D13055" w:rsidRPr="00EB2905">
        <w:rPr>
          <w:color w:val="000000"/>
          <w:shd w:val="clear" w:color="auto" w:fill="FFFFFF" w:themeFill="background1"/>
        </w:rPr>
        <w:t xml:space="preserve">акта с единственным поставщиком, как уже отмечалось выше, </w:t>
      </w:r>
      <w:r w:rsidRPr="00EB2905">
        <w:rPr>
          <w:color w:val="000000"/>
          <w:shd w:val="clear" w:color="auto" w:fill="FFFFFF" w:themeFill="background1"/>
        </w:rPr>
        <w:t xml:space="preserve">устанавливает постановление Правительства </w:t>
      </w:r>
      <w:r w:rsidR="00C74189" w:rsidRPr="00EB2905">
        <w:rPr>
          <w:color w:val="000000"/>
          <w:shd w:val="clear" w:color="auto" w:fill="FFFFFF" w:themeFill="background1"/>
        </w:rPr>
        <w:t>№</w:t>
      </w:r>
      <w:r w:rsidRPr="00EB2905">
        <w:rPr>
          <w:color w:val="000000"/>
          <w:shd w:val="clear" w:color="auto" w:fill="FFFFFF" w:themeFill="background1"/>
        </w:rPr>
        <w:t xml:space="preserve">339, в соответствии с которым заказчик вправе заключать соглашения </w:t>
      </w:r>
      <w:r w:rsidRPr="00EB2905">
        <w:rPr>
          <w:color w:val="000000"/>
          <w:shd w:val="clear" w:color="auto" w:fill="FFFFFF" w:themeFill="background1"/>
        </w:rPr>
        <w:lastRenderedPageBreak/>
        <w:t>без проведения тендеров не только по основаниям</w:t>
      </w:r>
      <w:proofErr w:type="gramStart"/>
      <w:r w:rsidR="00C74189" w:rsidRPr="00EB2905">
        <w:rPr>
          <w:color w:val="000000"/>
          <w:shd w:val="clear" w:color="auto" w:fill="FFFFFF" w:themeFill="background1"/>
        </w:rPr>
        <w:t xml:space="preserve"> </w:t>
      </w:r>
      <w:r w:rsidRPr="00EB2905">
        <w:rPr>
          <w:color w:val="000000"/>
          <w:shd w:val="clear" w:color="auto" w:fill="FFFFFF" w:themeFill="background1"/>
        </w:rPr>
        <w:t>,</w:t>
      </w:r>
      <w:proofErr w:type="gramEnd"/>
      <w:r w:rsidRPr="00EB2905">
        <w:rPr>
          <w:color w:val="000000"/>
          <w:shd w:val="clear" w:color="auto" w:fill="FFFFFF" w:themeFill="background1"/>
        </w:rPr>
        <w:t xml:space="preserve"> предусмотренным статьей 93 </w:t>
      </w:r>
      <w:r w:rsidR="00C74189" w:rsidRPr="00EB2905">
        <w:rPr>
          <w:color w:val="000000"/>
          <w:shd w:val="clear" w:color="auto" w:fill="FFFFFF" w:themeFill="background1"/>
        </w:rPr>
        <w:t>Закона №</w:t>
      </w:r>
      <w:r w:rsidRPr="00EB2905">
        <w:rPr>
          <w:color w:val="000000"/>
          <w:shd w:val="clear" w:color="auto" w:fill="FFFFFF" w:themeFill="background1"/>
        </w:rPr>
        <w:t>44-ФЗ, но и в случаях, перечисленных в пункте 2 П</w:t>
      </w:r>
      <w:r w:rsidR="00C74189" w:rsidRPr="00EB2905">
        <w:rPr>
          <w:color w:val="000000"/>
          <w:shd w:val="clear" w:color="auto" w:fill="FFFFFF" w:themeFill="background1"/>
        </w:rPr>
        <w:t>остановления  № 339.</w:t>
      </w:r>
    </w:p>
    <w:p w:rsidR="000326EA" w:rsidRPr="00C74189" w:rsidRDefault="003D7709" w:rsidP="003D7709">
      <w:pPr>
        <w:shd w:val="clear" w:color="auto" w:fill="FFFFFF" w:themeFill="background1"/>
        <w:autoSpaceDE w:val="0"/>
        <w:autoSpaceDN w:val="0"/>
        <w:adjustRightInd w:val="0"/>
        <w:ind w:firstLine="426"/>
        <w:jc w:val="both"/>
        <w:rPr>
          <w:color w:val="000000"/>
          <w:shd w:val="clear" w:color="auto" w:fill="FFFFFF" w:themeFill="background1"/>
        </w:rPr>
      </w:pPr>
      <w:r w:rsidRPr="00C74189">
        <w:rPr>
          <w:color w:val="000000"/>
          <w:shd w:val="clear" w:color="auto" w:fill="FFFFFF" w:themeFill="background1"/>
        </w:rPr>
        <w:t xml:space="preserve">Помимо общефедеральных оснований   для заключения контрактов с единственными поставщиками, статьей 15 Федерального закона № 46-ФЗ определено право субъектов РФ </w:t>
      </w:r>
      <w:proofErr w:type="gramStart"/>
      <w:r w:rsidRPr="00C74189">
        <w:rPr>
          <w:color w:val="000000"/>
          <w:shd w:val="clear" w:color="auto" w:fill="FFFFFF" w:themeFill="background1"/>
        </w:rPr>
        <w:t>устанавливать</w:t>
      </w:r>
      <w:proofErr w:type="gramEnd"/>
      <w:r w:rsidRPr="00C74189">
        <w:rPr>
          <w:color w:val="000000"/>
          <w:shd w:val="clear" w:color="auto" w:fill="FFFFFF" w:themeFill="background1"/>
        </w:rPr>
        <w:t xml:space="preserve"> дополнительные случаи таких закупок для отдельных регионов. </w:t>
      </w:r>
    </w:p>
    <w:p w:rsidR="003D7709" w:rsidRPr="00C74189" w:rsidRDefault="003D7709" w:rsidP="003D7709">
      <w:pPr>
        <w:shd w:val="clear" w:color="auto" w:fill="FFFFFF" w:themeFill="background1"/>
        <w:autoSpaceDE w:val="0"/>
        <w:autoSpaceDN w:val="0"/>
        <w:adjustRightInd w:val="0"/>
        <w:ind w:firstLine="426"/>
        <w:jc w:val="both"/>
        <w:rPr>
          <w:color w:val="000000"/>
          <w:shd w:val="clear" w:color="auto" w:fill="E3E8E8"/>
        </w:rPr>
      </w:pPr>
      <w:r w:rsidRPr="00C74189">
        <w:rPr>
          <w:color w:val="000000"/>
          <w:shd w:val="clear" w:color="auto" w:fill="FFFFFF" w:themeFill="background1"/>
        </w:rPr>
        <w:t>Этой возможностью уже воспользовались многие регионы — в частности, в Ленинградской области  изданы следующие нормативные акты:</w:t>
      </w:r>
    </w:p>
    <w:p w:rsidR="00C74189" w:rsidRDefault="003D7709" w:rsidP="003D7709">
      <w:pPr>
        <w:shd w:val="clear" w:color="auto" w:fill="FFFFFF" w:themeFill="background1"/>
        <w:autoSpaceDE w:val="0"/>
        <w:autoSpaceDN w:val="0"/>
        <w:adjustRightInd w:val="0"/>
        <w:ind w:firstLine="426"/>
        <w:jc w:val="both"/>
        <w:rPr>
          <w:color w:val="000000"/>
          <w:shd w:val="clear" w:color="auto" w:fill="E3E8E8"/>
        </w:rPr>
      </w:pPr>
      <w:r w:rsidRPr="00C74189">
        <w:rPr>
          <w:color w:val="000000"/>
          <w:shd w:val="clear" w:color="auto" w:fill="FFFFFF" w:themeFill="background1"/>
        </w:rPr>
        <w:t>- П</w:t>
      </w:r>
      <w:r w:rsidR="00C74189">
        <w:rPr>
          <w:color w:val="000000"/>
          <w:shd w:val="clear" w:color="auto" w:fill="FFFFFF" w:themeFill="background1"/>
        </w:rPr>
        <w:t xml:space="preserve">остановление </w:t>
      </w:r>
      <w:r w:rsidRPr="00C74189">
        <w:rPr>
          <w:color w:val="000000"/>
          <w:shd w:val="clear" w:color="auto" w:fill="FFFFFF" w:themeFill="background1"/>
        </w:rPr>
        <w:t>П</w:t>
      </w:r>
      <w:r w:rsidR="00C74189">
        <w:rPr>
          <w:color w:val="000000"/>
          <w:shd w:val="clear" w:color="auto" w:fill="FFFFFF" w:themeFill="background1"/>
        </w:rPr>
        <w:t xml:space="preserve">равительства </w:t>
      </w:r>
      <w:r w:rsidRPr="00C74189">
        <w:rPr>
          <w:color w:val="000000"/>
          <w:shd w:val="clear" w:color="auto" w:fill="FFFFFF" w:themeFill="background1"/>
        </w:rPr>
        <w:t>Ленинградской обл</w:t>
      </w:r>
      <w:r w:rsidR="00C74189">
        <w:rPr>
          <w:color w:val="000000"/>
          <w:shd w:val="clear" w:color="auto" w:fill="FFFFFF" w:themeFill="background1"/>
        </w:rPr>
        <w:t>асти</w:t>
      </w:r>
      <w:r w:rsidRPr="00C74189">
        <w:rPr>
          <w:color w:val="000000"/>
          <w:shd w:val="clear" w:color="auto" w:fill="FFFFFF" w:themeFill="background1"/>
        </w:rPr>
        <w:t xml:space="preserve"> от </w:t>
      </w:r>
      <w:r w:rsidR="00C74189">
        <w:rPr>
          <w:color w:val="000000"/>
          <w:shd w:val="clear" w:color="auto" w:fill="FFFFFF" w:themeFill="background1"/>
        </w:rPr>
        <w:t xml:space="preserve">24.03.2022г. №179, от </w:t>
      </w:r>
      <w:r w:rsidRPr="00C74189">
        <w:rPr>
          <w:color w:val="000000"/>
          <w:shd w:val="clear" w:color="auto" w:fill="FFFFFF" w:themeFill="background1"/>
        </w:rPr>
        <w:t xml:space="preserve">18.04.2022 № 246, от 25.05.2022 № 346, от 01.06.2022 № 363, от 21.06.2022 № 414, </w:t>
      </w:r>
      <w:proofErr w:type="gramStart"/>
      <w:r w:rsidRPr="00C74189">
        <w:rPr>
          <w:color w:val="000000"/>
          <w:shd w:val="clear" w:color="auto" w:fill="FFFFFF" w:themeFill="background1"/>
        </w:rPr>
        <w:t>от</w:t>
      </w:r>
      <w:proofErr w:type="gramEnd"/>
      <w:r w:rsidRPr="00C74189">
        <w:rPr>
          <w:color w:val="000000"/>
          <w:shd w:val="clear" w:color="auto" w:fill="FFFFFF" w:themeFill="background1"/>
        </w:rPr>
        <w:t xml:space="preserve"> 23.06.2022 № 425, от 25.07.2022 № 521, от 04.08</w:t>
      </w:r>
      <w:r w:rsidR="00C74189" w:rsidRPr="00C74189">
        <w:rPr>
          <w:color w:val="000000"/>
          <w:shd w:val="clear" w:color="auto" w:fill="FFFFFF" w:themeFill="background1"/>
        </w:rPr>
        <w:t>.2022 № 557, от 18.01.2023 № 33</w:t>
      </w:r>
      <w:r w:rsidR="00C74189">
        <w:rPr>
          <w:color w:val="000000"/>
          <w:shd w:val="clear" w:color="auto" w:fill="E3E8E8"/>
        </w:rPr>
        <w:t>.</w:t>
      </w:r>
    </w:p>
    <w:p w:rsidR="003D7709" w:rsidRPr="004117FC" w:rsidRDefault="003D7709" w:rsidP="003D7709">
      <w:pPr>
        <w:shd w:val="clear" w:color="auto" w:fill="FFFFFF" w:themeFill="background1"/>
        <w:autoSpaceDE w:val="0"/>
        <w:autoSpaceDN w:val="0"/>
        <w:adjustRightInd w:val="0"/>
        <w:ind w:firstLine="426"/>
        <w:jc w:val="both"/>
      </w:pPr>
      <w:r w:rsidRPr="00C74189">
        <w:t xml:space="preserve">Особые правила заключения контрактов с единственными поставщиками являются временными и действуют </w:t>
      </w:r>
      <w:r w:rsidRPr="00C74189">
        <w:rPr>
          <w:b/>
        </w:rPr>
        <w:t>до конца 2023 года.</w:t>
      </w:r>
      <w:r w:rsidRPr="00C74189">
        <w:t xml:space="preserve"> Минфин, публикуя разъяснения к </w:t>
      </w:r>
      <w:r w:rsidR="00C74189" w:rsidRPr="00C74189">
        <w:t>П</w:t>
      </w:r>
      <w:r w:rsidRPr="00C74189">
        <w:t>остановле</w:t>
      </w:r>
      <w:r w:rsidR="00C74189" w:rsidRPr="00C74189">
        <w:t>нию №339</w:t>
      </w:r>
      <w:r w:rsidRPr="00C74189">
        <w:t xml:space="preserve">, отметил, что вводимые дополнительные основания для работы с единственными поставщиками позволяют заключать </w:t>
      </w:r>
      <w:proofErr w:type="spellStart"/>
      <w:r w:rsidRPr="00C74189">
        <w:t>госконтракты</w:t>
      </w:r>
      <w:proofErr w:type="spellEnd"/>
      <w:r w:rsidRPr="00C74189">
        <w:t xml:space="preserve"> более оперативно и минимизировать отрицательное влияние иностранных санкций на российскую экономику.</w:t>
      </w:r>
    </w:p>
    <w:p w:rsidR="000E47AC" w:rsidRDefault="000E47AC" w:rsidP="000E47AC">
      <w:pPr>
        <w:spacing w:line="120" w:lineRule="auto"/>
        <w:ind w:firstLine="425"/>
        <w:jc w:val="both"/>
      </w:pPr>
    </w:p>
    <w:p w:rsidR="000D0E51" w:rsidRDefault="000D0E51" w:rsidP="000A1040">
      <w:pPr>
        <w:ind w:firstLine="425"/>
        <w:jc w:val="both"/>
        <w:rPr>
          <w:i/>
        </w:rPr>
      </w:pPr>
      <w:r w:rsidRPr="002A618E">
        <w:t xml:space="preserve">В проверяемом периоде </w:t>
      </w:r>
      <w:r w:rsidR="006B2327" w:rsidRPr="002A618E">
        <w:t>2</w:t>
      </w:r>
      <w:r w:rsidR="00C74189" w:rsidRPr="002A618E">
        <w:t>022</w:t>
      </w:r>
      <w:r w:rsidR="006B2327" w:rsidRPr="002A618E">
        <w:t xml:space="preserve"> года </w:t>
      </w:r>
      <w:r w:rsidR="001E7C7B" w:rsidRPr="002A618E">
        <w:t xml:space="preserve">администрациями </w:t>
      </w:r>
      <w:r w:rsidR="00DB5669" w:rsidRPr="002A618E">
        <w:t>городск</w:t>
      </w:r>
      <w:r w:rsidR="001E7C7B" w:rsidRPr="002A618E">
        <w:t>их</w:t>
      </w:r>
      <w:r w:rsidR="00DB5669" w:rsidRPr="002A618E">
        <w:t xml:space="preserve"> и сельски</w:t>
      </w:r>
      <w:r w:rsidR="001E7C7B" w:rsidRPr="002A618E">
        <w:t>х</w:t>
      </w:r>
      <w:r w:rsidR="00DB5669" w:rsidRPr="002A618E">
        <w:t xml:space="preserve"> </w:t>
      </w:r>
      <w:r w:rsidR="006E4329" w:rsidRPr="002A618E">
        <w:t xml:space="preserve">поселениями Приозерского муниципального района </w:t>
      </w:r>
      <w:r w:rsidRPr="002A618E">
        <w:t xml:space="preserve"> мероприятия по осуществлению закупок исполнялись</w:t>
      </w:r>
      <w:r>
        <w:t xml:space="preserve"> </w:t>
      </w:r>
      <w:r w:rsidRPr="006A4869">
        <w:t xml:space="preserve">путем заключения </w:t>
      </w:r>
      <w:r w:rsidRPr="006A4869">
        <w:rPr>
          <w:i/>
        </w:rPr>
        <w:t>контрактов с единственным поставщиком на основании п</w:t>
      </w:r>
      <w:r>
        <w:rPr>
          <w:i/>
        </w:rPr>
        <w:t xml:space="preserve">унктов  </w:t>
      </w:r>
      <w:r w:rsidR="006E4329" w:rsidRPr="000C0410">
        <w:rPr>
          <w:b/>
        </w:rPr>
        <w:t>1,</w:t>
      </w:r>
      <w:r w:rsidR="00C0687B" w:rsidRPr="000C0410">
        <w:rPr>
          <w:b/>
        </w:rPr>
        <w:t xml:space="preserve"> </w:t>
      </w:r>
      <w:r w:rsidR="002D4A06">
        <w:rPr>
          <w:b/>
        </w:rPr>
        <w:t xml:space="preserve">2, </w:t>
      </w:r>
      <w:r w:rsidR="006E4329" w:rsidRPr="000C0410">
        <w:rPr>
          <w:b/>
        </w:rPr>
        <w:t>6</w:t>
      </w:r>
      <w:r w:rsidRPr="000C0410">
        <w:rPr>
          <w:b/>
        </w:rPr>
        <w:t>,</w:t>
      </w:r>
      <w:r w:rsidR="00C0687B" w:rsidRPr="000C0410">
        <w:rPr>
          <w:b/>
        </w:rPr>
        <w:t xml:space="preserve"> </w:t>
      </w:r>
      <w:r w:rsidR="006E4329" w:rsidRPr="000C0410">
        <w:rPr>
          <w:b/>
        </w:rPr>
        <w:t>8,</w:t>
      </w:r>
      <w:r w:rsidRPr="000C0410">
        <w:rPr>
          <w:b/>
        </w:rPr>
        <w:t xml:space="preserve"> </w:t>
      </w:r>
      <w:r w:rsidR="00C0687B" w:rsidRPr="000C0410">
        <w:rPr>
          <w:b/>
        </w:rPr>
        <w:t>22,</w:t>
      </w:r>
      <w:r w:rsidR="006B2327" w:rsidRPr="000C0410">
        <w:rPr>
          <w:b/>
        </w:rPr>
        <w:t>23,</w:t>
      </w:r>
      <w:r w:rsidR="00A96F2C" w:rsidRPr="000C0410">
        <w:rPr>
          <w:b/>
        </w:rPr>
        <w:t>29</w:t>
      </w:r>
      <w:r w:rsidR="00A96F2C">
        <w:rPr>
          <w:i/>
        </w:rPr>
        <w:t xml:space="preserve"> </w:t>
      </w:r>
      <w:r>
        <w:rPr>
          <w:i/>
        </w:rPr>
        <w:t xml:space="preserve"> части 1 статьи </w:t>
      </w:r>
      <w:r w:rsidRPr="006A4869">
        <w:rPr>
          <w:i/>
        </w:rPr>
        <w:t xml:space="preserve"> 93 Закона 44-ФЗ. </w:t>
      </w:r>
    </w:p>
    <w:p w:rsidR="00866234" w:rsidRPr="001B2B72" w:rsidRDefault="00A96F2C" w:rsidP="00FF0F3A">
      <w:pPr>
        <w:ind w:firstLine="425"/>
        <w:jc w:val="both"/>
      </w:pPr>
      <w:r w:rsidRPr="001B2B72">
        <w:t>Согласно данным ЕИС в 20</w:t>
      </w:r>
      <w:r w:rsidR="002D4A06">
        <w:t>22</w:t>
      </w:r>
      <w:r w:rsidRPr="001B2B72">
        <w:t xml:space="preserve"> году </w:t>
      </w:r>
      <w:r w:rsidR="006B2327" w:rsidRPr="001B2B72">
        <w:t xml:space="preserve">общий объем контрактов, заключенных  </w:t>
      </w:r>
      <w:r w:rsidRPr="001B2B72">
        <w:t xml:space="preserve">заказчиками </w:t>
      </w:r>
      <w:r w:rsidR="006B2327" w:rsidRPr="001B2B72">
        <w:t>с единственным поставщиком</w:t>
      </w:r>
      <w:r w:rsidR="00866234" w:rsidRPr="001B2B72">
        <w:t>, составил</w:t>
      </w:r>
      <w:r w:rsidR="00CE7C8F" w:rsidRPr="001B2B72">
        <w:t xml:space="preserve"> </w:t>
      </w:r>
      <w:r w:rsidR="00EF3FC0">
        <w:rPr>
          <w:b/>
        </w:rPr>
        <w:t>792 006,9</w:t>
      </w:r>
      <w:r w:rsidR="001B2B72">
        <w:rPr>
          <w:b/>
        </w:rPr>
        <w:t xml:space="preserve"> </w:t>
      </w:r>
      <w:r w:rsidR="00CE7C8F" w:rsidRPr="001B2B72">
        <w:rPr>
          <w:b/>
        </w:rPr>
        <w:t>тыс. руб</w:t>
      </w:r>
      <w:r w:rsidR="00CE7C8F" w:rsidRPr="001B2B72">
        <w:t xml:space="preserve">. </w:t>
      </w:r>
      <w:r w:rsidR="0000355D" w:rsidRPr="001B2B72">
        <w:t xml:space="preserve">с общим количеством – </w:t>
      </w:r>
      <w:r w:rsidR="002D4A06">
        <w:rPr>
          <w:b/>
        </w:rPr>
        <w:t xml:space="preserve">188 </w:t>
      </w:r>
      <w:r w:rsidR="0000355D" w:rsidRPr="001B2B72">
        <w:rPr>
          <w:b/>
        </w:rPr>
        <w:t>контрактов</w:t>
      </w:r>
      <w:r w:rsidR="0000355D" w:rsidRPr="001B2B72">
        <w:t>, из них:</w:t>
      </w:r>
    </w:p>
    <w:p w:rsidR="00B63C6E" w:rsidRPr="001B2B72" w:rsidRDefault="001B2B72" w:rsidP="00456F59">
      <w:pPr>
        <w:numPr>
          <w:ilvl w:val="0"/>
          <w:numId w:val="20"/>
        </w:numPr>
        <w:ind w:left="0" w:firstLine="425"/>
        <w:jc w:val="both"/>
        <w:rPr>
          <w:u w:val="single"/>
        </w:rPr>
      </w:pPr>
      <w:r w:rsidRPr="001B2B72">
        <w:rPr>
          <w:b/>
        </w:rPr>
        <w:t>8</w:t>
      </w:r>
      <w:r w:rsidR="002D4A06">
        <w:rPr>
          <w:b/>
        </w:rPr>
        <w:t>7</w:t>
      </w:r>
      <w:r w:rsidR="002F5CA5" w:rsidRPr="001B2B72">
        <w:rPr>
          <w:b/>
        </w:rPr>
        <w:t xml:space="preserve"> контрактов</w:t>
      </w:r>
      <w:r w:rsidR="002F5CA5" w:rsidRPr="001B2B72">
        <w:t xml:space="preserve"> общим объемом  </w:t>
      </w:r>
      <w:r w:rsidR="002D4A06">
        <w:rPr>
          <w:b/>
        </w:rPr>
        <w:t>356 463,</w:t>
      </w:r>
      <w:r w:rsidR="0023421E">
        <w:rPr>
          <w:b/>
        </w:rPr>
        <w:t>4</w:t>
      </w:r>
      <w:r w:rsidR="002D4A06">
        <w:rPr>
          <w:b/>
        </w:rPr>
        <w:t xml:space="preserve"> </w:t>
      </w:r>
      <w:r w:rsidR="002D4A06" w:rsidRPr="001B2B72">
        <w:rPr>
          <w:b/>
        </w:rPr>
        <w:t>тыс. руб</w:t>
      </w:r>
      <w:r w:rsidR="00EF3FC0">
        <w:rPr>
          <w:b/>
        </w:rPr>
        <w:t>.</w:t>
      </w:r>
      <w:r w:rsidR="002F5CA5" w:rsidRPr="001B2B72">
        <w:t xml:space="preserve"> (</w:t>
      </w:r>
      <w:r w:rsidR="00EF3FC0">
        <w:t>37,0</w:t>
      </w:r>
      <w:r w:rsidR="002F5CA5" w:rsidRPr="001B2B72">
        <w:t xml:space="preserve">% и </w:t>
      </w:r>
      <w:r w:rsidR="00EF3FC0">
        <w:t>38,7</w:t>
      </w:r>
      <w:r w:rsidR="002F5CA5" w:rsidRPr="001B2B72">
        <w:t xml:space="preserve">% от общего количества и объема заключенных </w:t>
      </w:r>
      <w:r w:rsidR="00B63C6E" w:rsidRPr="001B2B72">
        <w:t>в отчетном периоде контрактов</w:t>
      </w:r>
      <w:r w:rsidR="00312995" w:rsidRPr="001B2B72">
        <w:t xml:space="preserve"> соответственно</w:t>
      </w:r>
      <w:r w:rsidR="00B63C6E" w:rsidRPr="001B2B72">
        <w:t xml:space="preserve">) </w:t>
      </w:r>
      <w:r w:rsidR="00CF2CD7" w:rsidRPr="001B2B72">
        <w:t xml:space="preserve">- </w:t>
      </w:r>
      <w:r w:rsidR="00B63C6E" w:rsidRPr="001B2B72">
        <w:rPr>
          <w:u w:val="single"/>
        </w:rPr>
        <w:t xml:space="preserve">без учета контрактов, заключенных по результатам несостоявшихся конкурентных закупок; </w:t>
      </w:r>
    </w:p>
    <w:p w:rsidR="00866234" w:rsidRPr="00A3596C" w:rsidRDefault="00EF3FC0" w:rsidP="00456F59">
      <w:pPr>
        <w:numPr>
          <w:ilvl w:val="0"/>
          <w:numId w:val="20"/>
        </w:numPr>
        <w:spacing w:after="120" w:line="300" w:lineRule="exact"/>
        <w:ind w:left="0" w:firstLine="425"/>
        <w:jc w:val="both"/>
        <w:rPr>
          <w:u w:val="single"/>
        </w:rPr>
      </w:pPr>
      <w:r>
        <w:rPr>
          <w:b/>
        </w:rPr>
        <w:t>101</w:t>
      </w:r>
      <w:r w:rsidR="00B63C6E" w:rsidRPr="001B2B72">
        <w:rPr>
          <w:b/>
        </w:rPr>
        <w:t xml:space="preserve"> контракт</w:t>
      </w:r>
      <w:r w:rsidR="001B2B72">
        <w:rPr>
          <w:b/>
        </w:rPr>
        <w:t>ов</w:t>
      </w:r>
      <w:r w:rsidR="00B63C6E" w:rsidRPr="001B2B72">
        <w:t xml:space="preserve"> общим объемом </w:t>
      </w:r>
      <w:r>
        <w:t xml:space="preserve"> </w:t>
      </w:r>
      <w:r w:rsidRPr="00EF3FC0">
        <w:rPr>
          <w:b/>
        </w:rPr>
        <w:t>435 543,5</w:t>
      </w:r>
      <w:r w:rsidR="00B63C6E" w:rsidRPr="00EF3FC0">
        <w:rPr>
          <w:b/>
        </w:rPr>
        <w:t xml:space="preserve"> тыс</w:t>
      </w:r>
      <w:r w:rsidR="00B63C6E" w:rsidRPr="001B2B72">
        <w:rPr>
          <w:b/>
        </w:rPr>
        <w:t>. руб.</w:t>
      </w:r>
      <w:r w:rsidR="00B63C6E" w:rsidRPr="001B2B72">
        <w:t xml:space="preserve"> (</w:t>
      </w:r>
      <w:r>
        <w:t>43,0</w:t>
      </w:r>
      <w:r w:rsidR="00B63C6E" w:rsidRPr="001B2B72">
        <w:t xml:space="preserve">% </w:t>
      </w:r>
      <w:r w:rsidR="00312995" w:rsidRPr="001B2B72">
        <w:t xml:space="preserve">и </w:t>
      </w:r>
      <w:r>
        <w:t>47,3</w:t>
      </w:r>
      <w:r w:rsidR="00312995" w:rsidRPr="001B2B72">
        <w:t>% от общего количества и объема заключенных</w:t>
      </w:r>
      <w:r w:rsidR="00312995">
        <w:t xml:space="preserve"> в отчетном периоде контрактов соответственно)</w:t>
      </w:r>
      <w:r w:rsidR="00CF2CD7">
        <w:t xml:space="preserve"> - </w:t>
      </w:r>
      <w:r w:rsidR="00B63C6E" w:rsidRPr="00312995">
        <w:rPr>
          <w:u w:val="single"/>
        </w:rPr>
        <w:t xml:space="preserve"> контракт</w:t>
      </w:r>
      <w:r w:rsidR="00CF2CD7">
        <w:rPr>
          <w:u w:val="single"/>
        </w:rPr>
        <w:t>ы</w:t>
      </w:r>
      <w:r w:rsidR="00B63C6E" w:rsidRPr="00312995">
        <w:rPr>
          <w:u w:val="single"/>
        </w:rPr>
        <w:t>, заключенн</w:t>
      </w:r>
      <w:r w:rsidR="00CF2CD7">
        <w:rPr>
          <w:u w:val="single"/>
        </w:rPr>
        <w:t>ые</w:t>
      </w:r>
      <w:r w:rsidR="00B63C6E" w:rsidRPr="00312995">
        <w:rPr>
          <w:u w:val="single"/>
        </w:rPr>
        <w:t xml:space="preserve"> по результатам несостоявшихся конкурентных процеду</w:t>
      </w:r>
      <w:r w:rsidR="00312995" w:rsidRPr="00312995">
        <w:rPr>
          <w:u w:val="single"/>
        </w:rPr>
        <w:t>р.</w:t>
      </w:r>
    </w:p>
    <w:p w:rsidR="005218C2" w:rsidRDefault="005218C2" w:rsidP="005218C2">
      <w:pPr>
        <w:jc w:val="both"/>
      </w:pPr>
      <w:r>
        <w:t xml:space="preserve">      </w:t>
      </w:r>
      <w:r w:rsidR="00A3596C" w:rsidRPr="00A3596C">
        <w:t>В сравнении</w:t>
      </w:r>
      <w:r w:rsidR="00A3596C">
        <w:t xml:space="preserve"> с аналогичным показателем от</w:t>
      </w:r>
      <w:r w:rsidR="00CE7C8F">
        <w:t>четного периода 20</w:t>
      </w:r>
      <w:r w:rsidR="00EF3FC0">
        <w:t>21</w:t>
      </w:r>
      <w:r w:rsidR="00CE7C8F">
        <w:t xml:space="preserve"> года наблюдается </w:t>
      </w:r>
      <w:r w:rsidR="00EF3FC0">
        <w:t>увеличение</w:t>
      </w:r>
      <w:r w:rsidR="00CE7C8F">
        <w:t xml:space="preserve">  на  </w:t>
      </w:r>
      <w:r w:rsidR="00676DBB">
        <w:rPr>
          <w:b/>
        </w:rPr>
        <w:t>45,7</w:t>
      </w:r>
      <w:r w:rsidR="00CE7C8F" w:rsidRPr="00CE7C8F">
        <w:rPr>
          <w:b/>
        </w:rPr>
        <w:t>%</w:t>
      </w:r>
      <w:r w:rsidR="00CE7C8F">
        <w:t xml:space="preserve">  количества контрактов, заключенных с единственным поставщиком, при </w:t>
      </w:r>
      <w:r>
        <w:t xml:space="preserve">значительном </w:t>
      </w:r>
      <w:r w:rsidR="00676DBB">
        <w:t>росте</w:t>
      </w:r>
      <w:r>
        <w:t xml:space="preserve">  стоимостного объема на  </w:t>
      </w:r>
      <w:r w:rsidR="00676DBB">
        <w:t>630 937,4</w:t>
      </w:r>
      <w:r>
        <w:t xml:space="preserve"> тыс. руб. (на </w:t>
      </w:r>
      <w:r w:rsidR="00676DBB">
        <w:rPr>
          <w:b/>
        </w:rPr>
        <w:t xml:space="preserve">391,7% </w:t>
      </w:r>
      <w:r w:rsidR="00676DBB">
        <w:t>(почти в 5 раз</w:t>
      </w:r>
      <w:r>
        <w:t>)</w:t>
      </w:r>
      <w:r w:rsidR="00184CEB">
        <w:t>)</w:t>
      </w:r>
      <w:r>
        <w:t xml:space="preserve">.     </w:t>
      </w:r>
    </w:p>
    <w:p w:rsidR="00B126EB" w:rsidRPr="00CE7C8F" w:rsidRDefault="00CE7C8F" w:rsidP="00CE7C8F">
      <w:pPr>
        <w:ind w:firstLine="425"/>
        <w:jc w:val="both"/>
      </w:pPr>
      <w:r w:rsidRPr="00CE7C8F">
        <w:t>Для сравнения в 20</w:t>
      </w:r>
      <w:r w:rsidR="00676DBB">
        <w:t>21</w:t>
      </w:r>
      <w:r w:rsidRPr="00CE7C8F">
        <w:t xml:space="preserve"> году </w:t>
      </w:r>
      <w:r>
        <w:t xml:space="preserve">объем закупок у единственного поставщика составлял </w:t>
      </w:r>
      <w:r w:rsidR="00676DBB">
        <w:t>161 069,5</w:t>
      </w:r>
      <w:r>
        <w:t xml:space="preserve"> тыс. руб.</w:t>
      </w:r>
      <w:proofErr w:type="gramStart"/>
      <w:r>
        <w:t xml:space="preserve"> ,</w:t>
      </w:r>
      <w:proofErr w:type="gramEnd"/>
      <w:r>
        <w:t xml:space="preserve"> было заключено по итогам 20</w:t>
      </w:r>
      <w:r w:rsidR="00676DBB">
        <w:t>21</w:t>
      </w:r>
      <w:r>
        <w:t xml:space="preserve"> года </w:t>
      </w:r>
      <w:r w:rsidR="0000355D">
        <w:t xml:space="preserve">- </w:t>
      </w:r>
      <w:r w:rsidR="00676DBB">
        <w:t>129</w:t>
      </w:r>
      <w:r>
        <w:t xml:space="preserve"> контракт</w:t>
      </w:r>
      <w:r w:rsidR="005218C2">
        <w:t>ов</w:t>
      </w:r>
      <w:r>
        <w:t>).</w:t>
      </w:r>
    </w:p>
    <w:p w:rsidR="00976739" w:rsidRDefault="00976739" w:rsidP="00976739">
      <w:pPr>
        <w:ind w:firstLine="425"/>
        <w:jc w:val="both"/>
      </w:pPr>
      <w:proofErr w:type="gramStart"/>
      <w:r w:rsidRPr="00573DCC">
        <w:rPr>
          <w:i/>
        </w:rPr>
        <w:t>Указанное</w:t>
      </w:r>
      <w:proofErr w:type="gramEnd"/>
      <w:r w:rsidRPr="00573DCC">
        <w:rPr>
          <w:i/>
        </w:rPr>
        <w:t xml:space="preserve">, в том числе, обусловлено вступившими в силу изменениями законодательства о контрактной системе в части введения специальных </w:t>
      </w:r>
      <w:proofErr w:type="spellStart"/>
      <w:r w:rsidRPr="00573DCC">
        <w:rPr>
          <w:i/>
        </w:rPr>
        <w:t>антисанкционных</w:t>
      </w:r>
      <w:proofErr w:type="spellEnd"/>
      <w:r w:rsidRPr="00573DCC">
        <w:rPr>
          <w:i/>
        </w:rPr>
        <w:t xml:space="preserve"> мер по нивелированию негативных последствий от введения иностранными государствами санкций, предусматривающими возможность осуществления заказчиками закупок у единственного поставщика (подрядчика, исполнителя).</w:t>
      </w:r>
      <w:r w:rsidR="00573DCC">
        <w:rPr>
          <w:i/>
        </w:rPr>
        <w:t xml:space="preserve"> </w:t>
      </w:r>
      <w:r w:rsidR="00573DCC" w:rsidRPr="00573DCC">
        <w:t>Возможность осуществления закупок в соответствии со ст. 15 Федерального закона от 08.03.2022 № 46-ФЗ, либо п. 2 ч. 1 ст. 93 Закона № 44-ФЗ</w:t>
      </w:r>
      <w:r w:rsidR="00573DCC">
        <w:t>.</w:t>
      </w:r>
    </w:p>
    <w:p w:rsidR="00573DCC" w:rsidRPr="00573DCC" w:rsidRDefault="00573DCC" w:rsidP="00976739">
      <w:pPr>
        <w:ind w:firstLine="425"/>
        <w:jc w:val="both"/>
        <w:rPr>
          <w:i/>
        </w:rPr>
      </w:pPr>
    </w:p>
    <w:p w:rsidR="00CE7C8F" w:rsidRDefault="00596FCC" w:rsidP="008B786A">
      <w:pPr>
        <w:ind w:firstLine="425"/>
        <w:jc w:val="center"/>
      </w:pPr>
      <w:r w:rsidRPr="00CF50CA">
        <w:rPr>
          <w:i/>
        </w:rPr>
        <w:t xml:space="preserve">Сведения о распределении закупок у единственного поставщика </w:t>
      </w:r>
      <w:r w:rsidR="0000355D">
        <w:rPr>
          <w:i/>
        </w:rPr>
        <w:t>в разрезе оснований,</w:t>
      </w:r>
      <w:proofErr w:type="gramStart"/>
      <w:r w:rsidR="0000355D">
        <w:rPr>
          <w:i/>
        </w:rPr>
        <w:t xml:space="preserve"> ,</w:t>
      </w:r>
      <w:proofErr w:type="gramEnd"/>
      <w:r w:rsidR="0000355D">
        <w:rPr>
          <w:i/>
        </w:rPr>
        <w:t xml:space="preserve"> в разрезе оснований, предусмотренных статьей 93 Закона №44-ФЗ  </w:t>
      </w:r>
      <w:r w:rsidR="006D407B">
        <w:rPr>
          <w:i/>
        </w:rPr>
        <w:t xml:space="preserve">представлены </w:t>
      </w:r>
      <w:r w:rsidR="008B786A">
        <w:rPr>
          <w:i/>
        </w:rPr>
        <w:t xml:space="preserve">в Таблице </w:t>
      </w:r>
      <w:r w:rsidR="0000355D">
        <w:rPr>
          <w:i/>
        </w:rPr>
        <w:t>7</w:t>
      </w:r>
      <w:r w:rsidR="006D407B">
        <w:rPr>
          <w:i/>
        </w:rPr>
        <w:t xml:space="preserve"> :</w:t>
      </w:r>
      <w:r w:rsidR="008B786A">
        <w:t xml:space="preserve">       </w:t>
      </w:r>
    </w:p>
    <w:p w:rsidR="00CF50CA" w:rsidRPr="00D00D65" w:rsidRDefault="008B786A" w:rsidP="00D00D65">
      <w:pPr>
        <w:autoSpaceDE w:val="0"/>
        <w:autoSpaceDN w:val="0"/>
        <w:adjustRightInd w:val="0"/>
        <w:rPr>
          <w:rFonts w:eastAsia="Calibri"/>
          <w:b/>
          <w:color w:val="000000"/>
          <w:sz w:val="20"/>
          <w:szCs w:val="20"/>
        </w:rPr>
      </w:pPr>
      <w:r>
        <w:t xml:space="preserve">  </w:t>
      </w:r>
      <w:r w:rsidR="0000355D" w:rsidRPr="008A7BFF">
        <w:rPr>
          <w:rFonts w:eastAsia="Calibri"/>
          <w:b/>
          <w:color w:val="000000"/>
          <w:sz w:val="20"/>
          <w:szCs w:val="20"/>
        </w:rPr>
        <w:t xml:space="preserve">Таблица </w:t>
      </w:r>
      <w:r w:rsidR="0000355D">
        <w:rPr>
          <w:rFonts w:eastAsia="Calibri"/>
          <w:b/>
          <w:color w:val="000000"/>
          <w:sz w:val="20"/>
          <w:szCs w:val="20"/>
        </w:rPr>
        <w:t>7</w:t>
      </w:r>
      <w:r w:rsidRPr="00D00D65">
        <w:rPr>
          <w:rFonts w:eastAsia="Calibri"/>
          <w:b/>
          <w:color w:val="000000"/>
          <w:sz w:val="20"/>
          <w:szCs w:val="20"/>
        </w:rPr>
        <w:t xml:space="preserve"> </w:t>
      </w:r>
      <w:r w:rsidR="00D00D65" w:rsidRPr="00D00D65">
        <w:rPr>
          <w:rFonts w:eastAsia="Calibri"/>
          <w:b/>
          <w:color w:val="000000"/>
          <w:sz w:val="20"/>
          <w:szCs w:val="20"/>
        </w:rPr>
        <w:t xml:space="preserve">                                                                                                                 </w:t>
      </w:r>
      <w:r w:rsidR="00D00D65">
        <w:rPr>
          <w:rFonts w:eastAsia="Calibri"/>
          <w:b/>
          <w:color w:val="000000"/>
          <w:sz w:val="20"/>
          <w:szCs w:val="20"/>
        </w:rPr>
        <w:t xml:space="preserve">                                   </w:t>
      </w:r>
      <w:r w:rsidR="00D00D65" w:rsidRPr="00D00D65">
        <w:rPr>
          <w:rFonts w:eastAsia="Calibri"/>
          <w:b/>
          <w:color w:val="000000"/>
          <w:sz w:val="20"/>
          <w:szCs w:val="20"/>
        </w:rPr>
        <w:t xml:space="preserve"> тыс. руб.</w:t>
      </w:r>
    </w:p>
    <w:p w:rsidR="00D00D65" w:rsidRDefault="00D00D65" w:rsidP="00A03666">
      <w:pPr>
        <w:autoSpaceDE w:val="0"/>
        <w:autoSpaceDN w:val="0"/>
        <w:adjustRightInd w:val="0"/>
        <w:ind w:left="1277"/>
        <w:jc w:val="right"/>
      </w:pPr>
    </w:p>
    <w:p w:rsidR="00D00D65" w:rsidRDefault="00D00D65" w:rsidP="00A03666">
      <w:pPr>
        <w:autoSpaceDE w:val="0"/>
        <w:autoSpaceDN w:val="0"/>
        <w:adjustRightInd w:val="0"/>
        <w:ind w:left="1277"/>
        <w:jc w:val="right"/>
      </w:pPr>
    </w:p>
    <w:p w:rsidR="00D00D65" w:rsidRDefault="00D00D65" w:rsidP="00A03666">
      <w:pPr>
        <w:autoSpaceDE w:val="0"/>
        <w:autoSpaceDN w:val="0"/>
        <w:adjustRightInd w:val="0"/>
        <w:ind w:left="1277"/>
        <w:jc w:val="right"/>
      </w:pPr>
    </w:p>
    <w:p w:rsidR="00D00D65" w:rsidRDefault="00D00D65" w:rsidP="00A03666">
      <w:pPr>
        <w:autoSpaceDE w:val="0"/>
        <w:autoSpaceDN w:val="0"/>
        <w:adjustRightInd w:val="0"/>
        <w:ind w:left="1277"/>
        <w:jc w:val="right"/>
      </w:pPr>
    </w:p>
    <w:tbl>
      <w:tblPr>
        <w:tblpPr w:leftFromText="180" w:rightFromText="180" w:vertAnchor="text" w:horzAnchor="margin" w:tblpXSpec="center" w:tblpY="254"/>
        <w:tblW w:w="9301" w:type="dxa"/>
        <w:tblLayout w:type="fixed"/>
        <w:tblLook w:val="00A0" w:firstRow="1" w:lastRow="0" w:firstColumn="1" w:lastColumn="0" w:noHBand="0" w:noVBand="0"/>
      </w:tblPr>
      <w:tblGrid>
        <w:gridCol w:w="312"/>
        <w:gridCol w:w="4111"/>
        <w:gridCol w:w="1275"/>
        <w:gridCol w:w="1276"/>
        <w:gridCol w:w="1276"/>
        <w:gridCol w:w="1051"/>
      </w:tblGrid>
      <w:tr w:rsidR="00555EB2" w:rsidRPr="00C80AAE" w:rsidTr="00125874">
        <w:trPr>
          <w:trHeight w:val="253"/>
          <w:tblHeader/>
        </w:trPr>
        <w:tc>
          <w:tcPr>
            <w:tcW w:w="312" w:type="dxa"/>
            <w:vMerge w:val="restart"/>
            <w:tcBorders>
              <w:top w:val="single" w:sz="8" w:space="0" w:color="auto"/>
              <w:left w:val="single" w:sz="8" w:space="0" w:color="auto"/>
              <w:bottom w:val="single" w:sz="8" w:space="0" w:color="000000"/>
              <w:right w:val="single" w:sz="4" w:space="0" w:color="auto"/>
            </w:tcBorders>
            <w:shd w:val="clear" w:color="auto" w:fill="EEECE1" w:themeFill="background2"/>
            <w:tcMar>
              <w:top w:w="0" w:type="dxa"/>
              <w:left w:w="28" w:type="dxa"/>
              <w:bottom w:w="0" w:type="dxa"/>
              <w:right w:w="28" w:type="dxa"/>
            </w:tcMar>
          </w:tcPr>
          <w:p w:rsidR="00CF50CA" w:rsidRDefault="00CF50CA" w:rsidP="00125874">
            <w:pPr>
              <w:pStyle w:val="Default"/>
              <w:ind w:left="66" w:firstLine="34"/>
              <w:jc w:val="center"/>
              <w:rPr>
                <w:rFonts w:ascii="Times New Roman" w:hAnsi="Times New Roman" w:cs="Times New Roman"/>
                <w:b/>
                <w:bCs/>
                <w:sz w:val="20"/>
                <w:szCs w:val="20"/>
              </w:rPr>
            </w:pPr>
          </w:p>
          <w:p w:rsidR="00CF50CA" w:rsidRPr="007708C9" w:rsidRDefault="00CF50CA" w:rsidP="00125874">
            <w:pPr>
              <w:pStyle w:val="Default"/>
              <w:jc w:val="center"/>
              <w:rPr>
                <w:rFonts w:ascii="Times New Roman" w:eastAsia="Times New Roman" w:hAnsi="Times New Roman" w:cs="Times New Roman"/>
                <w:color w:val="auto"/>
                <w:sz w:val="16"/>
                <w:szCs w:val="16"/>
              </w:rPr>
            </w:pPr>
            <w:r w:rsidRPr="007708C9">
              <w:rPr>
                <w:rFonts w:ascii="Times New Roman" w:hAnsi="Times New Roman" w:cs="Times New Roman"/>
                <w:b/>
                <w:bCs/>
                <w:sz w:val="16"/>
                <w:szCs w:val="16"/>
              </w:rPr>
              <w:t>№</w:t>
            </w:r>
            <w:r>
              <w:rPr>
                <w:rFonts w:ascii="Times New Roman" w:hAnsi="Times New Roman" w:cs="Times New Roman"/>
                <w:b/>
                <w:bCs/>
                <w:sz w:val="16"/>
                <w:szCs w:val="16"/>
              </w:rPr>
              <w:t xml:space="preserve"> </w:t>
            </w:r>
            <w:proofErr w:type="spellStart"/>
            <w:r w:rsidRPr="007708C9">
              <w:rPr>
                <w:rFonts w:ascii="Times New Roman" w:hAnsi="Times New Roman" w:cs="Times New Roman"/>
                <w:b/>
                <w:bCs/>
                <w:sz w:val="16"/>
                <w:szCs w:val="16"/>
              </w:rPr>
              <w:t>пп</w:t>
            </w:r>
            <w:proofErr w:type="spellEnd"/>
          </w:p>
        </w:tc>
        <w:tc>
          <w:tcPr>
            <w:tcW w:w="4111" w:type="dxa"/>
            <w:vMerge w:val="restart"/>
            <w:tcBorders>
              <w:top w:val="single" w:sz="4" w:space="0" w:color="auto"/>
              <w:left w:val="single" w:sz="4" w:space="0" w:color="auto"/>
              <w:bottom w:val="single" w:sz="8" w:space="0" w:color="000000"/>
              <w:right w:val="single" w:sz="4" w:space="0" w:color="auto"/>
            </w:tcBorders>
            <w:shd w:val="clear" w:color="auto" w:fill="EEECE1" w:themeFill="background2"/>
          </w:tcPr>
          <w:p w:rsidR="00CF50CA" w:rsidRPr="00CF50CA" w:rsidRDefault="00CF50CA" w:rsidP="00125874">
            <w:pPr>
              <w:pStyle w:val="Default"/>
              <w:jc w:val="center"/>
              <w:rPr>
                <w:rFonts w:ascii="Times New Roman" w:hAnsi="Times New Roman" w:cs="Times New Roman"/>
                <w:b/>
                <w:bCs/>
                <w:sz w:val="18"/>
                <w:szCs w:val="18"/>
              </w:rPr>
            </w:pPr>
            <w:r w:rsidRPr="00CF50CA">
              <w:rPr>
                <w:rFonts w:ascii="Times New Roman" w:hAnsi="Times New Roman" w:cs="Times New Roman"/>
                <w:b/>
                <w:bCs/>
                <w:sz w:val="18"/>
                <w:szCs w:val="18"/>
              </w:rPr>
              <w:t xml:space="preserve">Основание для заключения контракта с единственным поставщиком </w:t>
            </w:r>
          </w:p>
          <w:p w:rsidR="00CF50CA" w:rsidRPr="00CF50CA" w:rsidRDefault="00CF50CA" w:rsidP="00125874">
            <w:pPr>
              <w:pStyle w:val="Default"/>
              <w:jc w:val="center"/>
              <w:rPr>
                <w:rFonts w:ascii="Times New Roman" w:eastAsia="Times New Roman" w:hAnsi="Times New Roman" w:cs="Times New Roman"/>
                <w:color w:val="auto"/>
                <w:sz w:val="18"/>
                <w:szCs w:val="18"/>
              </w:rPr>
            </w:pPr>
            <w:r w:rsidRPr="00CF50CA">
              <w:rPr>
                <w:rFonts w:ascii="Times New Roman" w:hAnsi="Times New Roman" w:cs="Times New Roman"/>
                <w:b/>
                <w:bCs/>
                <w:sz w:val="18"/>
                <w:szCs w:val="18"/>
              </w:rPr>
              <w:t>(подрядчиком, исполнителем)</w:t>
            </w:r>
          </w:p>
        </w:tc>
        <w:tc>
          <w:tcPr>
            <w:tcW w:w="1275" w:type="dxa"/>
            <w:vMerge w:val="restart"/>
            <w:tcBorders>
              <w:top w:val="single" w:sz="8" w:space="0" w:color="auto"/>
              <w:left w:val="nil"/>
              <w:right w:val="single" w:sz="4" w:space="0" w:color="auto"/>
            </w:tcBorders>
            <w:shd w:val="clear" w:color="auto" w:fill="EEECE1" w:themeFill="background2"/>
            <w:tcMar>
              <w:top w:w="0" w:type="dxa"/>
              <w:left w:w="28" w:type="dxa"/>
              <w:bottom w:w="0" w:type="dxa"/>
              <w:right w:w="28" w:type="dxa"/>
            </w:tcMar>
          </w:tcPr>
          <w:p w:rsidR="00CF50CA" w:rsidRPr="00CF50CA" w:rsidRDefault="00CF50CA" w:rsidP="00125874">
            <w:pPr>
              <w:jc w:val="center"/>
              <w:rPr>
                <w:rFonts w:eastAsia="Calibri"/>
                <w:b/>
                <w:bCs/>
                <w:color w:val="000000"/>
                <w:sz w:val="18"/>
                <w:szCs w:val="18"/>
              </w:rPr>
            </w:pPr>
            <w:r w:rsidRPr="00CF50CA">
              <w:rPr>
                <w:rFonts w:eastAsia="Calibri"/>
                <w:b/>
                <w:bCs/>
                <w:color w:val="000000"/>
                <w:sz w:val="18"/>
                <w:szCs w:val="18"/>
              </w:rPr>
              <w:t xml:space="preserve">Количество </w:t>
            </w:r>
            <w:r w:rsidR="0000355D">
              <w:rPr>
                <w:rFonts w:eastAsia="Calibri"/>
                <w:b/>
                <w:bCs/>
                <w:color w:val="000000"/>
                <w:sz w:val="18"/>
                <w:szCs w:val="18"/>
              </w:rPr>
              <w:t>контрактов</w:t>
            </w:r>
            <w:r w:rsidRPr="00CF50CA">
              <w:rPr>
                <w:rFonts w:eastAsia="Calibri"/>
                <w:b/>
                <w:bCs/>
                <w:color w:val="000000"/>
                <w:sz w:val="18"/>
                <w:szCs w:val="18"/>
              </w:rPr>
              <w:t xml:space="preserve">            шт.</w:t>
            </w:r>
          </w:p>
        </w:tc>
        <w:tc>
          <w:tcPr>
            <w:tcW w:w="1276" w:type="dxa"/>
            <w:vMerge w:val="restart"/>
            <w:tcBorders>
              <w:top w:val="single" w:sz="8" w:space="0" w:color="auto"/>
              <w:left w:val="nil"/>
              <w:right w:val="single" w:sz="4" w:space="0" w:color="auto"/>
            </w:tcBorders>
            <w:shd w:val="clear" w:color="auto" w:fill="EEECE1" w:themeFill="background2"/>
          </w:tcPr>
          <w:p w:rsidR="00CF50CA" w:rsidRPr="0000355D" w:rsidRDefault="0000355D" w:rsidP="00125874">
            <w:pPr>
              <w:jc w:val="center"/>
              <w:rPr>
                <w:rFonts w:eastAsia="Calibri"/>
                <w:b/>
                <w:bCs/>
                <w:color w:val="000000"/>
                <w:sz w:val="16"/>
                <w:szCs w:val="16"/>
              </w:rPr>
            </w:pPr>
            <w:r w:rsidRPr="0000355D">
              <w:rPr>
                <w:rFonts w:eastAsia="Calibri"/>
                <w:b/>
                <w:bCs/>
                <w:color w:val="000000"/>
                <w:sz w:val="16"/>
                <w:szCs w:val="16"/>
              </w:rPr>
              <w:t xml:space="preserve">Удельный вес в общем </w:t>
            </w:r>
            <w:r w:rsidR="00B45EE4">
              <w:rPr>
                <w:rFonts w:eastAsia="Calibri"/>
                <w:b/>
                <w:bCs/>
                <w:color w:val="000000"/>
                <w:sz w:val="16"/>
                <w:szCs w:val="16"/>
              </w:rPr>
              <w:t>количестве</w:t>
            </w:r>
            <w:r w:rsidRPr="0000355D">
              <w:rPr>
                <w:rFonts w:eastAsia="Calibri"/>
                <w:b/>
                <w:bCs/>
                <w:color w:val="000000"/>
                <w:sz w:val="16"/>
                <w:szCs w:val="16"/>
              </w:rPr>
              <w:t xml:space="preserve"> контрактов с  ед. поставщиком</w:t>
            </w:r>
            <w:r>
              <w:rPr>
                <w:rFonts w:eastAsia="Calibri"/>
                <w:b/>
                <w:bCs/>
                <w:color w:val="000000"/>
                <w:sz w:val="16"/>
                <w:szCs w:val="16"/>
              </w:rPr>
              <w:t>,     %</w:t>
            </w:r>
          </w:p>
        </w:tc>
        <w:tc>
          <w:tcPr>
            <w:tcW w:w="1276" w:type="dxa"/>
            <w:vMerge w:val="restart"/>
            <w:tcBorders>
              <w:top w:val="single" w:sz="8" w:space="0" w:color="auto"/>
              <w:left w:val="nil"/>
              <w:right w:val="single" w:sz="4" w:space="0" w:color="auto"/>
            </w:tcBorders>
            <w:shd w:val="clear" w:color="auto" w:fill="EEECE1" w:themeFill="background2"/>
          </w:tcPr>
          <w:p w:rsidR="00CF50CA" w:rsidRDefault="0000355D" w:rsidP="00125874">
            <w:pPr>
              <w:jc w:val="center"/>
              <w:rPr>
                <w:rFonts w:eastAsia="Calibri"/>
                <w:b/>
                <w:bCs/>
                <w:color w:val="000000"/>
                <w:sz w:val="18"/>
                <w:szCs w:val="18"/>
              </w:rPr>
            </w:pPr>
            <w:r>
              <w:rPr>
                <w:rFonts w:eastAsia="Calibri"/>
                <w:b/>
                <w:bCs/>
                <w:color w:val="000000"/>
                <w:sz w:val="18"/>
                <w:szCs w:val="18"/>
              </w:rPr>
              <w:t>Цена контрактов</w:t>
            </w:r>
          </w:p>
          <w:p w:rsidR="00CF50CA" w:rsidRPr="00CF50CA" w:rsidRDefault="00CF50CA" w:rsidP="00125874">
            <w:pPr>
              <w:jc w:val="center"/>
              <w:rPr>
                <w:rFonts w:eastAsia="Calibri"/>
                <w:b/>
                <w:bCs/>
                <w:color w:val="000000"/>
                <w:sz w:val="18"/>
                <w:szCs w:val="18"/>
              </w:rPr>
            </w:pPr>
            <w:r>
              <w:rPr>
                <w:rFonts w:eastAsia="Calibri"/>
                <w:b/>
                <w:bCs/>
                <w:color w:val="000000"/>
                <w:sz w:val="18"/>
                <w:szCs w:val="18"/>
              </w:rPr>
              <w:t>тыс. руб.</w:t>
            </w:r>
          </w:p>
        </w:tc>
        <w:tc>
          <w:tcPr>
            <w:tcW w:w="1051" w:type="dxa"/>
            <w:vMerge w:val="restart"/>
            <w:tcBorders>
              <w:top w:val="single" w:sz="8" w:space="0" w:color="auto"/>
              <w:left w:val="nil"/>
              <w:right w:val="single" w:sz="4" w:space="0" w:color="auto"/>
            </w:tcBorders>
            <w:shd w:val="clear" w:color="auto" w:fill="EEECE1" w:themeFill="background2"/>
          </w:tcPr>
          <w:p w:rsidR="00CF50CA" w:rsidRPr="00CF50CA" w:rsidRDefault="0000355D" w:rsidP="00125874">
            <w:pPr>
              <w:jc w:val="center"/>
              <w:rPr>
                <w:rFonts w:eastAsia="Calibri"/>
                <w:b/>
                <w:bCs/>
                <w:color w:val="000000"/>
                <w:sz w:val="18"/>
                <w:szCs w:val="18"/>
              </w:rPr>
            </w:pPr>
            <w:r w:rsidRPr="0000355D">
              <w:rPr>
                <w:rFonts w:eastAsia="Calibri"/>
                <w:b/>
                <w:bCs/>
                <w:color w:val="000000"/>
                <w:sz w:val="16"/>
                <w:szCs w:val="16"/>
              </w:rPr>
              <w:t>Удельный вес в общем объеме контрактов с  ед. пост</w:t>
            </w:r>
            <w:r w:rsidR="00184CEB">
              <w:rPr>
                <w:rFonts w:eastAsia="Calibri"/>
                <w:b/>
                <w:bCs/>
                <w:color w:val="000000"/>
                <w:sz w:val="16"/>
                <w:szCs w:val="16"/>
              </w:rPr>
              <w:t>.</w:t>
            </w:r>
            <w:r>
              <w:rPr>
                <w:rFonts w:eastAsia="Calibri"/>
                <w:b/>
                <w:bCs/>
                <w:color w:val="000000"/>
                <w:sz w:val="16"/>
                <w:szCs w:val="16"/>
              </w:rPr>
              <w:t xml:space="preserve">                 %</w:t>
            </w:r>
          </w:p>
        </w:tc>
      </w:tr>
      <w:tr w:rsidR="00555EB2" w:rsidRPr="002B7FA2" w:rsidTr="00125874">
        <w:trPr>
          <w:trHeight w:val="419"/>
          <w:tblHeader/>
        </w:trPr>
        <w:tc>
          <w:tcPr>
            <w:tcW w:w="312" w:type="dxa"/>
            <w:vMerge/>
            <w:tcBorders>
              <w:top w:val="single" w:sz="8" w:space="0" w:color="auto"/>
              <w:left w:val="single" w:sz="8" w:space="0" w:color="auto"/>
              <w:bottom w:val="single" w:sz="8" w:space="0" w:color="000000"/>
              <w:right w:val="single" w:sz="4" w:space="0" w:color="auto"/>
            </w:tcBorders>
            <w:shd w:val="clear" w:color="auto" w:fill="EEECE1" w:themeFill="background2"/>
            <w:vAlign w:val="center"/>
          </w:tcPr>
          <w:p w:rsidR="00CF50CA" w:rsidRPr="002B7FA2" w:rsidRDefault="00CF50CA" w:rsidP="00125874">
            <w:pPr>
              <w:rPr>
                <w:b/>
                <w:bCs/>
                <w:sz w:val="18"/>
                <w:szCs w:val="20"/>
              </w:rPr>
            </w:pPr>
          </w:p>
        </w:tc>
        <w:tc>
          <w:tcPr>
            <w:tcW w:w="4111" w:type="dxa"/>
            <w:vMerge/>
            <w:tcBorders>
              <w:top w:val="single" w:sz="8" w:space="0" w:color="auto"/>
              <w:left w:val="single" w:sz="4" w:space="0" w:color="auto"/>
              <w:bottom w:val="single" w:sz="8" w:space="0" w:color="000000"/>
              <w:right w:val="single" w:sz="4" w:space="0" w:color="auto"/>
            </w:tcBorders>
            <w:shd w:val="clear" w:color="auto" w:fill="EEECE1" w:themeFill="background2"/>
            <w:vAlign w:val="center"/>
          </w:tcPr>
          <w:p w:rsidR="00CF50CA" w:rsidRPr="002B7FA2" w:rsidRDefault="00CF50CA" w:rsidP="00125874">
            <w:pPr>
              <w:rPr>
                <w:b/>
                <w:bCs/>
                <w:sz w:val="18"/>
                <w:szCs w:val="20"/>
              </w:rPr>
            </w:pPr>
          </w:p>
        </w:tc>
        <w:tc>
          <w:tcPr>
            <w:tcW w:w="1275" w:type="dxa"/>
            <w:vMerge/>
            <w:tcBorders>
              <w:left w:val="nil"/>
              <w:bottom w:val="single" w:sz="8" w:space="0" w:color="auto"/>
              <w:right w:val="single" w:sz="4" w:space="0" w:color="auto"/>
            </w:tcBorders>
            <w:shd w:val="clear" w:color="auto" w:fill="EEECE1" w:themeFill="background2"/>
            <w:tcMar>
              <w:top w:w="0" w:type="dxa"/>
              <w:left w:w="28" w:type="dxa"/>
              <w:bottom w:w="0" w:type="dxa"/>
              <w:right w:w="28" w:type="dxa"/>
            </w:tcMar>
            <w:vAlign w:val="center"/>
          </w:tcPr>
          <w:p w:rsidR="00CF50CA" w:rsidRPr="002B7FA2" w:rsidRDefault="00CF50CA" w:rsidP="00125874">
            <w:pPr>
              <w:jc w:val="center"/>
              <w:rPr>
                <w:b/>
                <w:bCs/>
                <w:sz w:val="18"/>
                <w:szCs w:val="20"/>
              </w:rPr>
            </w:pPr>
          </w:p>
        </w:tc>
        <w:tc>
          <w:tcPr>
            <w:tcW w:w="1276" w:type="dxa"/>
            <w:vMerge/>
            <w:tcBorders>
              <w:left w:val="nil"/>
              <w:bottom w:val="single" w:sz="8" w:space="0" w:color="auto"/>
              <w:right w:val="single" w:sz="4" w:space="0" w:color="auto"/>
            </w:tcBorders>
            <w:shd w:val="clear" w:color="auto" w:fill="EEECE1" w:themeFill="background2"/>
            <w:vAlign w:val="center"/>
          </w:tcPr>
          <w:p w:rsidR="00CF50CA" w:rsidRPr="002B7FA2" w:rsidRDefault="00CF50CA" w:rsidP="00125874">
            <w:pPr>
              <w:jc w:val="center"/>
              <w:rPr>
                <w:b/>
                <w:bCs/>
                <w:sz w:val="18"/>
                <w:szCs w:val="20"/>
              </w:rPr>
            </w:pPr>
          </w:p>
        </w:tc>
        <w:tc>
          <w:tcPr>
            <w:tcW w:w="1276" w:type="dxa"/>
            <w:vMerge/>
            <w:tcBorders>
              <w:left w:val="nil"/>
              <w:bottom w:val="single" w:sz="8" w:space="0" w:color="auto"/>
              <w:right w:val="single" w:sz="4" w:space="0" w:color="auto"/>
            </w:tcBorders>
            <w:shd w:val="clear" w:color="auto" w:fill="EEECE1" w:themeFill="background2"/>
            <w:vAlign w:val="center"/>
          </w:tcPr>
          <w:p w:rsidR="00CF50CA" w:rsidRPr="002B7FA2" w:rsidRDefault="00CF50CA" w:rsidP="00125874">
            <w:pPr>
              <w:jc w:val="center"/>
              <w:rPr>
                <w:b/>
                <w:bCs/>
                <w:sz w:val="18"/>
                <w:szCs w:val="20"/>
              </w:rPr>
            </w:pPr>
          </w:p>
        </w:tc>
        <w:tc>
          <w:tcPr>
            <w:tcW w:w="1051" w:type="dxa"/>
            <w:vMerge/>
            <w:tcBorders>
              <w:left w:val="nil"/>
              <w:bottom w:val="single" w:sz="8" w:space="0" w:color="auto"/>
              <w:right w:val="single" w:sz="4" w:space="0" w:color="auto"/>
            </w:tcBorders>
            <w:shd w:val="clear" w:color="auto" w:fill="EEECE1" w:themeFill="background2"/>
            <w:vAlign w:val="center"/>
          </w:tcPr>
          <w:p w:rsidR="00CF50CA" w:rsidRPr="002B7FA2" w:rsidRDefault="00CF50CA" w:rsidP="00125874">
            <w:pPr>
              <w:jc w:val="center"/>
              <w:rPr>
                <w:b/>
                <w:bCs/>
                <w:sz w:val="18"/>
                <w:szCs w:val="20"/>
              </w:rPr>
            </w:pPr>
          </w:p>
        </w:tc>
      </w:tr>
      <w:tr w:rsidR="002C6739" w:rsidRPr="00D154DB" w:rsidTr="00125874">
        <w:trPr>
          <w:trHeight w:val="89"/>
          <w:tblHeader/>
        </w:trPr>
        <w:tc>
          <w:tcPr>
            <w:tcW w:w="312"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CF50CA" w:rsidRPr="00D154DB" w:rsidRDefault="00CF50CA" w:rsidP="00125874">
            <w:pPr>
              <w:jc w:val="center"/>
              <w:rPr>
                <w:b/>
                <w:sz w:val="18"/>
                <w:szCs w:val="20"/>
              </w:rPr>
            </w:pPr>
          </w:p>
        </w:tc>
        <w:tc>
          <w:tcPr>
            <w:tcW w:w="4111" w:type="dxa"/>
            <w:tcBorders>
              <w:top w:val="nil"/>
              <w:left w:val="single" w:sz="4" w:space="0" w:color="auto"/>
              <w:bottom w:val="single" w:sz="8" w:space="0" w:color="auto"/>
              <w:right w:val="single" w:sz="4" w:space="0" w:color="auto"/>
            </w:tcBorders>
            <w:vAlign w:val="center"/>
          </w:tcPr>
          <w:p w:rsidR="00CF50CA" w:rsidRPr="00D154DB" w:rsidRDefault="00CF50CA" w:rsidP="00125874">
            <w:pPr>
              <w:jc w:val="center"/>
              <w:rPr>
                <w:b/>
                <w:sz w:val="18"/>
                <w:szCs w:val="20"/>
              </w:rPr>
            </w:pPr>
            <w:r w:rsidRPr="00D154DB">
              <w:rPr>
                <w:b/>
                <w:sz w:val="18"/>
                <w:szCs w:val="20"/>
              </w:rPr>
              <w:t>1</w:t>
            </w:r>
          </w:p>
        </w:tc>
        <w:tc>
          <w:tcPr>
            <w:tcW w:w="1275" w:type="dxa"/>
            <w:tcBorders>
              <w:top w:val="nil"/>
              <w:left w:val="nil"/>
              <w:bottom w:val="single" w:sz="8" w:space="0" w:color="auto"/>
              <w:right w:val="single" w:sz="4" w:space="0" w:color="auto"/>
            </w:tcBorders>
            <w:tcMar>
              <w:top w:w="0" w:type="dxa"/>
              <w:left w:w="28" w:type="dxa"/>
              <w:bottom w:w="0" w:type="dxa"/>
              <w:right w:w="28" w:type="dxa"/>
            </w:tcMar>
            <w:vAlign w:val="center"/>
          </w:tcPr>
          <w:p w:rsidR="00CF50CA" w:rsidRPr="00D154DB" w:rsidRDefault="00CF50CA" w:rsidP="00125874">
            <w:pPr>
              <w:jc w:val="center"/>
              <w:rPr>
                <w:b/>
                <w:sz w:val="18"/>
                <w:szCs w:val="20"/>
              </w:rPr>
            </w:pPr>
            <w:r w:rsidRPr="00D154DB">
              <w:rPr>
                <w:b/>
                <w:sz w:val="18"/>
                <w:szCs w:val="20"/>
              </w:rPr>
              <w:t>2</w:t>
            </w:r>
          </w:p>
        </w:tc>
        <w:tc>
          <w:tcPr>
            <w:tcW w:w="1276" w:type="dxa"/>
            <w:tcBorders>
              <w:top w:val="nil"/>
              <w:left w:val="nil"/>
              <w:bottom w:val="single" w:sz="8" w:space="0" w:color="auto"/>
              <w:right w:val="single" w:sz="4" w:space="0" w:color="auto"/>
            </w:tcBorders>
            <w:vAlign w:val="center"/>
          </w:tcPr>
          <w:p w:rsidR="00CF50CA" w:rsidRPr="00D154DB" w:rsidRDefault="00C05AFE" w:rsidP="00125874">
            <w:pPr>
              <w:jc w:val="center"/>
              <w:rPr>
                <w:b/>
                <w:sz w:val="18"/>
                <w:szCs w:val="20"/>
              </w:rPr>
            </w:pPr>
            <w:r>
              <w:rPr>
                <w:b/>
                <w:sz w:val="18"/>
                <w:szCs w:val="20"/>
              </w:rPr>
              <w:t>3</w:t>
            </w:r>
          </w:p>
        </w:tc>
        <w:tc>
          <w:tcPr>
            <w:tcW w:w="1276" w:type="dxa"/>
            <w:tcBorders>
              <w:top w:val="nil"/>
              <w:left w:val="nil"/>
              <w:bottom w:val="single" w:sz="8" w:space="0" w:color="auto"/>
              <w:right w:val="single" w:sz="4" w:space="0" w:color="auto"/>
            </w:tcBorders>
            <w:vAlign w:val="center"/>
          </w:tcPr>
          <w:p w:rsidR="00CF50CA" w:rsidRPr="00D154DB" w:rsidRDefault="00C05AFE" w:rsidP="00125874">
            <w:pPr>
              <w:jc w:val="center"/>
              <w:rPr>
                <w:b/>
                <w:sz w:val="18"/>
                <w:szCs w:val="20"/>
              </w:rPr>
            </w:pPr>
            <w:r>
              <w:rPr>
                <w:b/>
                <w:sz w:val="18"/>
                <w:szCs w:val="20"/>
              </w:rPr>
              <w:t>4</w:t>
            </w:r>
          </w:p>
        </w:tc>
        <w:tc>
          <w:tcPr>
            <w:tcW w:w="1051" w:type="dxa"/>
            <w:tcBorders>
              <w:top w:val="nil"/>
              <w:left w:val="nil"/>
              <w:bottom w:val="single" w:sz="8" w:space="0" w:color="auto"/>
              <w:right w:val="single" w:sz="4" w:space="0" w:color="auto"/>
            </w:tcBorders>
            <w:vAlign w:val="center"/>
          </w:tcPr>
          <w:p w:rsidR="00CF50CA" w:rsidRPr="00D154DB" w:rsidRDefault="0000355D" w:rsidP="00125874">
            <w:pPr>
              <w:jc w:val="center"/>
              <w:rPr>
                <w:b/>
                <w:sz w:val="18"/>
                <w:szCs w:val="20"/>
              </w:rPr>
            </w:pPr>
            <w:r>
              <w:rPr>
                <w:b/>
                <w:sz w:val="18"/>
                <w:szCs w:val="20"/>
              </w:rPr>
              <w:t>5</w:t>
            </w:r>
          </w:p>
        </w:tc>
      </w:tr>
      <w:tr w:rsidR="00E01599" w:rsidRPr="007708C9" w:rsidTr="00125874">
        <w:trPr>
          <w:trHeight w:val="574"/>
        </w:trPr>
        <w:tc>
          <w:tcPr>
            <w:tcW w:w="9301" w:type="dxa"/>
            <w:gridSpan w:val="6"/>
            <w:tcBorders>
              <w:top w:val="single" w:sz="4" w:space="0" w:color="auto"/>
              <w:left w:val="single" w:sz="8" w:space="0" w:color="auto"/>
              <w:bottom w:val="single" w:sz="4" w:space="0" w:color="auto"/>
              <w:right w:val="single" w:sz="4" w:space="0" w:color="auto"/>
            </w:tcBorders>
            <w:shd w:val="clear" w:color="auto" w:fill="FFFFFF"/>
            <w:noWrap/>
            <w:vAlign w:val="bottom"/>
          </w:tcPr>
          <w:p w:rsidR="00E01599" w:rsidRPr="00203EDF" w:rsidRDefault="00E01599" w:rsidP="00125874">
            <w:pPr>
              <w:jc w:val="center"/>
              <w:rPr>
                <w:rFonts w:ascii="Roboto" w:hAnsi="Roboto" w:cs="Calibri"/>
                <w:b/>
                <w:bCs/>
                <w:sz w:val="22"/>
                <w:szCs w:val="22"/>
              </w:rPr>
            </w:pPr>
            <w:r w:rsidRPr="00203EDF">
              <w:rPr>
                <w:rFonts w:ascii="Roboto" w:hAnsi="Roboto" w:cs="Calibri"/>
                <w:b/>
                <w:bCs/>
                <w:sz w:val="22"/>
                <w:szCs w:val="22"/>
              </w:rPr>
              <w:t xml:space="preserve">Закупка товаров, работ и услуг по </w:t>
            </w:r>
            <w:r w:rsidR="00B45EE4">
              <w:rPr>
                <w:rFonts w:ascii="Roboto" w:hAnsi="Roboto" w:cs="Calibri"/>
                <w:b/>
                <w:bCs/>
                <w:sz w:val="22"/>
                <w:szCs w:val="22"/>
              </w:rPr>
              <w:t xml:space="preserve">состоявшимся закупкам </w:t>
            </w:r>
            <w:proofErr w:type="gramStart"/>
            <w:r w:rsidR="00B45EE4">
              <w:rPr>
                <w:rFonts w:ascii="Roboto" w:hAnsi="Roboto" w:cs="Calibri"/>
                <w:b/>
                <w:bCs/>
                <w:sz w:val="22"/>
                <w:szCs w:val="22"/>
              </w:rPr>
              <w:t xml:space="preserve">( </w:t>
            </w:r>
            <w:proofErr w:type="gramEnd"/>
            <w:r w:rsidR="00B45EE4">
              <w:rPr>
                <w:rFonts w:ascii="Roboto" w:hAnsi="Roboto" w:cs="Calibri"/>
                <w:b/>
                <w:bCs/>
                <w:sz w:val="22"/>
                <w:szCs w:val="22"/>
              </w:rPr>
              <w:t xml:space="preserve">на </w:t>
            </w:r>
            <w:r w:rsidRPr="00203EDF">
              <w:rPr>
                <w:rFonts w:ascii="Roboto" w:hAnsi="Roboto" w:cs="Calibri"/>
                <w:b/>
                <w:bCs/>
                <w:sz w:val="22"/>
                <w:szCs w:val="22"/>
              </w:rPr>
              <w:t>основани</w:t>
            </w:r>
            <w:r w:rsidR="00B45EE4">
              <w:rPr>
                <w:rFonts w:ascii="Roboto" w:hAnsi="Roboto" w:cs="Calibri"/>
                <w:b/>
                <w:bCs/>
                <w:sz w:val="22"/>
                <w:szCs w:val="22"/>
              </w:rPr>
              <w:t>и</w:t>
            </w:r>
            <w:r w:rsidRPr="00203EDF">
              <w:rPr>
                <w:rFonts w:ascii="Roboto" w:hAnsi="Roboto" w:cs="Calibri"/>
                <w:b/>
                <w:bCs/>
                <w:sz w:val="22"/>
                <w:szCs w:val="22"/>
              </w:rPr>
              <w:t>, предусмотренным</w:t>
            </w:r>
            <w:r w:rsidR="00B45EE4">
              <w:rPr>
                <w:rFonts w:ascii="Roboto" w:hAnsi="Roboto" w:cs="Calibri"/>
                <w:b/>
                <w:bCs/>
                <w:sz w:val="22"/>
                <w:szCs w:val="22"/>
              </w:rPr>
              <w:t>и</w:t>
            </w:r>
            <w:r w:rsidRPr="00203EDF">
              <w:rPr>
                <w:rFonts w:ascii="Roboto" w:hAnsi="Roboto" w:cs="Calibri"/>
                <w:b/>
                <w:bCs/>
                <w:sz w:val="22"/>
                <w:szCs w:val="22"/>
              </w:rPr>
              <w:t xml:space="preserve"> пунктами 1,</w:t>
            </w:r>
            <w:r w:rsidR="00676DBB">
              <w:rPr>
                <w:rFonts w:ascii="Roboto" w:hAnsi="Roboto" w:cs="Calibri"/>
                <w:b/>
                <w:bCs/>
                <w:sz w:val="22"/>
                <w:szCs w:val="22"/>
              </w:rPr>
              <w:t>2,</w:t>
            </w:r>
            <w:r w:rsidR="00942282">
              <w:rPr>
                <w:rFonts w:ascii="Roboto" w:hAnsi="Roboto" w:cs="Calibri"/>
                <w:b/>
                <w:bCs/>
                <w:sz w:val="22"/>
                <w:szCs w:val="22"/>
              </w:rPr>
              <w:t>6,</w:t>
            </w:r>
            <w:r w:rsidRPr="00203EDF">
              <w:rPr>
                <w:rFonts w:ascii="Roboto" w:hAnsi="Roboto" w:cs="Calibri"/>
                <w:b/>
                <w:bCs/>
                <w:sz w:val="22"/>
                <w:szCs w:val="22"/>
              </w:rPr>
              <w:t>8,22,</w:t>
            </w:r>
            <w:r w:rsidR="00676DBB">
              <w:rPr>
                <w:rFonts w:ascii="Roboto" w:hAnsi="Roboto" w:cs="Calibri"/>
                <w:b/>
                <w:bCs/>
                <w:sz w:val="22"/>
                <w:szCs w:val="22"/>
              </w:rPr>
              <w:t>23,</w:t>
            </w:r>
            <w:r w:rsidRPr="00203EDF">
              <w:rPr>
                <w:rFonts w:ascii="Roboto" w:hAnsi="Roboto" w:cs="Calibri"/>
                <w:b/>
                <w:bCs/>
                <w:sz w:val="22"/>
                <w:szCs w:val="22"/>
              </w:rPr>
              <w:t xml:space="preserve">29 </w:t>
            </w:r>
          </w:p>
          <w:p w:rsidR="00E01599" w:rsidRPr="002C6739" w:rsidRDefault="00E01599" w:rsidP="00125874">
            <w:pPr>
              <w:jc w:val="center"/>
              <w:rPr>
                <w:b/>
                <w:sz w:val="20"/>
                <w:szCs w:val="20"/>
              </w:rPr>
            </w:pPr>
            <w:r w:rsidRPr="00203EDF">
              <w:rPr>
                <w:rFonts w:ascii="Roboto" w:hAnsi="Roboto" w:cs="Calibri"/>
                <w:b/>
                <w:bCs/>
                <w:sz w:val="22"/>
                <w:szCs w:val="22"/>
              </w:rPr>
              <w:t>части 1 ст.93 Закона №4-ФЗ</w:t>
            </w:r>
            <w:r w:rsidR="00B45EE4">
              <w:rPr>
                <w:rFonts w:ascii="Roboto" w:hAnsi="Roboto" w:cs="Calibri"/>
                <w:b/>
                <w:bCs/>
                <w:sz w:val="22"/>
                <w:szCs w:val="22"/>
              </w:rPr>
              <w:t>)</w:t>
            </w:r>
          </w:p>
        </w:tc>
      </w:tr>
      <w:tr w:rsidR="00E01599" w:rsidRPr="007708C9" w:rsidTr="00125874">
        <w:trPr>
          <w:trHeight w:val="94"/>
        </w:trPr>
        <w:tc>
          <w:tcPr>
            <w:tcW w:w="312" w:type="dxa"/>
            <w:tcBorders>
              <w:top w:val="single" w:sz="4" w:space="0" w:color="auto"/>
              <w:left w:val="single" w:sz="8" w:space="0" w:color="auto"/>
              <w:bottom w:val="single" w:sz="4" w:space="0" w:color="auto"/>
              <w:right w:val="single" w:sz="4" w:space="0" w:color="auto"/>
            </w:tcBorders>
            <w:shd w:val="clear" w:color="auto" w:fill="EEECE1" w:themeFill="background2"/>
            <w:noWrap/>
            <w:vAlign w:val="bottom"/>
          </w:tcPr>
          <w:p w:rsidR="00E01599" w:rsidRPr="007708C9" w:rsidRDefault="00E01599" w:rsidP="00125874">
            <w:pPr>
              <w:rPr>
                <w:sz w:val="20"/>
                <w:szCs w:val="20"/>
              </w:rPr>
            </w:pPr>
            <w:r w:rsidRPr="00CF50CA">
              <w:rPr>
                <w:b/>
                <w:sz w:val="20"/>
                <w:szCs w:val="20"/>
              </w:rPr>
              <w:t>1</w:t>
            </w:r>
          </w:p>
          <w:p w:rsidR="00E01599" w:rsidRPr="008D40A9" w:rsidRDefault="00E01599" w:rsidP="00125874">
            <w:pPr>
              <w:rPr>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E01599" w:rsidRDefault="00E01599" w:rsidP="00125874">
            <w:pPr>
              <w:rPr>
                <w:b/>
                <w:sz w:val="20"/>
                <w:szCs w:val="20"/>
              </w:rPr>
            </w:pPr>
            <w:r w:rsidRPr="008D40A9">
              <w:rPr>
                <w:b/>
                <w:sz w:val="20"/>
                <w:szCs w:val="20"/>
              </w:rPr>
              <w:t>Пункт 1 части 1 статьи 93</w:t>
            </w:r>
          </w:p>
          <w:p w:rsidR="00E01599" w:rsidRPr="008D40A9" w:rsidRDefault="00E01599" w:rsidP="00125874">
            <w:pPr>
              <w:rPr>
                <w:b/>
                <w:sz w:val="20"/>
                <w:szCs w:val="20"/>
              </w:rPr>
            </w:pPr>
          </w:p>
        </w:tc>
        <w:tc>
          <w:tcPr>
            <w:tcW w:w="1275" w:type="dxa"/>
            <w:tcBorders>
              <w:top w:val="single" w:sz="4" w:space="0" w:color="auto"/>
              <w:left w:val="nil"/>
              <w:bottom w:val="single" w:sz="4" w:space="0" w:color="auto"/>
              <w:right w:val="single" w:sz="4" w:space="0" w:color="auto"/>
            </w:tcBorders>
            <w:shd w:val="clear" w:color="auto" w:fill="EEECE1" w:themeFill="background2"/>
            <w:noWrap/>
            <w:tcMar>
              <w:top w:w="0" w:type="dxa"/>
              <w:left w:w="0" w:type="dxa"/>
              <w:bottom w:w="0" w:type="dxa"/>
              <w:right w:w="0" w:type="dxa"/>
            </w:tcMar>
            <w:vAlign w:val="center"/>
          </w:tcPr>
          <w:p w:rsidR="00E01599" w:rsidRPr="002C6739" w:rsidRDefault="00E01599" w:rsidP="00125874">
            <w:pPr>
              <w:jc w:val="center"/>
              <w:rPr>
                <w:b/>
                <w:sz w:val="20"/>
                <w:szCs w:val="20"/>
              </w:rPr>
            </w:pPr>
          </w:p>
        </w:tc>
        <w:tc>
          <w:tcPr>
            <w:tcW w:w="1276" w:type="dxa"/>
            <w:tcBorders>
              <w:top w:val="single" w:sz="4" w:space="0" w:color="auto"/>
              <w:left w:val="nil"/>
              <w:bottom w:val="single" w:sz="4" w:space="0" w:color="auto"/>
              <w:right w:val="single" w:sz="4" w:space="0" w:color="auto"/>
            </w:tcBorders>
            <w:shd w:val="clear" w:color="auto" w:fill="EEECE1" w:themeFill="background2"/>
            <w:vAlign w:val="center"/>
          </w:tcPr>
          <w:p w:rsidR="00E01599" w:rsidRPr="002C6739" w:rsidRDefault="00E01599" w:rsidP="00125874">
            <w:pPr>
              <w:jc w:val="center"/>
              <w:rPr>
                <w:b/>
                <w:sz w:val="20"/>
                <w:szCs w:val="20"/>
              </w:rPr>
            </w:pPr>
          </w:p>
        </w:tc>
        <w:tc>
          <w:tcPr>
            <w:tcW w:w="1276" w:type="dxa"/>
            <w:tcBorders>
              <w:top w:val="single" w:sz="4" w:space="0" w:color="auto"/>
              <w:left w:val="nil"/>
              <w:bottom w:val="single" w:sz="4" w:space="0" w:color="auto"/>
              <w:right w:val="single" w:sz="4" w:space="0" w:color="auto"/>
            </w:tcBorders>
            <w:shd w:val="clear" w:color="auto" w:fill="EEECE1" w:themeFill="background2"/>
            <w:vAlign w:val="center"/>
          </w:tcPr>
          <w:p w:rsidR="00E01599" w:rsidRPr="002C6739" w:rsidRDefault="00E01599" w:rsidP="00125874">
            <w:pPr>
              <w:jc w:val="center"/>
              <w:rPr>
                <w:b/>
                <w:sz w:val="20"/>
                <w:szCs w:val="20"/>
              </w:rPr>
            </w:pPr>
          </w:p>
        </w:tc>
        <w:tc>
          <w:tcPr>
            <w:tcW w:w="1051" w:type="dxa"/>
            <w:tcBorders>
              <w:top w:val="single" w:sz="4" w:space="0" w:color="auto"/>
              <w:left w:val="nil"/>
              <w:bottom w:val="single" w:sz="4" w:space="0" w:color="auto"/>
              <w:right w:val="single" w:sz="4" w:space="0" w:color="auto"/>
            </w:tcBorders>
            <w:shd w:val="clear" w:color="auto" w:fill="EEECE1" w:themeFill="background2"/>
            <w:vAlign w:val="center"/>
          </w:tcPr>
          <w:p w:rsidR="00E01599" w:rsidRPr="002C6739" w:rsidRDefault="00E01599" w:rsidP="00125874">
            <w:pPr>
              <w:jc w:val="center"/>
              <w:rPr>
                <w:b/>
                <w:sz w:val="20"/>
                <w:szCs w:val="20"/>
              </w:rPr>
            </w:pPr>
          </w:p>
        </w:tc>
      </w:tr>
      <w:tr w:rsidR="00E01599" w:rsidRPr="007708C9" w:rsidTr="00125874">
        <w:trPr>
          <w:trHeight w:val="543"/>
        </w:trPr>
        <w:tc>
          <w:tcPr>
            <w:tcW w:w="312" w:type="dxa"/>
            <w:tcBorders>
              <w:top w:val="nil"/>
              <w:left w:val="single" w:sz="8" w:space="0" w:color="auto"/>
              <w:bottom w:val="single" w:sz="4" w:space="0" w:color="auto"/>
              <w:right w:val="single" w:sz="4" w:space="0" w:color="auto"/>
            </w:tcBorders>
            <w:noWrap/>
            <w:vAlign w:val="bottom"/>
          </w:tcPr>
          <w:p w:rsidR="00E01599" w:rsidRPr="007708C9" w:rsidRDefault="00E01599" w:rsidP="00125874">
            <w:pPr>
              <w:rPr>
                <w:sz w:val="20"/>
                <w:szCs w:val="20"/>
              </w:rPr>
            </w:pPr>
          </w:p>
        </w:tc>
        <w:tc>
          <w:tcPr>
            <w:tcW w:w="4111" w:type="dxa"/>
            <w:tcBorders>
              <w:top w:val="nil"/>
              <w:left w:val="single" w:sz="4" w:space="0" w:color="auto"/>
              <w:bottom w:val="single" w:sz="4" w:space="0" w:color="auto"/>
              <w:right w:val="single" w:sz="4" w:space="0" w:color="auto"/>
            </w:tcBorders>
            <w:vAlign w:val="bottom"/>
          </w:tcPr>
          <w:p w:rsidR="00755FA4" w:rsidRPr="00AA7201" w:rsidRDefault="00E01599" w:rsidP="00125874">
            <w:pPr>
              <w:autoSpaceDE w:val="0"/>
              <w:autoSpaceDN w:val="0"/>
              <w:adjustRightInd w:val="0"/>
              <w:jc w:val="both"/>
              <w:rPr>
                <w:sz w:val="16"/>
                <w:szCs w:val="16"/>
              </w:rPr>
            </w:pPr>
            <w:r w:rsidRPr="00AA7201">
              <w:rPr>
                <w:rFonts w:ascii="Roboto" w:hAnsi="Roboto" w:cs="Calibri"/>
                <w:b/>
                <w:bCs/>
                <w:color w:val="334059"/>
                <w:sz w:val="16"/>
                <w:szCs w:val="16"/>
              </w:rPr>
              <w:t>Осуществление закупки товара, работы или услуги, которые относятся к сфере деятельности субъектов естественных монополий</w:t>
            </w:r>
          </w:p>
        </w:tc>
        <w:tc>
          <w:tcPr>
            <w:tcW w:w="1275"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E01599" w:rsidRPr="002C6739" w:rsidRDefault="00B05334" w:rsidP="00125874">
            <w:pPr>
              <w:jc w:val="center"/>
              <w:rPr>
                <w:sz w:val="20"/>
                <w:szCs w:val="20"/>
              </w:rPr>
            </w:pPr>
            <w:r>
              <w:rPr>
                <w:sz w:val="20"/>
                <w:szCs w:val="20"/>
              </w:rPr>
              <w:t>2</w:t>
            </w:r>
          </w:p>
        </w:tc>
        <w:tc>
          <w:tcPr>
            <w:tcW w:w="1276" w:type="dxa"/>
            <w:tcBorders>
              <w:top w:val="nil"/>
              <w:left w:val="nil"/>
              <w:bottom w:val="single" w:sz="4" w:space="0" w:color="auto"/>
              <w:right w:val="single" w:sz="4" w:space="0" w:color="auto"/>
            </w:tcBorders>
            <w:vAlign w:val="center"/>
          </w:tcPr>
          <w:p w:rsidR="00E01599" w:rsidRPr="002C6739" w:rsidRDefault="00184CEB" w:rsidP="00125874">
            <w:pPr>
              <w:jc w:val="center"/>
              <w:rPr>
                <w:sz w:val="20"/>
                <w:szCs w:val="20"/>
              </w:rPr>
            </w:pPr>
            <w:r>
              <w:rPr>
                <w:sz w:val="20"/>
                <w:szCs w:val="20"/>
              </w:rPr>
              <w:t>1,1%</w:t>
            </w:r>
          </w:p>
        </w:tc>
        <w:tc>
          <w:tcPr>
            <w:tcW w:w="1276" w:type="dxa"/>
            <w:tcBorders>
              <w:top w:val="nil"/>
              <w:left w:val="nil"/>
              <w:bottom w:val="single" w:sz="4" w:space="0" w:color="auto"/>
              <w:right w:val="single" w:sz="4" w:space="0" w:color="auto"/>
            </w:tcBorders>
            <w:vAlign w:val="center"/>
          </w:tcPr>
          <w:p w:rsidR="00E01599" w:rsidRPr="002C6739" w:rsidRDefault="00B05334" w:rsidP="00125874">
            <w:pPr>
              <w:jc w:val="center"/>
              <w:rPr>
                <w:sz w:val="20"/>
                <w:szCs w:val="20"/>
              </w:rPr>
            </w:pPr>
            <w:r>
              <w:rPr>
                <w:sz w:val="20"/>
                <w:szCs w:val="20"/>
              </w:rPr>
              <w:t>84,0</w:t>
            </w:r>
          </w:p>
        </w:tc>
        <w:tc>
          <w:tcPr>
            <w:tcW w:w="1051" w:type="dxa"/>
            <w:tcBorders>
              <w:top w:val="nil"/>
              <w:left w:val="nil"/>
              <w:bottom w:val="single" w:sz="4" w:space="0" w:color="auto"/>
              <w:right w:val="single" w:sz="4" w:space="0" w:color="auto"/>
            </w:tcBorders>
            <w:vAlign w:val="center"/>
          </w:tcPr>
          <w:p w:rsidR="00E01599" w:rsidRPr="002C6739" w:rsidRDefault="00184CEB" w:rsidP="00125874">
            <w:pPr>
              <w:jc w:val="center"/>
              <w:rPr>
                <w:sz w:val="20"/>
                <w:szCs w:val="20"/>
              </w:rPr>
            </w:pPr>
            <w:r>
              <w:rPr>
                <w:sz w:val="20"/>
                <w:szCs w:val="20"/>
              </w:rPr>
              <w:t>0,01%</w:t>
            </w:r>
          </w:p>
        </w:tc>
      </w:tr>
      <w:tr w:rsidR="00755FA4" w:rsidRPr="007708C9" w:rsidTr="00125874">
        <w:trPr>
          <w:trHeight w:val="177"/>
        </w:trPr>
        <w:tc>
          <w:tcPr>
            <w:tcW w:w="312" w:type="dxa"/>
            <w:tcBorders>
              <w:top w:val="single" w:sz="4" w:space="0" w:color="auto"/>
              <w:left w:val="single" w:sz="8" w:space="0" w:color="auto"/>
              <w:bottom w:val="single" w:sz="4" w:space="0" w:color="auto"/>
              <w:right w:val="single" w:sz="4" w:space="0" w:color="auto"/>
            </w:tcBorders>
            <w:noWrap/>
            <w:vAlign w:val="bottom"/>
          </w:tcPr>
          <w:p w:rsidR="00755FA4" w:rsidRPr="008D40A9" w:rsidRDefault="00755FA4" w:rsidP="00125874">
            <w:pPr>
              <w:rPr>
                <w:b/>
                <w:sz w:val="20"/>
                <w:szCs w:val="20"/>
              </w:rPr>
            </w:pPr>
            <w:r w:rsidRPr="008D40A9">
              <w:rPr>
                <w:b/>
                <w:sz w:val="20"/>
                <w:szCs w:val="20"/>
              </w:rPr>
              <w:t>2</w:t>
            </w:r>
          </w:p>
        </w:tc>
        <w:tc>
          <w:tcPr>
            <w:tcW w:w="4111" w:type="dxa"/>
            <w:tcBorders>
              <w:top w:val="single" w:sz="4" w:space="0" w:color="auto"/>
              <w:left w:val="single" w:sz="4" w:space="0" w:color="auto"/>
              <w:bottom w:val="single" w:sz="4" w:space="0" w:color="auto"/>
              <w:right w:val="single" w:sz="4" w:space="0" w:color="auto"/>
            </w:tcBorders>
            <w:vAlign w:val="bottom"/>
          </w:tcPr>
          <w:p w:rsidR="00755FA4" w:rsidRPr="008D40A9" w:rsidRDefault="00755FA4" w:rsidP="00125874">
            <w:pPr>
              <w:rPr>
                <w:b/>
                <w:sz w:val="20"/>
                <w:szCs w:val="20"/>
              </w:rPr>
            </w:pPr>
            <w:r w:rsidRPr="008D40A9">
              <w:rPr>
                <w:b/>
                <w:sz w:val="20"/>
                <w:szCs w:val="20"/>
              </w:rPr>
              <w:t xml:space="preserve">Пункт </w:t>
            </w:r>
            <w:r>
              <w:rPr>
                <w:b/>
                <w:sz w:val="20"/>
                <w:szCs w:val="20"/>
              </w:rPr>
              <w:t xml:space="preserve"> </w:t>
            </w:r>
            <w:r w:rsidR="00B05334">
              <w:rPr>
                <w:b/>
                <w:sz w:val="20"/>
                <w:szCs w:val="20"/>
              </w:rPr>
              <w:t>2</w:t>
            </w:r>
            <w:r>
              <w:rPr>
                <w:b/>
                <w:sz w:val="20"/>
                <w:szCs w:val="20"/>
              </w:rPr>
              <w:t xml:space="preserve"> </w:t>
            </w:r>
            <w:r w:rsidRPr="008D40A9">
              <w:rPr>
                <w:b/>
                <w:sz w:val="20"/>
                <w:szCs w:val="20"/>
              </w:rPr>
              <w:t xml:space="preserve"> части 1 статьи 93</w:t>
            </w:r>
          </w:p>
        </w:tc>
        <w:tc>
          <w:tcPr>
            <w:tcW w:w="1275"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755FA4" w:rsidRPr="008D40A9" w:rsidRDefault="00755FA4" w:rsidP="00125874">
            <w:pPr>
              <w:jc w:val="center"/>
              <w:rPr>
                <w:b/>
                <w:sz w:val="20"/>
                <w:szCs w:val="20"/>
              </w:rPr>
            </w:pPr>
          </w:p>
        </w:tc>
        <w:tc>
          <w:tcPr>
            <w:tcW w:w="1276" w:type="dxa"/>
            <w:tcBorders>
              <w:top w:val="single" w:sz="4" w:space="0" w:color="auto"/>
              <w:left w:val="nil"/>
              <w:bottom w:val="single" w:sz="4" w:space="0" w:color="auto"/>
              <w:right w:val="single" w:sz="4" w:space="0" w:color="auto"/>
            </w:tcBorders>
            <w:vAlign w:val="center"/>
          </w:tcPr>
          <w:p w:rsidR="00755FA4" w:rsidRPr="008D40A9" w:rsidRDefault="00755FA4" w:rsidP="00125874">
            <w:pPr>
              <w:jc w:val="center"/>
              <w:rPr>
                <w:b/>
                <w:sz w:val="20"/>
                <w:szCs w:val="20"/>
              </w:rPr>
            </w:pPr>
          </w:p>
        </w:tc>
        <w:tc>
          <w:tcPr>
            <w:tcW w:w="1276" w:type="dxa"/>
            <w:tcBorders>
              <w:top w:val="single" w:sz="4" w:space="0" w:color="auto"/>
              <w:left w:val="nil"/>
              <w:bottom w:val="single" w:sz="4" w:space="0" w:color="auto"/>
              <w:right w:val="single" w:sz="4" w:space="0" w:color="auto"/>
            </w:tcBorders>
            <w:vAlign w:val="center"/>
          </w:tcPr>
          <w:p w:rsidR="00755FA4" w:rsidRPr="008D40A9" w:rsidRDefault="00755FA4" w:rsidP="00125874">
            <w:pPr>
              <w:jc w:val="center"/>
              <w:rPr>
                <w:b/>
                <w:sz w:val="20"/>
                <w:szCs w:val="20"/>
              </w:rPr>
            </w:pPr>
          </w:p>
        </w:tc>
        <w:tc>
          <w:tcPr>
            <w:tcW w:w="1051" w:type="dxa"/>
            <w:tcBorders>
              <w:top w:val="single" w:sz="4" w:space="0" w:color="auto"/>
              <w:left w:val="nil"/>
              <w:bottom w:val="single" w:sz="4" w:space="0" w:color="auto"/>
              <w:right w:val="single" w:sz="4" w:space="0" w:color="auto"/>
            </w:tcBorders>
            <w:vAlign w:val="center"/>
          </w:tcPr>
          <w:p w:rsidR="00755FA4" w:rsidRPr="008D40A9" w:rsidRDefault="00755FA4" w:rsidP="00125874">
            <w:pPr>
              <w:jc w:val="center"/>
              <w:rPr>
                <w:b/>
                <w:sz w:val="20"/>
                <w:szCs w:val="20"/>
              </w:rPr>
            </w:pPr>
          </w:p>
        </w:tc>
      </w:tr>
      <w:tr w:rsidR="00755FA4" w:rsidRPr="007708C9" w:rsidTr="00125874">
        <w:trPr>
          <w:trHeight w:val="1656"/>
        </w:trPr>
        <w:tc>
          <w:tcPr>
            <w:tcW w:w="312" w:type="dxa"/>
            <w:tcBorders>
              <w:top w:val="single" w:sz="4" w:space="0" w:color="auto"/>
              <w:left w:val="single" w:sz="8" w:space="0" w:color="auto"/>
              <w:bottom w:val="single" w:sz="4" w:space="0" w:color="auto"/>
              <w:right w:val="single" w:sz="4" w:space="0" w:color="auto"/>
            </w:tcBorders>
            <w:noWrap/>
            <w:vAlign w:val="bottom"/>
          </w:tcPr>
          <w:p w:rsidR="00755FA4" w:rsidRPr="007708C9" w:rsidRDefault="00755FA4" w:rsidP="00125874">
            <w:pPr>
              <w:rPr>
                <w:sz w:val="20"/>
                <w:szCs w:val="20"/>
              </w:rPr>
            </w:pPr>
          </w:p>
        </w:tc>
        <w:tc>
          <w:tcPr>
            <w:tcW w:w="4111" w:type="dxa"/>
            <w:tcBorders>
              <w:top w:val="single" w:sz="4" w:space="0" w:color="auto"/>
              <w:left w:val="single" w:sz="4" w:space="0" w:color="auto"/>
              <w:bottom w:val="single" w:sz="4" w:space="0" w:color="auto"/>
              <w:right w:val="single" w:sz="4" w:space="0" w:color="auto"/>
            </w:tcBorders>
            <w:vAlign w:val="bottom"/>
          </w:tcPr>
          <w:p w:rsidR="00B05334" w:rsidRPr="00B05334" w:rsidRDefault="00B05334" w:rsidP="00125874">
            <w:pPr>
              <w:autoSpaceDE w:val="0"/>
              <w:autoSpaceDN w:val="0"/>
              <w:adjustRightInd w:val="0"/>
              <w:jc w:val="both"/>
              <w:rPr>
                <w:rFonts w:ascii="Roboto" w:hAnsi="Roboto" w:cs="Calibri"/>
                <w:b/>
                <w:bCs/>
                <w:color w:val="334059"/>
                <w:sz w:val="16"/>
                <w:szCs w:val="16"/>
              </w:rPr>
            </w:pPr>
            <w:r w:rsidRPr="00B05334">
              <w:rPr>
                <w:rFonts w:ascii="Roboto" w:hAnsi="Roboto" w:cs="Calibri"/>
                <w:b/>
                <w:bCs/>
                <w:color w:val="334059"/>
                <w:sz w:val="16"/>
                <w:szCs w:val="16"/>
              </w:rPr>
              <w:t>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755FA4" w:rsidRPr="008D40A9" w:rsidRDefault="00755FA4" w:rsidP="00125874">
            <w:pPr>
              <w:autoSpaceDE w:val="0"/>
              <w:autoSpaceDN w:val="0"/>
              <w:adjustRightInd w:val="0"/>
              <w:jc w:val="both"/>
              <w:rPr>
                <w:sz w:val="18"/>
                <w:szCs w:val="18"/>
              </w:rPr>
            </w:pPr>
          </w:p>
        </w:tc>
        <w:tc>
          <w:tcPr>
            <w:tcW w:w="1275"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755FA4" w:rsidRPr="002C6739" w:rsidRDefault="00B05334" w:rsidP="00125874">
            <w:pPr>
              <w:jc w:val="center"/>
              <w:rPr>
                <w:sz w:val="20"/>
                <w:szCs w:val="20"/>
              </w:rPr>
            </w:pPr>
            <w:r>
              <w:rPr>
                <w:sz w:val="20"/>
                <w:szCs w:val="20"/>
              </w:rPr>
              <w:t>15</w:t>
            </w:r>
          </w:p>
        </w:tc>
        <w:tc>
          <w:tcPr>
            <w:tcW w:w="1276" w:type="dxa"/>
            <w:tcBorders>
              <w:top w:val="single" w:sz="4" w:space="0" w:color="auto"/>
              <w:left w:val="nil"/>
              <w:bottom w:val="single" w:sz="4" w:space="0" w:color="auto"/>
              <w:right w:val="single" w:sz="4" w:space="0" w:color="auto"/>
            </w:tcBorders>
            <w:vAlign w:val="center"/>
          </w:tcPr>
          <w:p w:rsidR="00755FA4" w:rsidRPr="002C6739" w:rsidRDefault="00184CEB" w:rsidP="00125874">
            <w:pPr>
              <w:jc w:val="center"/>
              <w:rPr>
                <w:sz w:val="20"/>
                <w:szCs w:val="20"/>
              </w:rPr>
            </w:pPr>
            <w:r>
              <w:rPr>
                <w:sz w:val="20"/>
                <w:szCs w:val="20"/>
              </w:rPr>
              <w:t>8,0%</w:t>
            </w:r>
          </w:p>
        </w:tc>
        <w:tc>
          <w:tcPr>
            <w:tcW w:w="1276" w:type="dxa"/>
            <w:tcBorders>
              <w:top w:val="single" w:sz="4" w:space="0" w:color="auto"/>
              <w:left w:val="nil"/>
              <w:bottom w:val="single" w:sz="4" w:space="0" w:color="auto"/>
              <w:right w:val="single" w:sz="4" w:space="0" w:color="auto"/>
            </w:tcBorders>
            <w:vAlign w:val="center"/>
          </w:tcPr>
          <w:p w:rsidR="00755FA4" w:rsidRPr="002C6739" w:rsidRDefault="00B05334" w:rsidP="00125874">
            <w:pPr>
              <w:jc w:val="center"/>
              <w:rPr>
                <w:sz w:val="20"/>
                <w:szCs w:val="20"/>
              </w:rPr>
            </w:pPr>
            <w:r>
              <w:rPr>
                <w:sz w:val="20"/>
                <w:szCs w:val="20"/>
              </w:rPr>
              <w:t>312 424,</w:t>
            </w:r>
            <w:r w:rsidR="00D67849">
              <w:rPr>
                <w:sz w:val="20"/>
                <w:szCs w:val="20"/>
              </w:rPr>
              <w:t>6</w:t>
            </w:r>
          </w:p>
        </w:tc>
        <w:tc>
          <w:tcPr>
            <w:tcW w:w="1051" w:type="dxa"/>
            <w:tcBorders>
              <w:top w:val="single" w:sz="4" w:space="0" w:color="auto"/>
              <w:left w:val="nil"/>
              <w:bottom w:val="single" w:sz="4" w:space="0" w:color="auto"/>
              <w:right w:val="single" w:sz="4" w:space="0" w:color="auto"/>
            </w:tcBorders>
            <w:vAlign w:val="center"/>
          </w:tcPr>
          <w:p w:rsidR="00755FA4" w:rsidRPr="002C6739" w:rsidRDefault="00184CEB" w:rsidP="00125874">
            <w:pPr>
              <w:spacing w:line="360" w:lineRule="auto"/>
              <w:jc w:val="center"/>
              <w:rPr>
                <w:sz w:val="20"/>
                <w:szCs w:val="20"/>
              </w:rPr>
            </w:pPr>
            <w:r>
              <w:rPr>
                <w:sz w:val="20"/>
                <w:szCs w:val="20"/>
              </w:rPr>
              <w:t>39,4%</w:t>
            </w:r>
          </w:p>
        </w:tc>
      </w:tr>
      <w:tr w:rsidR="00B05334" w:rsidRPr="007708C9" w:rsidTr="00125874">
        <w:trPr>
          <w:trHeight w:val="195"/>
        </w:trPr>
        <w:tc>
          <w:tcPr>
            <w:tcW w:w="312" w:type="dxa"/>
            <w:tcBorders>
              <w:top w:val="single" w:sz="4" w:space="0" w:color="auto"/>
              <w:left w:val="single" w:sz="8" w:space="0" w:color="auto"/>
              <w:bottom w:val="single" w:sz="4" w:space="0" w:color="auto"/>
              <w:right w:val="single" w:sz="4" w:space="0" w:color="auto"/>
            </w:tcBorders>
            <w:shd w:val="clear" w:color="auto" w:fill="EEECE1" w:themeFill="background2"/>
            <w:noWrap/>
            <w:vAlign w:val="bottom"/>
          </w:tcPr>
          <w:p w:rsidR="00B05334" w:rsidRPr="008D40A9" w:rsidRDefault="00B05334" w:rsidP="00125874">
            <w:pPr>
              <w:rPr>
                <w:b/>
                <w:sz w:val="20"/>
                <w:szCs w:val="20"/>
              </w:rPr>
            </w:pPr>
            <w:r>
              <w:rPr>
                <w:b/>
                <w:sz w:val="20"/>
                <w:szCs w:val="20"/>
              </w:rPr>
              <w:t>3</w:t>
            </w:r>
          </w:p>
        </w:tc>
        <w:tc>
          <w:tcPr>
            <w:tcW w:w="4111"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B05334" w:rsidRPr="008D40A9" w:rsidRDefault="00B05334" w:rsidP="00125874">
            <w:pPr>
              <w:rPr>
                <w:b/>
                <w:sz w:val="20"/>
                <w:szCs w:val="20"/>
              </w:rPr>
            </w:pPr>
            <w:r w:rsidRPr="008D40A9">
              <w:rPr>
                <w:b/>
                <w:sz w:val="20"/>
                <w:szCs w:val="20"/>
              </w:rPr>
              <w:t xml:space="preserve">Пункт </w:t>
            </w:r>
            <w:r>
              <w:rPr>
                <w:b/>
                <w:sz w:val="20"/>
                <w:szCs w:val="20"/>
              </w:rPr>
              <w:t xml:space="preserve"> 6 </w:t>
            </w:r>
            <w:r w:rsidRPr="008D40A9">
              <w:rPr>
                <w:b/>
                <w:sz w:val="20"/>
                <w:szCs w:val="20"/>
              </w:rPr>
              <w:t xml:space="preserve"> части 1 статьи 93</w:t>
            </w:r>
          </w:p>
        </w:tc>
        <w:tc>
          <w:tcPr>
            <w:tcW w:w="1275" w:type="dxa"/>
            <w:tcBorders>
              <w:top w:val="single" w:sz="4" w:space="0" w:color="auto"/>
              <w:left w:val="nil"/>
              <w:bottom w:val="single" w:sz="4" w:space="0" w:color="auto"/>
              <w:right w:val="single" w:sz="4" w:space="0" w:color="auto"/>
            </w:tcBorders>
            <w:shd w:val="clear" w:color="auto" w:fill="EEECE1" w:themeFill="background2"/>
            <w:noWrap/>
            <w:tcMar>
              <w:top w:w="0" w:type="dxa"/>
              <w:left w:w="0" w:type="dxa"/>
              <w:bottom w:w="0" w:type="dxa"/>
              <w:right w:w="0" w:type="dxa"/>
            </w:tcMar>
            <w:vAlign w:val="center"/>
          </w:tcPr>
          <w:p w:rsidR="00B05334" w:rsidRPr="008D40A9" w:rsidRDefault="00B05334" w:rsidP="00125874">
            <w:pPr>
              <w:jc w:val="center"/>
              <w:rPr>
                <w:b/>
                <w:sz w:val="20"/>
                <w:szCs w:val="20"/>
              </w:rPr>
            </w:pPr>
          </w:p>
        </w:tc>
        <w:tc>
          <w:tcPr>
            <w:tcW w:w="1276" w:type="dxa"/>
            <w:tcBorders>
              <w:top w:val="single" w:sz="4" w:space="0" w:color="auto"/>
              <w:left w:val="nil"/>
              <w:bottom w:val="single" w:sz="4" w:space="0" w:color="auto"/>
              <w:right w:val="single" w:sz="4" w:space="0" w:color="auto"/>
            </w:tcBorders>
            <w:shd w:val="clear" w:color="auto" w:fill="EEECE1" w:themeFill="background2"/>
            <w:vAlign w:val="center"/>
          </w:tcPr>
          <w:p w:rsidR="00B05334" w:rsidRPr="008D40A9" w:rsidRDefault="00B05334" w:rsidP="00125874">
            <w:pPr>
              <w:jc w:val="center"/>
              <w:rPr>
                <w:b/>
                <w:sz w:val="20"/>
                <w:szCs w:val="20"/>
              </w:rPr>
            </w:pPr>
          </w:p>
        </w:tc>
        <w:tc>
          <w:tcPr>
            <w:tcW w:w="1276" w:type="dxa"/>
            <w:tcBorders>
              <w:top w:val="single" w:sz="4" w:space="0" w:color="auto"/>
              <w:left w:val="nil"/>
              <w:bottom w:val="single" w:sz="4" w:space="0" w:color="auto"/>
              <w:right w:val="single" w:sz="4" w:space="0" w:color="auto"/>
            </w:tcBorders>
            <w:shd w:val="clear" w:color="auto" w:fill="EEECE1" w:themeFill="background2"/>
            <w:vAlign w:val="center"/>
          </w:tcPr>
          <w:p w:rsidR="00B05334" w:rsidRPr="008D40A9" w:rsidRDefault="00B05334" w:rsidP="00125874">
            <w:pPr>
              <w:jc w:val="center"/>
              <w:rPr>
                <w:b/>
                <w:sz w:val="20"/>
                <w:szCs w:val="20"/>
              </w:rPr>
            </w:pPr>
          </w:p>
        </w:tc>
        <w:tc>
          <w:tcPr>
            <w:tcW w:w="1051" w:type="dxa"/>
            <w:tcBorders>
              <w:top w:val="single" w:sz="4" w:space="0" w:color="auto"/>
              <w:left w:val="nil"/>
              <w:bottom w:val="single" w:sz="4" w:space="0" w:color="auto"/>
              <w:right w:val="single" w:sz="4" w:space="0" w:color="auto"/>
            </w:tcBorders>
            <w:shd w:val="clear" w:color="auto" w:fill="EEECE1" w:themeFill="background2"/>
            <w:vAlign w:val="center"/>
          </w:tcPr>
          <w:p w:rsidR="00B05334" w:rsidRPr="008D40A9" w:rsidRDefault="00B05334" w:rsidP="00125874">
            <w:pPr>
              <w:jc w:val="center"/>
              <w:rPr>
                <w:b/>
                <w:sz w:val="20"/>
                <w:szCs w:val="20"/>
              </w:rPr>
            </w:pPr>
          </w:p>
        </w:tc>
      </w:tr>
      <w:tr w:rsidR="00B05334" w:rsidRPr="007708C9" w:rsidTr="00125874">
        <w:trPr>
          <w:trHeight w:val="639"/>
        </w:trPr>
        <w:tc>
          <w:tcPr>
            <w:tcW w:w="312" w:type="dxa"/>
            <w:tcBorders>
              <w:top w:val="single" w:sz="4" w:space="0" w:color="auto"/>
              <w:left w:val="single" w:sz="8" w:space="0" w:color="auto"/>
              <w:right w:val="single" w:sz="4" w:space="0" w:color="auto"/>
            </w:tcBorders>
            <w:noWrap/>
            <w:vAlign w:val="bottom"/>
          </w:tcPr>
          <w:p w:rsidR="00B05334" w:rsidRPr="007708C9" w:rsidRDefault="00B05334" w:rsidP="00125874">
            <w:pPr>
              <w:rPr>
                <w:sz w:val="20"/>
                <w:szCs w:val="20"/>
              </w:rPr>
            </w:pPr>
          </w:p>
        </w:tc>
        <w:tc>
          <w:tcPr>
            <w:tcW w:w="4111" w:type="dxa"/>
            <w:tcBorders>
              <w:top w:val="single" w:sz="4" w:space="0" w:color="auto"/>
              <w:left w:val="single" w:sz="4" w:space="0" w:color="auto"/>
              <w:bottom w:val="single" w:sz="4" w:space="0" w:color="auto"/>
              <w:right w:val="single" w:sz="4" w:space="0" w:color="auto"/>
            </w:tcBorders>
            <w:vAlign w:val="bottom"/>
          </w:tcPr>
          <w:p w:rsidR="00B05334" w:rsidRPr="008D40A9" w:rsidRDefault="00B05334" w:rsidP="00125874">
            <w:pPr>
              <w:autoSpaceDE w:val="0"/>
              <w:autoSpaceDN w:val="0"/>
              <w:adjustRightInd w:val="0"/>
              <w:jc w:val="both"/>
              <w:rPr>
                <w:sz w:val="18"/>
                <w:szCs w:val="18"/>
              </w:rPr>
            </w:pPr>
            <w:r>
              <w:rPr>
                <w:rFonts w:ascii="Roboto" w:hAnsi="Roboto" w:cs="Calibri"/>
                <w:b/>
                <w:bCs/>
                <w:color w:val="334059"/>
                <w:sz w:val="16"/>
                <w:szCs w:val="16"/>
              </w:rPr>
              <w:t>З</w:t>
            </w:r>
            <w:r w:rsidRPr="006C416E">
              <w:rPr>
                <w:rFonts w:ascii="Roboto" w:hAnsi="Roboto" w:cs="Calibri"/>
                <w:b/>
                <w:bCs/>
                <w:color w:val="334059"/>
                <w:sz w:val="16"/>
                <w:szCs w:val="16"/>
              </w:rPr>
              <w:t xml:space="preserve">акупка работы или услуги, выполнение или оказание которых может осуществляться только органом исполнительной власти в </w:t>
            </w:r>
            <w:r>
              <w:rPr>
                <w:rFonts w:ascii="Roboto" w:hAnsi="Roboto" w:cs="Calibri"/>
                <w:b/>
                <w:bCs/>
                <w:color w:val="334059"/>
                <w:sz w:val="16"/>
                <w:szCs w:val="16"/>
              </w:rPr>
              <w:t>соответствии с его полномочиями</w:t>
            </w:r>
          </w:p>
        </w:tc>
        <w:tc>
          <w:tcPr>
            <w:tcW w:w="1275"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B05334" w:rsidRPr="002C6739" w:rsidRDefault="00B05334" w:rsidP="00125874">
            <w:pPr>
              <w:jc w:val="center"/>
              <w:rPr>
                <w:sz w:val="20"/>
                <w:szCs w:val="20"/>
              </w:rPr>
            </w:pPr>
            <w:r>
              <w:rPr>
                <w:sz w:val="20"/>
                <w:szCs w:val="20"/>
              </w:rPr>
              <w:t>7</w:t>
            </w:r>
          </w:p>
        </w:tc>
        <w:tc>
          <w:tcPr>
            <w:tcW w:w="1276" w:type="dxa"/>
            <w:tcBorders>
              <w:top w:val="nil"/>
              <w:left w:val="nil"/>
              <w:bottom w:val="single" w:sz="4" w:space="0" w:color="auto"/>
              <w:right w:val="single" w:sz="4" w:space="0" w:color="auto"/>
            </w:tcBorders>
            <w:vAlign w:val="center"/>
          </w:tcPr>
          <w:p w:rsidR="00B05334" w:rsidRPr="002C6739" w:rsidRDefault="00184CEB" w:rsidP="00125874">
            <w:pPr>
              <w:jc w:val="center"/>
              <w:rPr>
                <w:sz w:val="20"/>
                <w:szCs w:val="20"/>
              </w:rPr>
            </w:pPr>
            <w:r>
              <w:rPr>
                <w:sz w:val="20"/>
                <w:szCs w:val="20"/>
              </w:rPr>
              <w:t>3,7%</w:t>
            </w:r>
          </w:p>
        </w:tc>
        <w:tc>
          <w:tcPr>
            <w:tcW w:w="1276" w:type="dxa"/>
            <w:tcBorders>
              <w:top w:val="nil"/>
              <w:left w:val="nil"/>
              <w:bottom w:val="single" w:sz="4" w:space="0" w:color="auto"/>
              <w:right w:val="single" w:sz="4" w:space="0" w:color="auto"/>
            </w:tcBorders>
            <w:vAlign w:val="center"/>
          </w:tcPr>
          <w:p w:rsidR="00B05334" w:rsidRPr="002C6739" w:rsidRDefault="00B05334" w:rsidP="00125874">
            <w:pPr>
              <w:jc w:val="center"/>
              <w:rPr>
                <w:sz w:val="20"/>
                <w:szCs w:val="20"/>
              </w:rPr>
            </w:pPr>
            <w:r>
              <w:rPr>
                <w:sz w:val="20"/>
                <w:szCs w:val="20"/>
              </w:rPr>
              <w:t>6 180,</w:t>
            </w:r>
            <w:r w:rsidR="00D67849">
              <w:rPr>
                <w:sz w:val="20"/>
                <w:szCs w:val="20"/>
              </w:rPr>
              <w:t>4</w:t>
            </w:r>
          </w:p>
        </w:tc>
        <w:tc>
          <w:tcPr>
            <w:tcW w:w="1051" w:type="dxa"/>
            <w:tcBorders>
              <w:top w:val="nil"/>
              <w:left w:val="nil"/>
              <w:bottom w:val="single" w:sz="4" w:space="0" w:color="auto"/>
              <w:right w:val="single" w:sz="4" w:space="0" w:color="auto"/>
            </w:tcBorders>
            <w:vAlign w:val="center"/>
          </w:tcPr>
          <w:p w:rsidR="00B05334" w:rsidRPr="002C6739" w:rsidRDefault="00184CEB" w:rsidP="00125874">
            <w:pPr>
              <w:jc w:val="center"/>
              <w:rPr>
                <w:sz w:val="20"/>
                <w:szCs w:val="20"/>
              </w:rPr>
            </w:pPr>
            <w:r>
              <w:rPr>
                <w:sz w:val="20"/>
                <w:szCs w:val="20"/>
              </w:rPr>
              <w:t>0,8%</w:t>
            </w:r>
          </w:p>
        </w:tc>
      </w:tr>
      <w:tr w:rsidR="00B05334" w:rsidRPr="007708C9" w:rsidTr="00125874">
        <w:trPr>
          <w:trHeight w:val="150"/>
        </w:trPr>
        <w:tc>
          <w:tcPr>
            <w:tcW w:w="312" w:type="dxa"/>
            <w:tcBorders>
              <w:top w:val="single" w:sz="4" w:space="0" w:color="auto"/>
              <w:left w:val="single" w:sz="8" w:space="0" w:color="auto"/>
              <w:bottom w:val="single" w:sz="4" w:space="0" w:color="auto"/>
              <w:right w:val="single" w:sz="4" w:space="0" w:color="auto"/>
            </w:tcBorders>
            <w:shd w:val="clear" w:color="auto" w:fill="EEECE1" w:themeFill="background2"/>
            <w:noWrap/>
            <w:vAlign w:val="bottom"/>
          </w:tcPr>
          <w:p w:rsidR="00B05334" w:rsidRPr="008D40A9" w:rsidRDefault="00B05334" w:rsidP="00125874">
            <w:pPr>
              <w:rPr>
                <w:b/>
                <w:sz w:val="20"/>
                <w:szCs w:val="20"/>
              </w:rPr>
            </w:pPr>
            <w:r>
              <w:rPr>
                <w:b/>
                <w:sz w:val="20"/>
                <w:szCs w:val="20"/>
              </w:rPr>
              <w:t>4</w:t>
            </w:r>
          </w:p>
        </w:tc>
        <w:tc>
          <w:tcPr>
            <w:tcW w:w="4111"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B05334" w:rsidRPr="008D40A9" w:rsidRDefault="00B05334" w:rsidP="00125874">
            <w:pPr>
              <w:rPr>
                <w:b/>
                <w:sz w:val="20"/>
                <w:szCs w:val="20"/>
              </w:rPr>
            </w:pPr>
            <w:r w:rsidRPr="008D40A9">
              <w:rPr>
                <w:b/>
                <w:sz w:val="20"/>
                <w:szCs w:val="20"/>
              </w:rPr>
              <w:t xml:space="preserve">Пункт </w:t>
            </w:r>
            <w:r>
              <w:rPr>
                <w:b/>
                <w:sz w:val="20"/>
                <w:szCs w:val="20"/>
              </w:rPr>
              <w:t xml:space="preserve"> 8 </w:t>
            </w:r>
            <w:r w:rsidRPr="008D40A9">
              <w:rPr>
                <w:b/>
                <w:sz w:val="20"/>
                <w:szCs w:val="20"/>
              </w:rPr>
              <w:t xml:space="preserve"> части 1 статьи 93</w:t>
            </w:r>
          </w:p>
        </w:tc>
        <w:tc>
          <w:tcPr>
            <w:tcW w:w="1275" w:type="dxa"/>
            <w:tcBorders>
              <w:top w:val="single" w:sz="4" w:space="0" w:color="auto"/>
              <w:left w:val="nil"/>
              <w:bottom w:val="single" w:sz="4" w:space="0" w:color="auto"/>
              <w:right w:val="single" w:sz="4" w:space="0" w:color="auto"/>
            </w:tcBorders>
            <w:shd w:val="clear" w:color="auto" w:fill="EEECE1" w:themeFill="background2"/>
            <w:noWrap/>
            <w:tcMar>
              <w:top w:w="0" w:type="dxa"/>
              <w:left w:w="0" w:type="dxa"/>
              <w:bottom w:w="0" w:type="dxa"/>
              <w:right w:w="0" w:type="dxa"/>
            </w:tcMar>
            <w:vAlign w:val="center"/>
          </w:tcPr>
          <w:p w:rsidR="00B05334" w:rsidRPr="002C6739" w:rsidRDefault="00B05334" w:rsidP="00125874">
            <w:pPr>
              <w:jc w:val="center"/>
              <w:rPr>
                <w:b/>
                <w:sz w:val="20"/>
                <w:szCs w:val="20"/>
              </w:rPr>
            </w:pPr>
          </w:p>
        </w:tc>
        <w:tc>
          <w:tcPr>
            <w:tcW w:w="1276" w:type="dxa"/>
            <w:tcBorders>
              <w:top w:val="single" w:sz="4" w:space="0" w:color="auto"/>
              <w:left w:val="nil"/>
              <w:bottom w:val="single" w:sz="4" w:space="0" w:color="auto"/>
              <w:right w:val="single" w:sz="4" w:space="0" w:color="auto"/>
            </w:tcBorders>
            <w:shd w:val="clear" w:color="auto" w:fill="EEECE1" w:themeFill="background2"/>
            <w:vAlign w:val="center"/>
          </w:tcPr>
          <w:p w:rsidR="00B05334" w:rsidRPr="002C6739" w:rsidRDefault="00B05334" w:rsidP="00125874">
            <w:pPr>
              <w:jc w:val="center"/>
              <w:rPr>
                <w:b/>
                <w:sz w:val="20"/>
                <w:szCs w:val="20"/>
              </w:rPr>
            </w:pPr>
          </w:p>
        </w:tc>
        <w:tc>
          <w:tcPr>
            <w:tcW w:w="1276" w:type="dxa"/>
            <w:tcBorders>
              <w:top w:val="single" w:sz="4" w:space="0" w:color="auto"/>
              <w:left w:val="nil"/>
              <w:bottom w:val="single" w:sz="4" w:space="0" w:color="auto"/>
              <w:right w:val="single" w:sz="4" w:space="0" w:color="auto"/>
            </w:tcBorders>
            <w:shd w:val="clear" w:color="auto" w:fill="EEECE1" w:themeFill="background2"/>
            <w:vAlign w:val="center"/>
          </w:tcPr>
          <w:p w:rsidR="00B05334" w:rsidRPr="002C6739" w:rsidRDefault="00B05334" w:rsidP="00125874">
            <w:pPr>
              <w:jc w:val="center"/>
              <w:rPr>
                <w:b/>
                <w:sz w:val="20"/>
                <w:szCs w:val="20"/>
              </w:rPr>
            </w:pPr>
          </w:p>
        </w:tc>
        <w:tc>
          <w:tcPr>
            <w:tcW w:w="1051" w:type="dxa"/>
            <w:tcBorders>
              <w:top w:val="single" w:sz="4" w:space="0" w:color="auto"/>
              <w:left w:val="nil"/>
              <w:bottom w:val="single" w:sz="4" w:space="0" w:color="auto"/>
              <w:right w:val="single" w:sz="4" w:space="0" w:color="auto"/>
            </w:tcBorders>
            <w:shd w:val="clear" w:color="auto" w:fill="EEECE1" w:themeFill="background2"/>
            <w:vAlign w:val="center"/>
          </w:tcPr>
          <w:p w:rsidR="00B05334" w:rsidRPr="002C6739" w:rsidRDefault="00B05334" w:rsidP="00125874">
            <w:pPr>
              <w:jc w:val="center"/>
              <w:rPr>
                <w:sz w:val="20"/>
                <w:szCs w:val="20"/>
              </w:rPr>
            </w:pPr>
          </w:p>
        </w:tc>
      </w:tr>
      <w:tr w:rsidR="00B05334" w:rsidRPr="007708C9" w:rsidTr="00125874">
        <w:trPr>
          <w:trHeight w:val="678"/>
        </w:trPr>
        <w:tc>
          <w:tcPr>
            <w:tcW w:w="312" w:type="dxa"/>
            <w:tcBorders>
              <w:top w:val="single" w:sz="4" w:space="0" w:color="auto"/>
              <w:left w:val="single" w:sz="8" w:space="0" w:color="auto"/>
              <w:bottom w:val="single" w:sz="4" w:space="0" w:color="auto"/>
              <w:right w:val="single" w:sz="4" w:space="0" w:color="auto"/>
            </w:tcBorders>
            <w:noWrap/>
            <w:vAlign w:val="bottom"/>
          </w:tcPr>
          <w:p w:rsidR="00B05334" w:rsidRPr="007708C9" w:rsidRDefault="00B05334" w:rsidP="00125874">
            <w:pPr>
              <w:rPr>
                <w:sz w:val="20"/>
                <w:szCs w:val="20"/>
              </w:rPr>
            </w:pPr>
          </w:p>
        </w:tc>
        <w:tc>
          <w:tcPr>
            <w:tcW w:w="4111" w:type="dxa"/>
            <w:tcBorders>
              <w:top w:val="single" w:sz="4" w:space="0" w:color="auto"/>
              <w:left w:val="single" w:sz="4" w:space="0" w:color="auto"/>
              <w:bottom w:val="single" w:sz="4" w:space="0" w:color="auto"/>
              <w:right w:val="single" w:sz="4" w:space="0" w:color="auto"/>
            </w:tcBorders>
            <w:vAlign w:val="bottom"/>
          </w:tcPr>
          <w:p w:rsidR="00B05334" w:rsidRPr="008D40A9" w:rsidRDefault="00B05334" w:rsidP="00125874">
            <w:pPr>
              <w:autoSpaceDE w:val="0"/>
              <w:autoSpaceDN w:val="0"/>
              <w:adjustRightInd w:val="0"/>
              <w:jc w:val="both"/>
              <w:rPr>
                <w:sz w:val="18"/>
                <w:szCs w:val="18"/>
              </w:rPr>
            </w:pPr>
            <w:r w:rsidRPr="00AA7201">
              <w:rPr>
                <w:rFonts w:ascii="Roboto" w:hAnsi="Roboto" w:cs="Calibri"/>
                <w:b/>
                <w:bCs/>
                <w:color w:val="334059"/>
                <w:sz w:val="16"/>
                <w:szCs w:val="16"/>
              </w:rPr>
              <w:t>Оказание услуг по водоснабжению, водоотведению, теплоснабжению, обращению с твердыми коммунальными отходами, газоснабжению</w:t>
            </w:r>
          </w:p>
        </w:tc>
        <w:tc>
          <w:tcPr>
            <w:tcW w:w="1275"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B05334" w:rsidRPr="002C6739" w:rsidRDefault="00B05334" w:rsidP="00125874">
            <w:pPr>
              <w:jc w:val="center"/>
              <w:rPr>
                <w:sz w:val="20"/>
                <w:szCs w:val="20"/>
              </w:rPr>
            </w:pPr>
            <w:r>
              <w:rPr>
                <w:sz w:val="20"/>
                <w:szCs w:val="20"/>
              </w:rPr>
              <w:t>31</w:t>
            </w:r>
          </w:p>
        </w:tc>
        <w:tc>
          <w:tcPr>
            <w:tcW w:w="1276" w:type="dxa"/>
            <w:tcBorders>
              <w:top w:val="single" w:sz="4" w:space="0" w:color="auto"/>
              <w:left w:val="nil"/>
              <w:bottom w:val="single" w:sz="4" w:space="0" w:color="auto"/>
              <w:right w:val="single" w:sz="4" w:space="0" w:color="auto"/>
            </w:tcBorders>
            <w:vAlign w:val="center"/>
          </w:tcPr>
          <w:p w:rsidR="00B05334" w:rsidRPr="002C6739" w:rsidRDefault="00184CEB" w:rsidP="00125874">
            <w:pPr>
              <w:jc w:val="center"/>
              <w:rPr>
                <w:sz w:val="20"/>
                <w:szCs w:val="20"/>
              </w:rPr>
            </w:pPr>
            <w:r>
              <w:rPr>
                <w:sz w:val="20"/>
                <w:szCs w:val="20"/>
              </w:rPr>
              <w:t>16,5%</w:t>
            </w:r>
          </w:p>
        </w:tc>
        <w:tc>
          <w:tcPr>
            <w:tcW w:w="1276" w:type="dxa"/>
            <w:tcBorders>
              <w:top w:val="single" w:sz="4" w:space="0" w:color="auto"/>
              <w:left w:val="nil"/>
              <w:bottom w:val="single" w:sz="4" w:space="0" w:color="auto"/>
              <w:right w:val="single" w:sz="4" w:space="0" w:color="auto"/>
            </w:tcBorders>
            <w:vAlign w:val="center"/>
          </w:tcPr>
          <w:p w:rsidR="00B05334" w:rsidRPr="002C6739" w:rsidRDefault="00B05334" w:rsidP="00125874">
            <w:pPr>
              <w:jc w:val="center"/>
              <w:rPr>
                <w:sz w:val="20"/>
                <w:szCs w:val="20"/>
              </w:rPr>
            </w:pPr>
            <w:r>
              <w:rPr>
                <w:sz w:val="20"/>
                <w:szCs w:val="20"/>
              </w:rPr>
              <w:t>9 244,1</w:t>
            </w:r>
          </w:p>
        </w:tc>
        <w:tc>
          <w:tcPr>
            <w:tcW w:w="1051" w:type="dxa"/>
            <w:tcBorders>
              <w:top w:val="single" w:sz="4" w:space="0" w:color="auto"/>
              <w:left w:val="nil"/>
              <w:bottom w:val="single" w:sz="4" w:space="0" w:color="auto"/>
              <w:right w:val="single" w:sz="4" w:space="0" w:color="auto"/>
            </w:tcBorders>
            <w:vAlign w:val="center"/>
          </w:tcPr>
          <w:p w:rsidR="00B05334" w:rsidRPr="002C6739" w:rsidRDefault="00184CEB" w:rsidP="00125874">
            <w:pPr>
              <w:jc w:val="center"/>
              <w:rPr>
                <w:sz w:val="20"/>
                <w:szCs w:val="20"/>
              </w:rPr>
            </w:pPr>
            <w:r>
              <w:rPr>
                <w:sz w:val="20"/>
                <w:szCs w:val="20"/>
              </w:rPr>
              <w:t>1,2%</w:t>
            </w:r>
          </w:p>
        </w:tc>
      </w:tr>
      <w:tr w:rsidR="00755FA4" w:rsidRPr="007708C9" w:rsidTr="00125874">
        <w:trPr>
          <w:trHeight w:val="203"/>
        </w:trPr>
        <w:tc>
          <w:tcPr>
            <w:tcW w:w="312" w:type="dxa"/>
            <w:tcBorders>
              <w:top w:val="single" w:sz="4" w:space="0" w:color="auto"/>
              <w:left w:val="single" w:sz="8" w:space="0" w:color="auto"/>
              <w:bottom w:val="single" w:sz="4" w:space="0" w:color="auto"/>
              <w:right w:val="single" w:sz="4" w:space="0" w:color="auto"/>
            </w:tcBorders>
            <w:shd w:val="clear" w:color="auto" w:fill="EEECE1" w:themeFill="background2"/>
            <w:noWrap/>
            <w:vAlign w:val="bottom"/>
          </w:tcPr>
          <w:p w:rsidR="00755FA4" w:rsidRPr="008D40A9" w:rsidRDefault="00755FA4" w:rsidP="00125874">
            <w:pPr>
              <w:rPr>
                <w:b/>
                <w:sz w:val="20"/>
                <w:szCs w:val="20"/>
              </w:rPr>
            </w:pPr>
            <w:r>
              <w:rPr>
                <w:b/>
                <w:sz w:val="20"/>
                <w:szCs w:val="20"/>
              </w:rPr>
              <w:t>5</w:t>
            </w:r>
          </w:p>
        </w:tc>
        <w:tc>
          <w:tcPr>
            <w:tcW w:w="4111"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755FA4" w:rsidRPr="008D40A9" w:rsidRDefault="00755FA4" w:rsidP="00125874">
            <w:pPr>
              <w:rPr>
                <w:b/>
                <w:sz w:val="20"/>
                <w:szCs w:val="20"/>
              </w:rPr>
            </w:pPr>
            <w:r w:rsidRPr="008D40A9">
              <w:rPr>
                <w:b/>
                <w:sz w:val="20"/>
                <w:szCs w:val="20"/>
              </w:rPr>
              <w:t xml:space="preserve">Пункт </w:t>
            </w:r>
            <w:r>
              <w:rPr>
                <w:b/>
                <w:sz w:val="20"/>
                <w:szCs w:val="20"/>
              </w:rPr>
              <w:t xml:space="preserve"> 22 </w:t>
            </w:r>
            <w:r w:rsidRPr="008D40A9">
              <w:rPr>
                <w:b/>
                <w:sz w:val="20"/>
                <w:szCs w:val="20"/>
              </w:rPr>
              <w:t xml:space="preserve"> части 1 статьи 93</w:t>
            </w:r>
          </w:p>
        </w:tc>
        <w:tc>
          <w:tcPr>
            <w:tcW w:w="1275" w:type="dxa"/>
            <w:tcBorders>
              <w:top w:val="single" w:sz="4" w:space="0" w:color="auto"/>
              <w:left w:val="nil"/>
              <w:bottom w:val="single" w:sz="4" w:space="0" w:color="auto"/>
              <w:right w:val="single" w:sz="4" w:space="0" w:color="auto"/>
            </w:tcBorders>
            <w:shd w:val="clear" w:color="auto" w:fill="EEECE1" w:themeFill="background2"/>
            <w:noWrap/>
            <w:tcMar>
              <w:top w:w="0" w:type="dxa"/>
              <w:left w:w="0" w:type="dxa"/>
              <w:bottom w:w="0" w:type="dxa"/>
              <w:right w:w="0" w:type="dxa"/>
            </w:tcMar>
            <w:vAlign w:val="center"/>
          </w:tcPr>
          <w:p w:rsidR="00755FA4" w:rsidRPr="002C6739" w:rsidRDefault="00755FA4" w:rsidP="00125874">
            <w:pPr>
              <w:jc w:val="center"/>
              <w:rPr>
                <w:b/>
                <w:sz w:val="20"/>
                <w:szCs w:val="20"/>
              </w:rPr>
            </w:pPr>
          </w:p>
        </w:tc>
        <w:tc>
          <w:tcPr>
            <w:tcW w:w="1276" w:type="dxa"/>
            <w:tcBorders>
              <w:top w:val="single" w:sz="4" w:space="0" w:color="auto"/>
              <w:left w:val="nil"/>
              <w:bottom w:val="single" w:sz="4" w:space="0" w:color="auto"/>
              <w:right w:val="single" w:sz="4" w:space="0" w:color="auto"/>
            </w:tcBorders>
            <w:shd w:val="clear" w:color="auto" w:fill="EEECE1" w:themeFill="background2"/>
            <w:vAlign w:val="center"/>
          </w:tcPr>
          <w:p w:rsidR="00755FA4" w:rsidRPr="002C6739" w:rsidRDefault="00755FA4" w:rsidP="00125874">
            <w:pPr>
              <w:jc w:val="center"/>
              <w:rPr>
                <w:b/>
                <w:sz w:val="20"/>
                <w:szCs w:val="20"/>
              </w:rPr>
            </w:pPr>
          </w:p>
        </w:tc>
        <w:tc>
          <w:tcPr>
            <w:tcW w:w="1276" w:type="dxa"/>
            <w:tcBorders>
              <w:top w:val="single" w:sz="4" w:space="0" w:color="auto"/>
              <w:left w:val="nil"/>
              <w:bottom w:val="single" w:sz="4" w:space="0" w:color="auto"/>
              <w:right w:val="single" w:sz="4" w:space="0" w:color="auto"/>
            </w:tcBorders>
            <w:shd w:val="clear" w:color="auto" w:fill="EEECE1" w:themeFill="background2"/>
            <w:vAlign w:val="center"/>
          </w:tcPr>
          <w:p w:rsidR="00755FA4" w:rsidRPr="002C6739" w:rsidRDefault="00755FA4" w:rsidP="00125874">
            <w:pPr>
              <w:jc w:val="center"/>
              <w:rPr>
                <w:b/>
                <w:sz w:val="20"/>
                <w:szCs w:val="20"/>
              </w:rPr>
            </w:pPr>
          </w:p>
        </w:tc>
        <w:tc>
          <w:tcPr>
            <w:tcW w:w="1051" w:type="dxa"/>
            <w:tcBorders>
              <w:top w:val="single" w:sz="4" w:space="0" w:color="auto"/>
              <w:left w:val="nil"/>
              <w:bottom w:val="single" w:sz="4" w:space="0" w:color="auto"/>
              <w:right w:val="single" w:sz="4" w:space="0" w:color="auto"/>
            </w:tcBorders>
            <w:shd w:val="clear" w:color="auto" w:fill="EEECE1" w:themeFill="background2"/>
            <w:vAlign w:val="center"/>
          </w:tcPr>
          <w:p w:rsidR="00755FA4" w:rsidRPr="002C6739" w:rsidRDefault="00755FA4" w:rsidP="00125874">
            <w:pPr>
              <w:jc w:val="center"/>
              <w:rPr>
                <w:sz w:val="20"/>
                <w:szCs w:val="20"/>
              </w:rPr>
            </w:pPr>
          </w:p>
        </w:tc>
      </w:tr>
      <w:tr w:rsidR="00755FA4" w:rsidRPr="007708C9" w:rsidTr="00125874">
        <w:trPr>
          <w:trHeight w:val="1616"/>
        </w:trPr>
        <w:tc>
          <w:tcPr>
            <w:tcW w:w="312" w:type="dxa"/>
            <w:tcBorders>
              <w:top w:val="single" w:sz="4" w:space="0" w:color="auto"/>
              <w:left w:val="single" w:sz="8" w:space="0" w:color="auto"/>
              <w:bottom w:val="single" w:sz="4" w:space="0" w:color="auto"/>
              <w:right w:val="single" w:sz="4" w:space="0" w:color="auto"/>
            </w:tcBorders>
            <w:noWrap/>
            <w:vAlign w:val="bottom"/>
          </w:tcPr>
          <w:p w:rsidR="00755FA4" w:rsidRPr="007708C9" w:rsidRDefault="00755FA4" w:rsidP="00125874">
            <w:pPr>
              <w:rPr>
                <w:sz w:val="20"/>
                <w:szCs w:val="20"/>
              </w:rPr>
            </w:pPr>
          </w:p>
        </w:tc>
        <w:tc>
          <w:tcPr>
            <w:tcW w:w="4111" w:type="dxa"/>
            <w:tcBorders>
              <w:top w:val="single" w:sz="4" w:space="0" w:color="auto"/>
              <w:left w:val="single" w:sz="4" w:space="0" w:color="auto"/>
              <w:bottom w:val="single" w:sz="4" w:space="0" w:color="auto"/>
              <w:right w:val="single" w:sz="4" w:space="0" w:color="auto"/>
            </w:tcBorders>
            <w:vAlign w:val="bottom"/>
          </w:tcPr>
          <w:p w:rsidR="00125874" w:rsidRPr="002C6739" w:rsidRDefault="00755FA4" w:rsidP="00125874">
            <w:pPr>
              <w:autoSpaceDE w:val="0"/>
              <w:autoSpaceDN w:val="0"/>
              <w:adjustRightInd w:val="0"/>
              <w:jc w:val="both"/>
              <w:rPr>
                <w:sz w:val="20"/>
                <w:szCs w:val="20"/>
              </w:rPr>
            </w:pPr>
            <w:r w:rsidRPr="00AA7201">
              <w:rPr>
                <w:rFonts w:ascii="Roboto" w:hAnsi="Roboto" w:cs="Calibri"/>
                <w:b/>
                <w:bCs/>
                <w:color w:val="334059"/>
                <w:sz w:val="16"/>
                <w:szCs w:val="16"/>
              </w:rPr>
              <w:t xml:space="preserve">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87" w:history="1">
              <w:r w:rsidRPr="00AA7201">
                <w:rPr>
                  <w:rFonts w:ascii="Roboto" w:hAnsi="Roboto" w:cs="Calibri"/>
                  <w:b/>
                  <w:bCs/>
                  <w:color w:val="334059"/>
                  <w:sz w:val="16"/>
                  <w:szCs w:val="16"/>
                </w:rPr>
                <w:t>законодательством</w:t>
              </w:r>
            </w:hyperlink>
            <w:r w:rsidRPr="00AA7201">
              <w:rPr>
                <w:rFonts w:ascii="Roboto" w:hAnsi="Roboto" w:cs="Calibri"/>
                <w:b/>
                <w:bCs/>
                <w:color w:val="334059"/>
                <w:sz w:val="16"/>
                <w:szCs w:val="16"/>
              </w:rPr>
              <w:t>, управляющей компанией, если помещения в многоквартирном доме находятся в частной, государственной или муниципальной собственности.</w:t>
            </w:r>
          </w:p>
        </w:tc>
        <w:tc>
          <w:tcPr>
            <w:tcW w:w="1275"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755FA4" w:rsidRPr="002C6739" w:rsidRDefault="00B05334" w:rsidP="00125874">
            <w:pPr>
              <w:jc w:val="center"/>
              <w:rPr>
                <w:sz w:val="20"/>
                <w:szCs w:val="20"/>
              </w:rPr>
            </w:pPr>
            <w:r>
              <w:rPr>
                <w:sz w:val="20"/>
                <w:szCs w:val="20"/>
              </w:rPr>
              <w:t>17</w:t>
            </w:r>
          </w:p>
        </w:tc>
        <w:tc>
          <w:tcPr>
            <w:tcW w:w="1276" w:type="dxa"/>
            <w:tcBorders>
              <w:top w:val="single" w:sz="4" w:space="0" w:color="auto"/>
              <w:left w:val="nil"/>
              <w:bottom w:val="single" w:sz="4" w:space="0" w:color="auto"/>
              <w:right w:val="single" w:sz="4" w:space="0" w:color="auto"/>
            </w:tcBorders>
            <w:vAlign w:val="center"/>
          </w:tcPr>
          <w:p w:rsidR="00755FA4" w:rsidRPr="002C6739" w:rsidRDefault="00184CEB" w:rsidP="00125874">
            <w:pPr>
              <w:jc w:val="center"/>
              <w:rPr>
                <w:sz w:val="20"/>
                <w:szCs w:val="20"/>
              </w:rPr>
            </w:pPr>
            <w:r>
              <w:rPr>
                <w:sz w:val="20"/>
                <w:szCs w:val="20"/>
              </w:rPr>
              <w:t>9,0%</w:t>
            </w:r>
          </w:p>
        </w:tc>
        <w:tc>
          <w:tcPr>
            <w:tcW w:w="1276" w:type="dxa"/>
            <w:tcBorders>
              <w:top w:val="single" w:sz="4" w:space="0" w:color="auto"/>
              <w:left w:val="nil"/>
              <w:bottom w:val="single" w:sz="4" w:space="0" w:color="auto"/>
              <w:right w:val="single" w:sz="4" w:space="0" w:color="auto"/>
            </w:tcBorders>
            <w:vAlign w:val="center"/>
          </w:tcPr>
          <w:p w:rsidR="00755FA4" w:rsidRPr="002C6739" w:rsidRDefault="00B05334" w:rsidP="00125874">
            <w:pPr>
              <w:jc w:val="center"/>
              <w:rPr>
                <w:sz w:val="20"/>
                <w:szCs w:val="20"/>
              </w:rPr>
            </w:pPr>
            <w:r>
              <w:rPr>
                <w:sz w:val="20"/>
                <w:szCs w:val="20"/>
              </w:rPr>
              <w:t>2 078,7</w:t>
            </w:r>
          </w:p>
        </w:tc>
        <w:tc>
          <w:tcPr>
            <w:tcW w:w="1051" w:type="dxa"/>
            <w:tcBorders>
              <w:top w:val="single" w:sz="4" w:space="0" w:color="auto"/>
              <w:left w:val="nil"/>
              <w:bottom w:val="single" w:sz="4" w:space="0" w:color="auto"/>
              <w:right w:val="single" w:sz="4" w:space="0" w:color="auto"/>
            </w:tcBorders>
            <w:vAlign w:val="center"/>
          </w:tcPr>
          <w:p w:rsidR="00755FA4" w:rsidRPr="002C6739" w:rsidRDefault="00184CEB" w:rsidP="00125874">
            <w:pPr>
              <w:jc w:val="center"/>
              <w:rPr>
                <w:sz w:val="20"/>
                <w:szCs w:val="20"/>
              </w:rPr>
            </w:pPr>
            <w:r>
              <w:rPr>
                <w:sz w:val="20"/>
                <w:szCs w:val="20"/>
              </w:rPr>
              <w:t>0,3%</w:t>
            </w:r>
          </w:p>
        </w:tc>
      </w:tr>
      <w:tr w:rsidR="00125874" w:rsidRPr="007708C9" w:rsidTr="00303CCD">
        <w:trPr>
          <w:trHeight w:val="321"/>
        </w:trPr>
        <w:tc>
          <w:tcPr>
            <w:tcW w:w="312" w:type="dxa"/>
            <w:tcBorders>
              <w:top w:val="single" w:sz="4" w:space="0" w:color="auto"/>
              <w:left w:val="single" w:sz="8" w:space="0" w:color="auto"/>
              <w:bottom w:val="single" w:sz="4" w:space="0" w:color="auto"/>
              <w:right w:val="single" w:sz="4" w:space="0" w:color="auto"/>
            </w:tcBorders>
            <w:noWrap/>
            <w:vAlign w:val="bottom"/>
          </w:tcPr>
          <w:p w:rsidR="00125874" w:rsidRDefault="00125874" w:rsidP="00125874">
            <w:pPr>
              <w:rPr>
                <w:b/>
                <w:sz w:val="20"/>
                <w:szCs w:val="20"/>
              </w:rPr>
            </w:pPr>
            <w:r w:rsidRPr="00125874">
              <w:rPr>
                <w:b/>
                <w:sz w:val="20"/>
                <w:szCs w:val="20"/>
              </w:rPr>
              <w:t>6</w:t>
            </w:r>
          </w:p>
          <w:p w:rsidR="00125874" w:rsidRPr="00125874" w:rsidRDefault="00125874" w:rsidP="00125874">
            <w:pPr>
              <w:rPr>
                <w:b/>
                <w:sz w:val="20"/>
                <w:szCs w:val="20"/>
              </w:rPr>
            </w:pPr>
          </w:p>
        </w:tc>
        <w:tc>
          <w:tcPr>
            <w:tcW w:w="4111" w:type="dxa"/>
            <w:tcBorders>
              <w:top w:val="single" w:sz="4" w:space="0" w:color="auto"/>
              <w:left w:val="single" w:sz="4" w:space="0" w:color="auto"/>
              <w:bottom w:val="single" w:sz="4" w:space="0" w:color="auto"/>
              <w:right w:val="single" w:sz="4" w:space="0" w:color="auto"/>
            </w:tcBorders>
            <w:vAlign w:val="bottom"/>
          </w:tcPr>
          <w:p w:rsidR="00125874" w:rsidRDefault="00125874" w:rsidP="00125874">
            <w:pPr>
              <w:rPr>
                <w:b/>
                <w:sz w:val="20"/>
                <w:szCs w:val="20"/>
              </w:rPr>
            </w:pPr>
            <w:r w:rsidRPr="008D40A9">
              <w:rPr>
                <w:b/>
                <w:sz w:val="20"/>
                <w:szCs w:val="20"/>
              </w:rPr>
              <w:t xml:space="preserve">Пункт </w:t>
            </w:r>
            <w:r>
              <w:rPr>
                <w:b/>
                <w:sz w:val="20"/>
                <w:szCs w:val="20"/>
              </w:rPr>
              <w:t xml:space="preserve"> 23 </w:t>
            </w:r>
            <w:r w:rsidRPr="008D40A9">
              <w:rPr>
                <w:b/>
                <w:sz w:val="20"/>
                <w:szCs w:val="20"/>
              </w:rPr>
              <w:t xml:space="preserve"> части 1 статьи 93</w:t>
            </w:r>
          </w:p>
          <w:p w:rsidR="00125874" w:rsidRPr="00125874" w:rsidRDefault="00125874" w:rsidP="00125874">
            <w:pPr>
              <w:autoSpaceDE w:val="0"/>
              <w:autoSpaceDN w:val="0"/>
              <w:adjustRightInd w:val="0"/>
              <w:jc w:val="both"/>
              <w:rPr>
                <w:rFonts w:ascii="Roboto" w:hAnsi="Roboto" w:cs="Calibri"/>
                <w:b/>
                <w:bCs/>
                <w:color w:val="334059"/>
                <w:sz w:val="16"/>
                <w:szCs w:val="16"/>
              </w:rPr>
            </w:pPr>
          </w:p>
        </w:tc>
        <w:tc>
          <w:tcPr>
            <w:tcW w:w="1275"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125874" w:rsidRDefault="00125874" w:rsidP="00125874">
            <w:pPr>
              <w:jc w:val="center"/>
              <w:rPr>
                <w:sz w:val="20"/>
                <w:szCs w:val="20"/>
              </w:rPr>
            </w:pPr>
          </w:p>
        </w:tc>
        <w:tc>
          <w:tcPr>
            <w:tcW w:w="1276" w:type="dxa"/>
            <w:tcBorders>
              <w:top w:val="single" w:sz="4" w:space="0" w:color="auto"/>
              <w:left w:val="nil"/>
              <w:bottom w:val="single" w:sz="4" w:space="0" w:color="auto"/>
              <w:right w:val="single" w:sz="4" w:space="0" w:color="auto"/>
            </w:tcBorders>
            <w:vAlign w:val="center"/>
          </w:tcPr>
          <w:p w:rsidR="00125874" w:rsidRDefault="00125874" w:rsidP="00125874">
            <w:pPr>
              <w:jc w:val="center"/>
              <w:rPr>
                <w:sz w:val="20"/>
                <w:szCs w:val="20"/>
              </w:rPr>
            </w:pPr>
          </w:p>
        </w:tc>
        <w:tc>
          <w:tcPr>
            <w:tcW w:w="1276" w:type="dxa"/>
            <w:tcBorders>
              <w:top w:val="single" w:sz="4" w:space="0" w:color="auto"/>
              <w:left w:val="nil"/>
              <w:bottom w:val="single" w:sz="4" w:space="0" w:color="auto"/>
              <w:right w:val="single" w:sz="4" w:space="0" w:color="auto"/>
            </w:tcBorders>
            <w:vAlign w:val="center"/>
          </w:tcPr>
          <w:p w:rsidR="00125874" w:rsidRDefault="00125874" w:rsidP="00125874">
            <w:pPr>
              <w:jc w:val="center"/>
              <w:rPr>
                <w:sz w:val="20"/>
                <w:szCs w:val="20"/>
              </w:rPr>
            </w:pPr>
          </w:p>
        </w:tc>
        <w:tc>
          <w:tcPr>
            <w:tcW w:w="1051" w:type="dxa"/>
            <w:tcBorders>
              <w:top w:val="single" w:sz="4" w:space="0" w:color="auto"/>
              <w:left w:val="nil"/>
              <w:bottom w:val="single" w:sz="4" w:space="0" w:color="auto"/>
              <w:right w:val="single" w:sz="4" w:space="0" w:color="auto"/>
            </w:tcBorders>
            <w:vAlign w:val="center"/>
          </w:tcPr>
          <w:p w:rsidR="00125874" w:rsidRDefault="00125874" w:rsidP="00125874">
            <w:pPr>
              <w:jc w:val="center"/>
              <w:rPr>
                <w:sz w:val="20"/>
                <w:szCs w:val="20"/>
              </w:rPr>
            </w:pPr>
          </w:p>
        </w:tc>
      </w:tr>
      <w:tr w:rsidR="00B05334" w:rsidRPr="007708C9" w:rsidTr="00125874">
        <w:trPr>
          <w:trHeight w:val="2784"/>
        </w:trPr>
        <w:tc>
          <w:tcPr>
            <w:tcW w:w="312" w:type="dxa"/>
            <w:tcBorders>
              <w:top w:val="single" w:sz="4" w:space="0" w:color="auto"/>
              <w:left w:val="single" w:sz="8" w:space="0" w:color="auto"/>
              <w:bottom w:val="single" w:sz="4" w:space="0" w:color="auto"/>
              <w:right w:val="single" w:sz="4" w:space="0" w:color="auto"/>
            </w:tcBorders>
            <w:noWrap/>
            <w:vAlign w:val="bottom"/>
          </w:tcPr>
          <w:p w:rsidR="00B05334" w:rsidRPr="007708C9" w:rsidRDefault="00B05334" w:rsidP="00125874">
            <w:pPr>
              <w:rPr>
                <w:sz w:val="20"/>
                <w:szCs w:val="20"/>
              </w:rPr>
            </w:pPr>
          </w:p>
        </w:tc>
        <w:tc>
          <w:tcPr>
            <w:tcW w:w="4111" w:type="dxa"/>
            <w:tcBorders>
              <w:top w:val="single" w:sz="4" w:space="0" w:color="auto"/>
              <w:left w:val="single" w:sz="4" w:space="0" w:color="auto"/>
              <w:bottom w:val="single" w:sz="4" w:space="0" w:color="auto"/>
              <w:right w:val="single" w:sz="4" w:space="0" w:color="auto"/>
            </w:tcBorders>
            <w:vAlign w:val="bottom"/>
          </w:tcPr>
          <w:p w:rsidR="00D67849" w:rsidRPr="00AA7201" w:rsidRDefault="00B05334" w:rsidP="00125874">
            <w:pPr>
              <w:autoSpaceDE w:val="0"/>
              <w:autoSpaceDN w:val="0"/>
              <w:adjustRightInd w:val="0"/>
              <w:jc w:val="both"/>
              <w:rPr>
                <w:rFonts w:ascii="Roboto" w:hAnsi="Roboto" w:cs="Calibri"/>
                <w:b/>
                <w:bCs/>
                <w:color w:val="334059"/>
                <w:sz w:val="16"/>
                <w:szCs w:val="16"/>
              </w:rPr>
            </w:pPr>
            <w:r w:rsidRPr="00D67849">
              <w:rPr>
                <w:rFonts w:ascii="Roboto" w:hAnsi="Roboto" w:cs="Calibri"/>
                <w:b/>
                <w:bCs/>
                <w:color w:val="334059"/>
                <w:sz w:val="16"/>
                <w:szCs w:val="16"/>
              </w:rPr>
              <w:t>Заключение контракта на выполнение работ</w:t>
            </w:r>
            <w:proofErr w:type="gramStart"/>
            <w:r w:rsidR="00D67849">
              <w:rPr>
                <w:rFonts w:ascii="Roboto" w:hAnsi="Roboto" w:cs="Calibri"/>
                <w:b/>
                <w:bCs/>
                <w:color w:val="334059"/>
                <w:sz w:val="16"/>
                <w:szCs w:val="16"/>
              </w:rPr>
              <w:t xml:space="preserve"> </w:t>
            </w:r>
            <w:r w:rsidRPr="00D67849">
              <w:rPr>
                <w:rFonts w:ascii="Roboto" w:hAnsi="Roboto" w:cs="Calibri"/>
                <w:b/>
                <w:bCs/>
                <w:color w:val="334059"/>
                <w:sz w:val="16"/>
                <w:szCs w:val="16"/>
              </w:rPr>
              <w:t>,</w:t>
            </w:r>
            <w:proofErr w:type="gramEnd"/>
            <w:r w:rsidRPr="00D67849">
              <w:rPr>
                <w:rFonts w:ascii="Roboto" w:hAnsi="Roboto" w:cs="Calibri"/>
                <w:b/>
                <w:bCs/>
                <w:color w:val="334059"/>
                <w:sz w:val="16"/>
                <w:szCs w:val="16"/>
              </w:rPr>
              <w:t xml:space="preserve"> оказание услуг по техническому обслуживанию, эксплуатационному контролю зданий, сооружений, сохранению</w:t>
            </w:r>
            <w:r w:rsidR="00D67849">
              <w:rPr>
                <w:rFonts w:ascii="Roboto" w:hAnsi="Roboto" w:cs="Calibri"/>
                <w:b/>
                <w:bCs/>
                <w:color w:val="334059"/>
                <w:sz w:val="16"/>
                <w:szCs w:val="16"/>
              </w:rPr>
              <w:t xml:space="preserve"> объектов культурного наследия</w:t>
            </w:r>
            <w:r w:rsidRPr="00D67849">
              <w:rPr>
                <w:rFonts w:ascii="Roboto" w:hAnsi="Roboto" w:cs="Calibri"/>
                <w:b/>
                <w:bCs/>
                <w:color w:val="334059"/>
                <w:sz w:val="16"/>
                <w:szCs w:val="16"/>
              </w:rPr>
              <w:t xml:space="preserve">,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РФ,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w:t>
            </w:r>
            <w:r w:rsidR="00D67849">
              <w:rPr>
                <w:rFonts w:ascii="Roboto" w:hAnsi="Roboto" w:cs="Calibri"/>
                <w:b/>
                <w:bCs/>
                <w:color w:val="334059"/>
                <w:sz w:val="16"/>
                <w:szCs w:val="16"/>
              </w:rPr>
              <w:t>твердыми коммунальными отходами.</w:t>
            </w:r>
          </w:p>
        </w:tc>
        <w:tc>
          <w:tcPr>
            <w:tcW w:w="1275"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B05334" w:rsidRDefault="00D67849" w:rsidP="00125874">
            <w:pPr>
              <w:jc w:val="center"/>
              <w:rPr>
                <w:sz w:val="20"/>
                <w:szCs w:val="20"/>
              </w:rPr>
            </w:pPr>
            <w:r>
              <w:rPr>
                <w:sz w:val="20"/>
                <w:szCs w:val="20"/>
              </w:rPr>
              <w:t>2</w:t>
            </w:r>
          </w:p>
        </w:tc>
        <w:tc>
          <w:tcPr>
            <w:tcW w:w="1276" w:type="dxa"/>
            <w:tcBorders>
              <w:top w:val="single" w:sz="4" w:space="0" w:color="auto"/>
              <w:left w:val="nil"/>
              <w:bottom w:val="single" w:sz="4" w:space="0" w:color="auto"/>
              <w:right w:val="single" w:sz="4" w:space="0" w:color="auto"/>
            </w:tcBorders>
            <w:vAlign w:val="center"/>
          </w:tcPr>
          <w:p w:rsidR="00B05334" w:rsidRPr="002C6739" w:rsidRDefault="00184CEB" w:rsidP="00125874">
            <w:pPr>
              <w:jc w:val="center"/>
              <w:rPr>
                <w:sz w:val="20"/>
                <w:szCs w:val="20"/>
              </w:rPr>
            </w:pPr>
            <w:r>
              <w:rPr>
                <w:sz w:val="20"/>
                <w:szCs w:val="20"/>
              </w:rPr>
              <w:t>1,1%</w:t>
            </w:r>
          </w:p>
        </w:tc>
        <w:tc>
          <w:tcPr>
            <w:tcW w:w="1276" w:type="dxa"/>
            <w:tcBorders>
              <w:top w:val="single" w:sz="4" w:space="0" w:color="auto"/>
              <w:left w:val="nil"/>
              <w:bottom w:val="single" w:sz="4" w:space="0" w:color="auto"/>
              <w:right w:val="single" w:sz="4" w:space="0" w:color="auto"/>
            </w:tcBorders>
            <w:vAlign w:val="center"/>
          </w:tcPr>
          <w:p w:rsidR="00B05334" w:rsidRDefault="00D67849" w:rsidP="00125874">
            <w:pPr>
              <w:jc w:val="center"/>
              <w:rPr>
                <w:sz w:val="20"/>
                <w:szCs w:val="20"/>
              </w:rPr>
            </w:pPr>
            <w:r>
              <w:rPr>
                <w:sz w:val="20"/>
                <w:szCs w:val="20"/>
              </w:rPr>
              <w:t>126,3</w:t>
            </w:r>
          </w:p>
        </w:tc>
        <w:tc>
          <w:tcPr>
            <w:tcW w:w="1051" w:type="dxa"/>
            <w:tcBorders>
              <w:top w:val="single" w:sz="4" w:space="0" w:color="auto"/>
              <w:left w:val="nil"/>
              <w:bottom w:val="single" w:sz="4" w:space="0" w:color="auto"/>
              <w:right w:val="single" w:sz="4" w:space="0" w:color="auto"/>
            </w:tcBorders>
            <w:vAlign w:val="center"/>
          </w:tcPr>
          <w:p w:rsidR="00B05334" w:rsidRPr="002C6739" w:rsidRDefault="00184CEB" w:rsidP="00125874">
            <w:pPr>
              <w:jc w:val="center"/>
              <w:rPr>
                <w:sz w:val="20"/>
                <w:szCs w:val="20"/>
              </w:rPr>
            </w:pPr>
            <w:r>
              <w:rPr>
                <w:sz w:val="20"/>
                <w:szCs w:val="20"/>
              </w:rPr>
              <w:t>0,02%</w:t>
            </w:r>
          </w:p>
        </w:tc>
      </w:tr>
      <w:tr w:rsidR="00755FA4" w:rsidRPr="007708C9" w:rsidTr="00125874">
        <w:trPr>
          <w:trHeight w:val="380"/>
        </w:trPr>
        <w:tc>
          <w:tcPr>
            <w:tcW w:w="312" w:type="dxa"/>
            <w:tcBorders>
              <w:top w:val="single" w:sz="4" w:space="0" w:color="auto"/>
              <w:left w:val="single" w:sz="8" w:space="0" w:color="auto"/>
              <w:bottom w:val="single" w:sz="4" w:space="0" w:color="auto"/>
              <w:right w:val="single" w:sz="4" w:space="0" w:color="auto"/>
            </w:tcBorders>
            <w:shd w:val="clear" w:color="auto" w:fill="EEECE1" w:themeFill="background2"/>
            <w:noWrap/>
            <w:vAlign w:val="bottom"/>
          </w:tcPr>
          <w:p w:rsidR="00755FA4" w:rsidRDefault="00D67849" w:rsidP="00125874">
            <w:pPr>
              <w:rPr>
                <w:b/>
                <w:sz w:val="20"/>
                <w:szCs w:val="20"/>
              </w:rPr>
            </w:pPr>
            <w:r>
              <w:rPr>
                <w:b/>
                <w:sz w:val="20"/>
                <w:szCs w:val="20"/>
              </w:rPr>
              <w:t>7</w:t>
            </w:r>
          </w:p>
          <w:p w:rsidR="00755FA4" w:rsidRPr="008D40A9" w:rsidRDefault="00755FA4" w:rsidP="00125874">
            <w:pPr>
              <w:rPr>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755FA4" w:rsidRDefault="00755FA4" w:rsidP="00125874">
            <w:pPr>
              <w:rPr>
                <w:b/>
                <w:sz w:val="20"/>
                <w:szCs w:val="20"/>
              </w:rPr>
            </w:pPr>
            <w:r w:rsidRPr="008D40A9">
              <w:rPr>
                <w:b/>
                <w:sz w:val="20"/>
                <w:szCs w:val="20"/>
              </w:rPr>
              <w:t xml:space="preserve">Пункт </w:t>
            </w:r>
            <w:r>
              <w:rPr>
                <w:b/>
                <w:sz w:val="20"/>
                <w:szCs w:val="20"/>
              </w:rPr>
              <w:t xml:space="preserve"> 29 </w:t>
            </w:r>
            <w:r w:rsidRPr="008D40A9">
              <w:rPr>
                <w:b/>
                <w:sz w:val="20"/>
                <w:szCs w:val="20"/>
              </w:rPr>
              <w:t xml:space="preserve"> части 1 статьи 93</w:t>
            </w:r>
          </w:p>
          <w:p w:rsidR="00755FA4" w:rsidRPr="008D40A9" w:rsidRDefault="00755FA4" w:rsidP="00125874">
            <w:pPr>
              <w:rPr>
                <w:b/>
                <w:sz w:val="20"/>
                <w:szCs w:val="20"/>
              </w:rPr>
            </w:pPr>
          </w:p>
        </w:tc>
        <w:tc>
          <w:tcPr>
            <w:tcW w:w="1275" w:type="dxa"/>
            <w:tcBorders>
              <w:top w:val="single" w:sz="4" w:space="0" w:color="auto"/>
              <w:left w:val="nil"/>
              <w:bottom w:val="single" w:sz="4" w:space="0" w:color="auto"/>
              <w:right w:val="single" w:sz="4" w:space="0" w:color="auto"/>
            </w:tcBorders>
            <w:shd w:val="clear" w:color="auto" w:fill="EEECE1" w:themeFill="background2"/>
            <w:noWrap/>
            <w:tcMar>
              <w:top w:w="0" w:type="dxa"/>
              <w:left w:w="0" w:type="dxa"/>
              <w:bottom w:w="0" w:type="dxa"/>
              <w:right w:w="0" w:type="dxa"/>
            </w:tcMar>
            <w:vAlign w:val="center"/>
          </w:tcPr>
          <w:p w:rsidR="00755FA4" w:rsidRPr="002C6739" w:rsidRDefault="00755FA4" w:rsidP="00125874">
            <w:pPr>
              <w:jc w:val="center"/>
              <w:rPr>
                <w:b/>
                <w:sz w:val="20"/>
                <w:szCs w:val="20"/>
              </w:rPr>
            </w:pPr>
          </w:p>
        </w:tc>
        <w:tc>
          <w:tcPr>
            <w:tcW w:w="1276" w:type="dxa"/>
            <w:tcBorders>
              <w:top w:val="single" w:sz="4" w:space="0" w:color="auto"/>
              <w:left w:val="nil"/>
              <w:bottom w:val="single" w:sz="4" w:space="0" w:color="auto"/>
              <w:right w:val="single" w:sz="4" w:space="0" w:color="auto"/>
            </w:tcBorders>
            <w:shd w:val="clear" w:color="auto" w:fill="EEECE1" w:themeFill="background2"/>
            <w:vAlign w:val="center"/>
          </w:tcPr>
          <w:p w:rsidR="00755FA4" w:rsidRPr="002C6739" w:rsidRDefault="00755FA4" w:rsidP="00125874">
            <w:pPr>
              <w:jc w:val="center"/>
              <w:rPr>
                <w:b/>
                <w:sz w:val="20"/>
                <w:szCs w:val="20"/>
              </w:rPr>
            </w:pPr>
          </w:p>
        </w:tc>
        <w:tc>
          <w:tcPr>
            <w:tcW w:w="1276" w:type="dxa"/>
            <w:tcBorders>
              <w:top w:val="single" w:sz="4" w:space="0" w:color="auto"/>
              <w:left w:val="nil"/>
              <w:bottom w:val="single" w:sz="4" w:space="0" w:color="auto"/>
              <w:right w:val="single" w:sz="4" w:space="0" w:color="auto"/>
            </w:tcBorders>
            <w:shd w:val="clear" w:color="auto" w:fill="EEECE1" w:themeFill="background2"/>
            <w:vAlign w:val="center"/>
          </w:tcPr>
          <w:p w:rsidR="00755FA4" w:rsidRPr="002C6739" w:rsidRDefault="00755FA4" w:rsidP="00125874">
            <w:pPr>
              <w:jc w:val="center"/>
              <w:rPr>
                <w:b/>
                <w:sz w:val="20"/>
                <w:szCs w:val="20"/>
              </w:rPr>
            </w:pPr>
          </w:p>
        </w:tc>
        <w:tc>
          <w:tcPr>
            <w:tcW w:w="1051" w:type="dxa"/>
            <w:tcBorders>
              <w:top w:val="single" w:sz="4" w:space="0" w:color="auto"/>
              <w:left w:val="nil"/>
              <w:bottom w:val="single" w:sz="4" w:space="0" w:color="auto"/>
              <w:right w:val="single" w:sz="4" w:space="0" w:color="auto"/>
            </w:tcBorders>
            <w:shd w:val="clear" w:color="auto" w:fill="EEECE1" w:themeFill="background2"/>
            <w:vAlign w:val="center"/>
          </w:tcPr>
          <w:p w:rsidR="00755FA4" w:rsidRPr="002C6739" w:rsidRDefault="00755FA4" w:rsidP="00125874">
            <w:pPr>
              <w:jc w:val="center"/>
              <w:rPr>
                <w:b/>
                <w:sz w:val="20"/>
                <w:szCs w:val="20"/>
              </w:rPr>
            </w:pPr>
          </w:p>
        </w:tc>
      </w:tr>
      <w:tr w:rsidR="00755FA4" w:rsidRPr="007708C9" w:rsidTr="00125874">
        <w:trPr>
          <w:trHeight w:val="774"/>
        </w:trPr>
        <w:tc>
          <w:tcPr>
            <w:tcW w:w="312" w:type="dxa"/>
            <w:tcBorders>
              <w:top w:val="single" w:sz="4" w:space="0" w:color="auto"/>
              <w:left w:val="single" w:sz="8" w:space="0" w:color="auto"/>
              <w:bottom w:val="single" w:sz="4" w:space="0" w:color="auto"/>
              <w:right w:val="single" w:sz="4" w:space="0" w:color="auto"/>
            </w:tcBorders>
            <w:shd w:val="clear" w:color="auto" w:fill="FFFFFF"/>
            <w:noWrap/>
            <w:vAlign w:val="bottom"/>
          </w:tcPr>
          <w:p w:rsidR="00755FA4" w:rsidRDefault="00755FA4" w:rsidP="00125874">
            <w:pPr>
              <w:rPr>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755FA4" w:rsidRPr="008D40A9" w:rsidRDefault="00755FA4" w:rsidP="00125874">
            <w:pPr>
              <w:autoSpaceDE w:val="0"/>
              <w:autoSpaceDN w:val="0"/>
              <w:adjustRightInd w:val="0"/>
              <w:jc w:val="both"/>
              <w:rPr>
                <w:b/>
                <w:sz w:val="20"/>
                <w:szCs w:val="20"/>
              </w:rPr>
            </w:pPr>
            <w:r w:rsidRPr="00EF672A">
              <w:rPr>
                <w:rFonts w:ascii="Roboto" w:hAnsi="Roboto" w:cs="Calibri"/>
                <w:b/>
                <w:bCs/>
                <w:color w:val="334059"/>
                <w:sz w:val="16"/>
                <w:szCs w:val="16"/>
              </w:rPr>
              <w:t>Заключение договора энергоснабжения или договора купли-продажи электрической энергии с гарантирующим поставщиком электрической энергии.</w:t>
            </w:r>
          </w:p>
        </w:tc>
        <w:tc>
          <w:tcPr>
            <w:tcW w:w="1275" w:type="dxa"/>
            <w:tcBorders>
              <w:top w:val="single" w:sz="4" w:space="0" w:color="auto"/>
              <w:left w:val="nil"/>
              <w:bottom w:val="single" w:sz="4" w:space="0" w:color="auto"/>
              <w:right w:val="single" w:sz="4" w:space="0" w:color="auto"/>
            </w:tcBorders>
            <w:shd w:val="clear" w:color="auto" w:fill="FFFFFF"/>
            <w:noWrap/>
            <w:tcMar>
              <w:top w:w="0" w:type="dxa"/>
              <w:left w:w="0" w:type="dxa"/>
              <w:bottom w:w="0" w:type="dxa"/>
              <w:right w:w="0" w:type="dxa"/>
            </w:tcMar>
            <w:vAlign w:val="center"/>
          </w:tcPr>
          <w:p w:rsidR="00755FA4" w:rsidRPr="00EF672A" w:rsidRDefault="00D67849" w:rsidP="00125874">
            <w:pPr>
              <w:jc w:val="center"/>
              <w:rPr>
                <w:sz w:val="20"/>
                <w:szCs w:val="20"/>
              </w:rPr>
            </w:pPr>
            <w:r>
              <w:rPr>
                <w:sz w:val="20"/>
                <w:szCs w:val="20"/>
              </w:rPr>
              <w:t>13</w:t>
            </w:r>
          </w:p>
        </w:tc>
        <w:tc>
          <w:tcPr>
            <w:tcW w:w="1276" w:type="dxa"/>
            <w:tcBorders>
              <w:top w:val="single" w:sz="4" w:space="0" w:color="auto"/>
              <w:left w:val="nil"/>
              <w:bottom w:val="single" w:sz="4" w:space="0" w:color="auto"/>
              <w:right w:val="single" w:sz="4" w:space="0" w:color="auto"/>
            </w:tcBorders>
            <w:shd w:val="clear" w:color="auto" w:fill="FFFFFF"/>
            <w:vAlign w:val="center"/>
          </w:tcPr>
          <w:p w:rsidR="00755FA4" w:rsidRPr="00EF672A" w:rsidRDefault="00184CEB" w:rsidP="00125874">
            <w:pPr>
              <w:jc w:val="center"/>
              <w:rPr>
                <w:sz w:val="20"/>
                <w:szCs w:val="20"/>
              </w:rPr>
            </w:pPr>
            <w:r>
              <w:rPr>
                <w:sz w:val="20"/>
                <w:szCs w:val="20"/>
              </w:rPr>
              <w:t>6,9%</w:t>
            </w:r>
          </w:p>
        </w:tc>
        <w:tc>
          <w:tcPr>
            <w:tcW w:w="1276" w:type="dxa"/>
            <w:tcBorders>
              <w:top w:val="single" w:sz="4" w:space="0" w:color="auto"/>
              <w:left w:val="nil"/>
              <w:bottom w:val="single" w:sz="4" w:space="0" w:color="auto"/>
              <w:right w:val="single" w:sz="4" w:space="0" w:color="auto"/>
            </w:tcBorders>
            <w:shd w:val="clear" w:color="auto" w:fill="FFFFFF"/>
            <w:vAlign w:val="center"/>
          </w:tcPr>
          <w:p w:rsidR="00755FA4" w:rsidRPr="00EF672A" w:rsidRDefault="00D67849" w:rsidP="00125874">
            <w:pPr>
              <w:jc w:val="center"/>
              <w:rPr>
                <w:sz w:val="20"/>
                <w:szCs w:val="20"/>
              </w:rPr>
            </w:pPr>
            <w:r>
              <w:rPr>
                <w:sz w:val="20"/>
                <w:szCs w:val="20"/>
              </w:rPr>
              <w:t>26 325,2</w:t>
            </w:r>
          </w:p>
        </w:tc>
        <w:tc>
          <w:tcPr>
            <w:tcW w:w="1051" w:type="dxa"/>
            <w:tcBorders>
              <w:top w:val="single" w:sz="4" w:space="0" w:color="auto"/>
              <w:left w:val="nil"/>
              <w:bottom w:val="single" w:sz="4" w:space="0" w:color="auto"/>
              <w:right w:val="single" w:sz="4" w:space="0" w:color="auto"/>
            </w:tcBorders>
            <w:shd w:val="clear" w:color="auto" w:fill="FFFFFF"/>
            <w:vAlign w:val="center"/>
          </w:tcPr>
          <w:p w:rsidR="00755FA4" w:rsidRPr="00B9741B" w:rsidRDefault="002A618E" w:rsidP="00125874">
            <w:pPr>
              <w:jc w:val="center"/>
              <w:rPr>
                <w:sz w:val="20"/>
                <w:szCs w:val="20"/>
              </w:rPr>
            </w:pPr>
            <w:r>
              <w:rPr>
                <w:sz w:val="20"/>
                <w:szCs w:val="20"/>
              </w:rPr>
              <w:t>3,3%</w:t>
            </w:r>
          </w:p>
        </w:tc>
      </w:tr>
      <w:tr w:rsidR="00755FA4" w:rsidRPr="007708C9" w:rsidTr="00125874">
        <w:trPr>
          <w:trHeight w:val="272"/>
        </w:trPr>
        <w:tc>
          <w:tcPr>
            <w:tcW w:w="312" w:type="dxa"/>
            <w:tcBorders>
              <w:top w:val="single" w:sz="4" w:space="0" w:color="auto"/>
              <w:left w:val="single" w:sz="8" w:space="0" w:color="auto"/>
              <w:bottom w:val="single" w:sz="4" w:space="0" w:color="auto"/>
              <w:right w:val="single" w:sz="4" w:space="0" w:color="auto"/>
            </w:tcBorders>
            <w:shd w:val="clear" w:color="auto" w:fill="EEECE1" w:themeFill="background2"/>
            <w:noWrap/>
            <w:vAlign w:val="bottom"/>
          </w:tcPr>
          <w:p w:rsidR="00755FA4" w:rsidRDefault="00755FA4" w:rsidP="00125874">
            <w:pPr>
              <w:rPr>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755FA4" w:rsidRPr="00E01599" w:rsidRDefault="00755FA4" w:rsidP="00125874">
            <w:pPr>
              <w:rPr>
                <w:rFonts w:eastAsia="Calibri"/>
                <w:sz w:val="18"/>
                <w:szCs w:val="18"/>
              </w:rPr>
            </w:pPr>
            <w:r w:rsidRPr="002C6739">
              <w:rPr>
                <w:b/>
                <w:sz w:val="20"/>
                <w:szCs w:val="20"/>
              </w:rPr>
              <w:t>ИТОГО:</w:t>
            </w:r>
          </w:p>
        </w:tc>
        <w:tc>
          <w:tcPr>
            <w:tcW w:w="1275" w:type="dxa"/>
            <w:tcBorders>
              <w:top w:val="single" w:sz="4" w:space="0" w:color="auto"/>
              <w:left w:val="nil"/>
              <w:bottom w:val="single" w:sz="4" w:space="0" w:color="auto"/>
              <w:right w:val="single" w:sz="4" w:space="0" w:color="auto"/>
            </w:tcBorders>
            <w:shd w:val="clear" w:color="auto" w:fill="EEECE1" w:themeFill="background2"/>
            <w:noWrap/>
            <w:tcMar>
              <w:top w:w="0" w:type="dxa"/>
              <w:left w:w="0" w:type="dxa"/>
              <w:bottom w:w="0" w:type="dxa"/>
              <w:right w:w="0" w:type="dxa"/>
            </w:tcMar>
            <w:vAlign w:val="center"/>
          </w:tcPr>
          <w:p w:rsidR="00755FA4" w:rsidRPr="002C6739" w:rsidRDefault="00D67849" w:rsidP="00125874">
            <w:pPr>
              <w:jc w:val="center"/>
              <w:rPr>
                <w:b/>
                <w:sz w:val="20"/>
                <w:szCs w:val="20"/>
              </w:rPr>
            </w:pPr>
            <w:r>
              <w:rPr>
                <w:b/>
                <w:sz w:val="20"/>
                <w:szCs w:val="20"/>
              </w:rPr>
              <w:t>87</w:t>
            </w:r>
          </w:p>
        </w:tc>
        <w:tc>
          <w:tcPr>
            <w:tcW w:w="1276" w:type="dxa"/>
            <w:tcBorders>
              <w:top w:val="single" w:sz="4" w:space="0" w:color="auto"/>
              <w:left w:val="nil"/>
              <w:bottom w:val="single" w:sz="4" w:space="0" w:color="auto"/>
              <w:right w:val="single" w:sz="4" w:space="0" w:color="auto"/>
            </w:tcBorders>
            <w:shd w:val="clear" w:color="auto" w:fill="EEECE1" w:themeFill="background2"/>
            <w:vAlign w:val="center"/>
          </w:tcPr>
          <w:p w:rsidR="00755FA4" w:rsidRPr="002C6739" w:rsidRDefault="002A618E" w:rsidP="00125874">
            <w:pPr>
              <w:jc w:val="center"/>
              <w:rPr>
                <w:b/>
                <w:sz w:val="20"/>
                <w:szCs w:val="20"/>
              </w:rPr>
            </w:pPr>
            <w:r>
              <w:rPr>
                <w:b/>
                <w:sz w:val="20"/>
                <w:szCs w:val="20"/>
              </w:rPr>
              <w:t>46,3%</w:t>
            </w:r>
          </w:p>
        </w:tc>
        <w:tc>
          <w:tcPr>
            <w:tcW w:w="1276" w:type="dxa"/>
            <w:tcBorders>
              <w:top w:val="single" w:sz="4" w:space="0" w:color="auto"/>
              <w:left w:val="nil"/>
              <w:bottom w:val="single" w:sz="4" w:space="0" w:color="auto"/>
              <w:right w:val="single" w:sz="4" w:space="0" w:color="auto"/>
            </w:tcBorders>
            <w:shd w:val="clear" w:color="auto" w:fill="EEECE1" w:themeFill="background2"/>
            <w:vAlign w:val="center"/>
          </w:tcPr>
          <w:p w:rsidR="00755FA4" w:rsidRPr="002C6739" w:rsidRDefault="0023421E" w:rsidP="00125874">
            <w:pPr>
              <w:jc w:val="center"/>
              <w:rPr>
                <w:b/>
                <w:sz w:val="20"/>
                <w:szCs w:val="20"/>
              </w:rPr>
            </w:pPr>
            <w:r>
              <w:rPr>
                <w:b/>
                <w:sz w:val="20"/>
                <w:szCs w:val="20"/>
              </w:rPr>
              <w:t>356 463,4</w:t>
            </w:r>
          </w:p>
        </w:tc>
        <w:tc>
          <w:tcPr>
            <w:tcW w:w="1051" w:type="dxa"/>
            <w:tcBorders>
              <w:top w:val="single" w:sz="4" w:space="0" w:color="auto"/>
              <w:left w:val="nil"/>
              <w:bottom w:val="single" w:sz="4" w:space="0" w:color="auto"/>
              <w:right w:val="single" w:sz="4" w:space="0" w:color="auto"/>
            </w:tcBorders>
            <w:shd w:val="clear" w:color="auto" w:fill="EEECE1" w:themeFill="background2"/>
            <w:vAlign w:val="center"/>
          </w:tcPr>
          <w:p w:rsidR="00755FA4" w:rsidRPr="002C6739" w:rsidRDefault="002A618E" w:rsidP="00125874">
            <w:pPr>
              <w:jc w:val="center"/>
              <w:rPr>
                <w:b/>
                <w:sz w:val="20"/>
                <w:szCs w:val="20"/>
              </w:rPr>
            </w:pPr>
            <w:r>
              <w:rPr>
                <w:b/>
                <w:sz w:val="20"/>
                <w:szCs w:val="20"/>
              </w:rPr>
              <w:t>45,0%</w:t>
            </w:r>
          </w:p>
        </w:tc>
      </w:tr>
      <w:tr w:rsidR="00755FA4" w:rsidRPr="007708C9" w:rsidTr="00125874">
        <w:trPr>
          <w:trHeight w:val="135"/>
        </w:trPr>
        <w:tc>
          <w:tcPr>
            <w:tcW w:w="9301" w:type="dxa"/>
            <w:gridSpan w:val="6"/>
            <w:tcBorders>
              <w:top w:val="single" w:sz="4" w:space="0" w:color="auto"/>
              <w:left w:val="single" w:sz="8" w:space="0" w:color="auto"/>
              <w:bottom w:val="single" w:sz="4" w:space="0" w:color="auto"/>
              <w:right w:val="single" w:sz="4" w:space="0" w:color="auto"/>
            </w:tcBorders>
            <w:shd w:val="clear" w:color="auto" w:fill="FFFFFF"/>
            <w:noWrap/>
            <w:vAlign w:val="bottom"/>
          </w:tcPr>
          <w:p w:rsidR="00755FA4" w:rsidRPr="00203EDF" w:rsidRDefault="00755FA4" w:rsidP="00125874">
            <w:pPr>
              <w:jc w:val="center"/>
              <w:rPr>
                <w:rFonts w:ascii="Roboto" w:hAnsi="Roboto" w:cs="Calibri"/>
                <w:b/>
                <w:bCs/>
                <w:sz w:val="22"/>
                <w:szCs w:val="22"/>
              </w:rPr>
            </w:pPr>
            <w:r w:rsidRPr="00203EDF">
              <w:rPr>
                <w:rFonts w:ascii="Roboto" w:hAnsi="Roboto" w:cs="Calibri"/>
                <w:b/>
                <w:bCs/>
                <w:sz w:val="22"/>
                <w:szCs w:val="22"/>
              </w:rPr>
              <w:t>Закупка товаров, работ и услуг заключенных с единственным поставщиком по результатам несостоявшихся</w:t>
            </w:r>
            <w:r>
              <w:rPr>
                <w:rFonts w:ascii="Roboto" w:hAnsi="Roboto" w:cs="Calibri"/>
                <w:b/>
                <w:bCs/>
                <w:sz w:val="22"/>
                <w:szCs w:val="22"/>
              </w:rPr>
              <w:t xml:space="preserve"> конкурентных</w:t>
            </w:r>
            <w:r w:rsidRPr="00203EDF">
              <w:rPr>
                <w:rFonts w:ascii="Roboto" w:hAnsi="Roboto" w:cs="Calibri"/>
                <w:b/>
                <w:bCs/>
                <w:sz w:val="22"/>
                <w:szCs w:val="22"/>
              </w:rPr>
              <w:t xml:space="preserve"> закупок</w:t>
            </w:r>
          </w:p>
        </w:tc>
      </w:tr>
      <w:tr w:rsidR="00755FA4" w:rsidRPr="007708C9" w:rsidTr="00125874">
        <w:trPr>
          <w:trHeight w:val="64"/>
        </w:trPr>
        <w:tc>
          <w:tcPr>
            <w:tcW w:w="312" w:type="dxa"/>
            <w:tcBorders>
              <w:top w:val="single" w:sz="4" w:space="0" w:color="auto"/>
              <w:left w:val="single" w:sz="8" w:space="0" w:color="auto"/>
              <w:bottom w:val="single" w:sz="4" w:space="0" w:color="auto"/>
              <w:right w:val="single" w:sz="4" w:space="0" w:color="auto"/>
            </w:tcBorders>
            <w:shd w:val="clear" w:color="auto" w:fill="EEECE1" w:themeFill="background2"/>
            <w:noWrap/>
            <w:vAlign w:val="bottom"/>
          </w:tcPr>
          <w:p w:rsidR="00755FA4" w:rsidRDefault="00755FA4" w:rsidP="00125874">
            <w:pPr>
              <w:rPr>
                <w:b/>
                <w:sz w:val="20"/>
                <w:szCs w:val="20"/>
              </w:rPr>
            </w:pPr>
            <w:r>
              <w:rPr>
                <w:b/>
                <w:sz w:val="20"/>
                <w:szCs w:val="20"/>
              </w:rPr>
              <w:t>1</w:t>
            </w:r>
          </w:p>
          <w:p w:rsidR="00755FA4" w:rsidRDefault="00755FA4" w:rsidP="00125874">
            <w:pPr>
              <w:rPr>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755FA4" w:rsidRDefault="00755FA4" w:rsidP="00125874">
            <w:pPr>
              <w:rPr>
                <w:b/>
                <w:sz w:val="20"/>
                <w:szCs w:val="20"/>
              </w:rPr>
            </w:pPr>
            <w:r w:rsidRPr="008D40A9">
              <w:rPr>
                <w:b/>
                <w:sz w:val="20"/>
                <w:szCs w:val="20"/>
              </w:rPr>
              <w:t xml:space="preserve">Пункт </w:t>
            </w:r>
            <w:r>
              <w:rPr>
                <w:b/>
                <w:sz w:val="20"/>
                <w:szCs w:val="20"/>
              </w:rPr>
              <w:t xml:space="preserve"> 25 </w:t>
            </w:r>
            <w:r w:rsidRPr="008D40A9">
              <w:rPr>
                <w:b/>
                <w:sz w:val="20"/>
                <w:szCs w:val="20"/>
              </w:rPr>
              <w:t xml:space="preserve"> части 1 статьи 93</w:t>
            </w:r>
          </w:p>
          <w:p w:rsidR="00755FA4" w:rsidRDefault="00755FA4" w:rsidP="00125874">
            <w:pPr>
              <w:rPr>
                <w:b/>
                <w:sz w:val="20"/>
                <w:szCs w:val="20"/>
              </w:rPr>
            </w:pPr>
          </w:p>
        </w:tc>
        <w:tc>
          <w:tcPr>
            <w:tcW w:w="1275" w:type="dxa"/>
            <w:tcBorders>
              <w:top w:val="single" w:sz="4" w:space="0" w:color="auto"/>
              <w:left w:val="nil"/>
              <w:bottom w:val="single" w:sz="4" w:space="0" w:color="auto"/>
              <w:right w:val="single" w:sz="4" w:space="0" w:color="auto"/>
            </w:tcBorders>
            <w:shd w:val="clear" w:color="auto" w:fill="EEECE1" w:themeFill="background2"/>
            <w:noWrap/>
            <w:tcMar>
              <w:top w:w="0" w:type="dxa"/>
              <w:left w:w="0" w:type="dxa"/>
              <w:bottom w:w="0" w:type="dxa"/>
              <w:right w:w="0" w:type="dxa"/>
            </w:tcMar>
            <w:vAlign w:val="center"/>
          </w:tcPr>
          <w:p w:rsidR="00755FA4" w:rsidRPr="002C6739" w:rsidRDefault="00755FA4" w:rsidP="00125874">
            <w:pPr>
              <w:jc w:val="center"/>
              <w:rPr>
                <w:b/>
                <w:sz w:val="20"/>
                <w:szCs w:val="20"/>
              </w:rPr>
            </w:pPr>
          </w:p>
        </w:tc>
        <w:tc>
          <w:tcPr>
            <w:tcW w:w="1276" w:type="dxa"/>
            <w:tcBorders>
              <w:top w:val="single" w:sz="4" w:space="0" w:color="auto"/>
              <w:left w:val="nil"/>
              <w:bottom w:val="single" w:sz="4" w:space="0" w:color="auto"/>
              <w:right w:val="single" w:sz="4" w:space="0" w:color="auto"/>
            </w:tcBorders>
            <w:shd w:val="clear" w:color="auto" w:fill="EEECE1" w:themeFill="background2"/>
            <w:vAlign w:val="center"/>
          </w:tcPr>
          <w:p w:rsidR="00755FA4" w:rsidRPr="002C6739" w:rsidRDefault="00755FA4" w:rsidP="00125874">
            <w:pPr>
              <w:jc w:val="center"/>
              <w:rPr>
                <w:b/>
                <w:sz w:val="20"/>
                <w:szCs w:val="20"/>
              </w:rPr>
            </w:pPr>
          </w:p>
        </w:tc>
        <w:tc>
          <w:tcPr>
            <w:tcW w:w="1276" w:type="dxa"/>
            <w:tcBorders>
              <w:top w:val="single" w:sz="4" w:space="0" w:color="auto"/>
              <w:left w:val="nil"/>
              <w:bottom w:val="single" w:sz="4" w:space="0" w:color="auto"/>
              <w:right w:val="single" w:sz="4" w:space="0" w:color="auto"/>
            </w:tcBorders>
            <w:shd w:val="clear" w:color="auto" w:fill="EEECE1" w:themeFill="background2"/>
            <w:vAlign w:val="center"/>
          </w:tcPr>
          <w:p w:rsidR="00755FA4" w:rsidRPr="002C6739" w:rsidRDefault="00755FA4" w:rsidP="00125874">
            <w:pPr>
              <w:jc w:val="center"/>
              <w:rPr>
                <w:b/>
                <w:sz w:val="20"/>
                <w:szCs w:val="20"/>
              </w:rPr>
            </w:pPr>
          </w:p>
        </w:tc>
        <w:tc>
          <w:tcPr>
            <w:tcW w:w="1051" w:type="dxa"/>
            <w:tcBorders>
              <w:top w:val="single" w:sz="4" w:space="0" w:color="auto"/>
              <w:left w:val="nil"/>
              <w:bottom w:val="single" w:sz="4" w:space="0" w:color="auto"/>
              <w:right w:val="single" w:sz="4" w:space="0" w:color="auto"/>
            </w:tcBorders>
            <w:shd w:val="clear" w:color="auto" w:fill="EEECE1" w:themeFill="background2"/>
            <w:vAlign w:val="center"/>
          </w:tcPr>
          <w:p w:rsidR="00755FA4" w:rsidRPr="002C6739" w:rsidRDefault="00755FA4" w:rsidP="00125874">
            <w:pPr>
              <w:jc w:val="center"/>
              <w:rPr>
                <w:b/>
                <w:sz w:val="20"/>
                <w:szCs w:val="20"/>
              </w:rPr>
            </w:pPr>
          </w:p>
        </w:tc>
      </w:tr>
      <w:tr w:rsidR="00755FA4" w:rsidRPr="007708C9" w:rsidTr="00125874">
        <w:trPr>
          <w:trHeight w:val="285"/>
        </w:trPr>
        <w:tc>
          <w:tcPr>
            <w:tcW w:w="312" w:type="dxa"/>
            <w:tcBorders>
              <w:top w:val="single" w:sz="4" w:space="0" w:color="auto"/>
              <w:left w:val="single" w:sz="8" w:space="0" w:color="auto"/>
              <w:bottom w:val="single" w:sz="4" w:space="0" w:color="auto"/>
              <w:right w:val="single" w:sz="4" w:space="0" w:color="auto"/>
            </w:tcBorders>
            <w:shd w:val="clear" w:color="auto" w:fill="FFFFFF"/>
            <w:noWrap/>
            <w:vAlign w:val="bottom"/>
          </w:tcPr>
          <w:p w:rsidR="00755FA4" w:rsidRDefault="00755FA4" w:rsidP="00125874">
            <w:pPr>
              <w:rPr>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755FA4" w:rsidRDefault="00755FA4" w:rsidP="00125874">
            <w:pPr>
              <w:autoSpaceDE w:val="0"/>
              <w:autoSpaceDN w:val="0"/>
              <w:adjustRightInd w:val="0"/>
              <w:jc w:val="both"/>
              <w:rPr>
                <w:b/>
                <w:sz w:val="20"/>
                <w:szCs w:val="20"/>
              </w:rPr>
            </w:pPr>
            <w:r w:rsidRPr="00AA7201">
              <w:rPr>
                <w:rFonts w:ascii="Roboto" w:hAnsi="Roboto" w:cs="Calibri"/>
                <w:b/>
                <w:bCs/>
                <w:color w:val="334059"/>
                <w:sz w:val="16"/>
                <w:szCs w:val="16"/>
              </w:rPr>
              <w:t xml:space="preserve">Признание определения поставщика (подрядчика, исполнителя) </w:t>
            </w:r>
            <w:r>
              <w:rPr>
                <w:rFonts w:ascii="Roboto" w:hAnsi="Roboto" w:cs="Calibri"/>
                <w:b/>
                <w:bCs/>
                <w:color w:val="334059"/>
                <w:sz w:val="16"/>
                <w:szCs w:val="16"/>
              </w:rPr>
              <w:t xml:space="preserve"> </w:t>
            </w:r>
            <w:proofErr w:type="gramStart"/>
            <w:r w:rsidRPr="00AA7201">
              <w:rPr>
                <w:rFonts w:ascii="Roboto" w:hAnsi="Roboto" w:cs="Calibri"/>
                <w:b/>
                <w:bCs/>
                <w:color w:val="334059"/>
                <w:sz w:val="16"/>
                <w:szCs w:val="16"/>
              </w:rPr>
              <w:t>несостоявшимся</w:t>
            </w:r>
            <w:proofErr w:type="gramEnd"/>
            <w:r>
              <w:rPr>
                <w:rFonts w:ascii="Roboto" w:hAnsi="Roboto" w:cs="Calibri"/>
                <w:b/>
                <w:bCs/>
                <w:color w:val="334059"/>
                <w:sz w:val="16"/>
                <w:szCs w:val="16"/>
              </w:rPr>
              <w:t>.</w:t>
            </w:r>
          </w:p>
        </w:tc>
        <w:tc>
          <w:tcPr>
            <w:tcW w:w="1275" w:type="dxa"/>
            <w:tcBorders>
              <w:top w:val="single" w:sz="4" w:space="0" w:color="auto"/>
              <w:left w:val="nil"/>
              <w:bottom w:val="single" w:sz="4" w:space="0" w:color="auto"/>
              <w:right w:val="single" w:sz="4" w:space="0" w:color="auto"/>
            </w:tcBorders>
            <w:shd w:val="clear" w:color="auto" w:fill="FFFFFF"/>
            <w:noWrap/>
            <w:tcMar>
              <w:top w:w="0" w:type="dxa"/>
              <w:left w:w="0" w:type="dxa"/>
              <w:bottom w:w="0" w:type="dxa"/>
              <w:right w:w="0" w:type="dxa"/>
            </w:tcMar>
            <w:vAlign w:val="center"/>
          </w:tcPr>
          <w:p w:rsidR="00755FA4" w:rsidRPr="004B6969" w:rsidRDefault="00EB2AEE" w:rsidP="00125874">
            <w:pPr>
              <w:jc w:val="center"/>
              <w:rPr>
                <w:sz w:val="20"/>
                <w:szCs w:val="20"/>
              </w:rPr>
            </w:pPr>
            <w:r>
              <w:rPr>
                <w:sz w:val="20"/>
                <w:szCs w:val="20"/>
              </w:rPr>
              <w:t>101</w:t>
            </w:r>
          </w:p>
        </w:tc>
        <w:tc>
          <w:tcPr>
            <w:tcW w:w="1276" w:type="dxa"/>
            <w:tcBorders>
              <w:top w:val="single" w:sz="4" w:space="0" w:color="auto"/>
              <w:left w:val="nil"/>
              <w:bottom w:val="single" w:sz="4" w:space="0" w:color="auto"/>
              <w:right w:val="single" w:sz="4" w:space="0" w:color="auto"/>
            </w:tcBorders>
            <w:shd w:val="clear" w:color="auto" w:fill="FFFFFF"/>
            <w:vAlign w:val="center"/>
          </w:tcPr>
          <w:p w:rsidR="00755FA4" w:rsidRPr="00203EDF" w:rsidRDefault="00755FA4" w:rsidP="00125874">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755FA4" w:rsidRPr="00203EDF" w:rsidRDefault="00EB2AEE" w:rsidP="00125874">
            <w:pPr>
              <w:jc w:val="center"/>
              <w:rPr>
                <w:sz w:val="18"/>
                <w:szCs w:val="18"/>
              </w:rPr>
            </w:pPr>
            <w:r>
              <w:rPr>
                <w:sz w:val="18"/>
                <w:szCs w:val="18"/>
              </w:rPr>
              <w:t>435 543,5</w:t>
            </w:r>
          </w:p>
        </w:tc>
        <w:tc>
          <w:tcPr>
            <w:tcW w:w="1051" w:type="dxa"/>
            <w:tcBorders>
              <w:top w:val="single" w:sz="4" w:space="0" w:color="auto"/>
              <w:left w:val="nil"/>
              <w:bottom w:val="single" w:sz="4" w:space="0" w:color="auto"/>
              <w:right w:val="single" w:sz="4" w:space="0" w:color="auto"/>
            </w:tcBorders>
            <w:shd w:val="clear" w:color="auto" w:fill="FFFFFF"/>
            <w:vAlign w:val="center"/>
          </w:tcPr>
          <w:p w:rsidR="00755FA4" w:rsidRPr="00CF2CD7" w:rsidRDefault="00755FA4" w:rsidP="00125874">
            <w:pPr>
              <w:jc w:val="center"/>
              <w:rPr>
                <w:sz w:val="20"/>
                <w:szCs w:val="20"/>
              </w:rPr>
            </w:pPr>
          </w:p>
        </w:tc>
      </w:tr>
      <w:tr w:rsidR="00755FA4" w:rsidRPr="007708C9" w:rsidTr="00125874">
        <w:trPr>
          <w:trHeight w:val="299"/>
        </w:trPr>
        <w:tc>
          <w:tcPr>
            <w:tcW w:w="312" w:type="dxa"/>
            <w:tcBorders>
              <w:top w:val="single" w:sz="4" w:space="0" w:color="auto"/>
              <w:left w:val="single" w:sz="8" w:space="0" w:color="auto"/>
              <w:right w:val="single" w:sz="4" w:space="0" w:color="auto"/>
            </w:tcBorders>
            <w:shd w:val="clear" w:color="auto" w:fill="EEECE1" w:themeFill="background2"/>
            <w:noWrap/>
            <w:vAlign w:val="bottom"/>
          </w:tcPr>
          <w:p w:rsidR="00755FA4" w:rsidRDefault="00755FA4" w:rsidP="00125874">
            <w:pPr>
              <w:rPr>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755FA4" w:rsidRPr="002C6739" w:rsidRDefault="00755FA4" w:rsidP="00125874">
            <w:pPr>
              <w:rPr>
                <w:b/>
                <w:sz w:val="20"/>
                <w:szCs w:val="20"/>
              </w:rPr>
            </w:pPr>
            <w:r w:rsidRPr="002C6739">
              <w:rPr>
                <w:b/>
                <w:sz w:val="20"/>
                <w:szCs w:val="20"/>
              </w:rPr>
              <w:t>ИТОГО:</w:t>
            </w:r>
          </w:p>
        </w:tc>
        <w:tc>
          <w:tcPr>
            <w:tcW w:w="1275" w:type="dxa"/>
            <w:tcBorders>
              <w:top w:val="single" w:sz="4" w:space="0" w:color="auto"/>
              <w:left w:val="nil"/>
              <w:bottom w:val="single" w:sz="4" w:space="0" w:color="auto"/>
              <w:right w:val="single" w:sz="4" w:space="0" w:color="auto"/>
            </w:tcBorders>
            <w:shd w:val="clear" w:color="auto" w:fill="EEECE1" w:themeFill="background2"/>
            <w:noWrap/>
            <w:tcMar>
              <w:top w:w="0" w:type="dxa"/>
              <w:left w:w="0" w:type="dxa"/>
              <w:bottom w:w="0" w:type="dxa"/>
              <w:right w:w="0" w:type="dxa"/>
            </w:tcMar>
            <w:vAlign w:val="center"/>
          </w:tcPr>
          <w:p w:rsidR="00755FA4" w:rsidRPr="002C6739" w:rsidRDefault="002A618E" w:rsidP="00125874">
            <w:pPr>
              <w:jc w:val="center"/>
              <w:rPr>
                <w:b/>
                <w:sz w:val="20"/>
                <w:szCs w:val="20"/>
              </w:rPr>
            </w:pPr>
            <w:r>
              <w:rPr>
                <w:b/>
                <w:sz w:val="20"/>
                <w:szCs w:val="20"/>
              </w:rPr>
              <w:t>101</w:t>
            </w:r>
          </w:p>
        </w:tc>
        <w:tc>
          <w:tcPr>
            <w:tcW w:w="1276" w:type="dxa"/>
            <w:tcBorders>
              <w:top w:val="single" w:sz="4" w:space="0" w:color="auto"/>
              <w:left w:val="nil"/>
              <w:bottom w:val="single" w:sz="4" w:space="0" w:color="auto"/>
              <w:right w:val="single" w:sz="4" w:space="0" w:color="auto"/>
            </w:tcBorders>
            <w:shd w:val="clear" w:color="auto" w:fill="EEECE1" w:themeFill="background2"/>
            <w:vAlign w:val="center"/>
          </w:tcPr>
          <w:p w:rsidR="00755FA4" w:rsidRPr="002C6739" w:rsidRDefault="002A618E" w:rsidP="00125874">
            <w:pPr>
              <w:jc w:val="center"/>
              <w:rPr>
                <w:b/>
                <w:sz w:val="20"/>
                <w:szCs w:val="20"/>
              </w:rPr>
            </w:pPr>
            <w:r>
              <w:rPr>
                <w:b/>
                <w:sz w:val="20"/>
                <w:szCs w:val="20"/>
              </w:rPr>
              <w:t>53,7%</w:t>
            </w:r>
          </w:p>
        </w:tc>
        <w:tc>
          <w:tcPr>
            <w:tcW w:w="1276" w:type="dxa"/>
            <w:tcBorders>
              <w:top w:val="single" w:sz="4" w:space="0" w:color="auto"/>
              <w:left w:val="nil"/>
              <w:bottom w:val="single" w:sz="4" w:space="0" w:color="auto"/>
              <w:right w:val="single" w:sz="4" w:space="0" w:color="auto"/>
            </w:tcBorders>
            <w:shd w:val="clear" w:color="auto" w:fill="EEECE1" w:themeFill="background2"/>
            <w:vAlign w:val="center"/>
          </w:tcPr>
          <w:p w:rsidR="00755FA4" w:rsidRPr="002A618E" w:rsidRDefault="002A618E" w:rsidP="00125874">
            <w:pPr>
              <w:jc w:val="center"/>
              <w:rPr>
                <w:b/>
                <w:sz w:val="20"/>
                <w:szCs w:val="20"/>
              </w:rPr>
            </w:pPr>
            <w:r w:rsidRPr="002A618E">
              <w:rPr>
                <w:b/>
                <w:sz w:val="20"/>
                <w:szCs w:val="20"/>
              </w:rPr>
              <w:t>435 543,5</w:t>
            </w:r>
          </w:p>
        </w:tc>
        <w:tc>
          <w:tcPr>
            <w:tcW w:w="1051" w:type="dxa"/>
            <w:tcBorders>
              <w:top w:val="single" w:sz="4" w:space="0" w:color="auto"/>
              <w:left w:val="nil"/>
              <w:bottom w:val="single" w:sz="4" w:space="0" w:color="auto"/>
              <w:right w:val="single" w:sz="4" w:space="0" w:color="auto"/>
            </w:tcBorders>
            <w:shd w:val="clear" w:color="auto" w:fill="EEECE1" w:themeFill="background2"/>
            <w:vAlign w:val="center"/>
          </w:tcPr>
          <w:p w:rsidR="00755FA4" w:rsidRPr="002C6739" w:rsidRDefault="002A618E" w:rsidP="00125874">
            <w:pPr>
              <w:jc w:val="center"/>
              <w:rPr>
                <w:b/>
                <w:sz w:val="20"/>
                <w:szCs w:val="20"/>
              </w:rPr>
            </w:pPr>
            <w:r>
              <w:rPr>
                <w:b/>
                <w:sz w:val="20"/>
                <w:szCs w:val="20"/>
              </w:rPr>
              <w:t>55,0%</w:t>
            </w:r>
          </w:p>
        </w:tc>
      </w:tr>
      <w:tr w:rsidR="00755FA4" w:rsidRPr="007708C9" w:rsidTr="00125874">
        <w:trPr>
          <w:trHeight w:val="246"/>
        </w:trPr>
        <w:tc>
          <w:tcPr>
            <w:tcW w:w="312" w:type="dxa"/>
            <w:tcBorders>
              <w:top w:val="single" w:sz="4" w:space="0" w:color="auto"/>
              <w:left w:val="single" w:sz="8" w:space="0" w:color="auto"/>
              <w:bottom w:val="single" w:sz="4" w:space="0" w:color="auto"/>
              <w:right w:val="single" w:sz="4" w:space="0" w:color="auto"/>
            </w:tcBorders>
            <w:shd w:val="clear" w:color="auto" w:fill="EEECE1" w:themeFill="background2"/>
            <w:noWrap/>
            <w:vAlign w:val="bottom"/>
          </w:tcPr>
          <w:p w:rsidR="00755FA4" w:rsidRPr="007708C9" w:rsidRDefault="00755FA4" w:rsidP="00125874">
            <w:pPr>
              <w:rPr>
                <w:b/>
                <w:sz w:val="20"/>
                <w:szCs w:val="20"/>
              </w:rPr>
            </w:pPr>
          </w:p>
          <w:p w:rsidR="00755FA4" w:rsidRPr="007708C9" w:rsidRDefault="00755FA4" w:rsidP="00125874">
            <w:pPr>
              <w:rPr>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755FA4" w:rsidRPr="002C6739" w:rsidRDefault="00755FA4" w:rsidP="00125874">
            <w:pPr>
              <w:rPr>
                <w:b/>
                <w:sz w:val="20"/>
                <w:szCs w:val="20"/>
              </w:rPr>
            </w:pPr>
            <w:r>
              <w:rPr>
                <w:b/>
                <w:sz w:val="20"/>
                <w:szCs w:val="20"/>
              </w:rPr>
              <w:t>ВСЕГО С ЕДИНСТВЕННЫМ ПОСТАВЩИКОМ</w:t>
            </w:r>
            <w:r w:rsidRPr="002C6739">
              <w:rPr>
                <w:b/>
                <w:sz w:val="20"/>
                <w:szCs w:val="20"/>
              </w:rPr>
              <w:t>:</w:t>
            </w:r>
          </w:p>
        </w:tc>
        <w:tc>
          <w:tcPr>
            <w:tcW w:w="1275" w:type="dxa"/>
            <w:tcBorders>
              <w:top w:val="nil"/>
              <w:left w:val="nil"/>
              <w:bottom w:val="single" w:sz="4" w:space="0" w:color="auto"/>
              <w:right w:val="single" w:sz="4" w:space="0" w:color="auto"/>
            </w:tcBorders>
            <w:shd w:val="clear" w:color="auto" w:fill="EEECE1" w:themeFill="background2"/>
            <w:noWrap/>
            <w:tcMar>
              <w:top w:w="0" w:type="dxa"/>
              <w:left w:w="0" w:type="dxa"/>
              <w:bottom w:w="0" w:type="dxa"/>
              <w:right w:w="0" w:type="dxa"/>
            </w:tcMar>
            <w:vAlign w:val="center"/>
          </w:tcPr>
          <w:p w:rsidR="00755FA4" w:rsidRPr="002C6739" w:rsidRDefault="00EB2AEE" w:rsidP="00125874">
            <w:pPr>
              <w:jc w:val="center"/>
              <w:rPr>
                <w:b/>
                <w:sz w:val="20"/>
                <w:szCs w:val="20"/>
              </w:rPr>
            </w:pPr>
            <w:r>
              <w:rPr>
                <w:b/>
                <w:sz w:val="20"/>
                <w:szCs w:val="20"/>
              </w:rPr>
              <w:t>188</w:t>
            </w:r>
          </w:p>
        </w:tc>
        <w:tc>
          <w:tcPr>
            <w:tcW w:w="1276" w:type="dxa"/>
            <w:tcBorders>
              <w:top w:val="nil"/>
              <w:left w:val="nil"/>
              <w:bottom w:val="single" w:sz="4" w:space="0" w:color="auto"/>
              <w:right w:val="single" w:sz="4" w:space="0" w:color="auto"/>
            </w:tcBorders>
            <w:shd w:val="clear" w:color="auto" w:fill="EEECE1" w:themeFill="background2"/>
            <w:vAlign w:val="center"/>
          </w:tcPr>
          <w:p w:rsidR="00755FA4" w:rsidRPr="002A618E" w:rsidRDefault="002A618E" w:rsidP="00125874">
            <w:pPr>
              <w:jc w:val="center"/>
              <w:rPr>
                <w:b/>
                <w:sz w:val="20"/>
                <w:szCs w:val="20"/>
              </w:rPr>
            </w:pPr>
            <w:r>
              <w:rPr>
                <w:b/>
                <w:sz w:val="20"/>
                <w:szCs w:val="20"/>
              </w:rPr>
              <w:t>100,0%</w:t>
            </w:r>
          </w:p>
        </w:tc>
        <w:tc>
          <w:tcPr>
            <w:tcW w:w="1276" w:type="dxa"/>
            <w:tcBorders>
              <w:top w:val="nil"/>
              <w:left w:val="nil"/>
              <w:bottom w:val="single" w:sz="4" w:space="0" w:color="auto"/>
              <w:right w:val="single" w:sz="4" w:space="0" w:color="auto"/>
            </w:tcBorders>
            <w:shd w:val="clear" w:color="auto" w:fill="EEECE1" w:themeFill="background2"/>
            <w:vAlign w:val="center"/>
          </w:tcPr>
          <w:p w:rsidR="00755FA4" w:rsidRPr="00EB2AEE" w:rsidRDefault="0023421E" w:rsidP="00125874">
            <w:pPr>
              <w:jc w:val="center"/>
              <w:rPr>
                <w:b/>
                <w:sz w:val="20"/>
                <w:szCs w:val="20"/>
              </w:rPr>
            </w:pPr>
            <w:r>
              <w:rPr>
                <w:b/>
                <w:sz w:val="20"/>
                <w:szCs w:val="20"/>
              </w:rPr>
              <w:t>792 006,9</w:t>
            </w:r>
          </w:p>
        </w:tc>
        <w:tc>
          <w:tcPr>
            <w:tcW w:w="1051" w:type="dxa"/>
            <w:tcBorders>
              <w:top w:val="nil"/>
              <w:left w:val="nil"/>
              <w:bottom w:val="single" w:sz="4" w:space="0" w:color="auto"/>
              <w:right w:val="single" w:sz="4" w:space="0" w:color="auto"/>
            </w:tcBorders>
            <w:shd w:val="clear" w:color="auto" w:fill="EEECE1" w:themeFill="background2"/>
            <w:vAlign w:val="center"/>
          </w:tcPr>
          <w:p w:rsidR="00755FA4" w:rsidRPr="001231D3" w:rsidRDefault="002A618E" w:rsidP="00125874">
            <w:pPr>
              <w:jc w:val="center"/>
              <w:rPr>
                <w:b/>
                <w:sz w:val="18"/>
                <w:szCs w:val="18"/>
              </w:rPr>
            </w:pPr>
            <w:r>
              <w:rPr>
                <w:b/>
                <w:sz w:val="18"/>
                <w:szCs w:val="18"/>
              </w:rPr>
              <w:t>100,0%</w:t>
            </w:r>
          </w:p>
        </w:tc>
      </w:tr>
    </w:tbl>
    <w:p w:rsidR="002F2957" w:rsidRDefault="00E87198" w:rsidP="0000355D">
      <w:pPr>
        <w:autoSpaceDE w:val="0"/>
        <w:autoSpaceDN w:val="0"/>
        <w:adjustRightInd w:val="0"/>
        <w:spacing w:line="120" w:lineRule="auto"/>
        <w:jc w:val="both"/>
        <w:rPr>
          <w:rFonts w:ascii="Arial" w:hAnsi="Arial" w:cs="Arial"/>
          <w:b/>
          <w:color w:val="0000FF"/>
          <w:sz w:val="20"/>
          <w:szCs w:val="20"/>
        </w:rPr>
      </w:pPr>
      <w:r>
        <w:t xml:space="preserve">      </w:t>
      </w:r>
    </w:p>
    <w:p w:rsidR="001668AC" w:rsidRDefault="00B45EE4" w:rsidP="001668AC">
      <w:pPr>
        <w:autoSpaceDE w:val="0"/>
        <w:autoSpaceDN w:val="0"/>
        <w:adjustRightInd w:val="0"/>
        <w:jc w:val="both"/>
        <w:rPr>
          <w:rFonts w:eastAsia="Calibri"/>
        </w:rPr>
      </w:pPr>
      <w:r>
        <w:t xml:space="preserve">      </w:t>
      </w:r>
      <w:r w:rsidR="00B9741B">
        <w:t xml:space="preserve"> </w:t>
      </w:r>
      <w:r w:rsidR="00573DCC">
        <w:t>И</w:t>
      </w:r>
      <w:r w:rsidR="001668AC" w:rsidRPr="001668AC">
        <w:t xml:space="preserve">зменение структуры обусловлено </w:t>
      </w:r>
      <w:r w:rsidR="00573DCC">
        <w:t xml:space="preserve">также </w:t>
      </w:r>
      <w:r w:rsidR="001668AC" w:rsidRPr="001668AC">
        <w:t>снижением количества и объёма контрактов</w:t>
      </w:r>
      <w:proofErr w:type="gramStart"/>
      <w:r w:rsidR="001668AC">
        <w:t xml:space="preserve"> </w:t>
      </w:r>
      <w:r w:rsidR="001668AC" w:rsidRPr="001668AC">
        <w:t>,</w:t>
      </w:r>
      <w:proofErr w:type="gramEnd"/>
      <w:r w:rsidR="001668AC" w:rsidRPr="001668AC">
        <w:t xml:space="preserve"> заключенных в соответствии с </w:t>
      </w:r>
      <w:r w:rsidR="001668AC" w:rsidRPr="001668AC">
        <w:rPr>
          <w:b/>
        </w:rPr>
        <w:t>пунктом 9 части 1</w:t>
      </w:r>
      <w:r w:rsidR="001668AC" w:rsidRPr="001668AC">
        <w:t xml:space="preserve"> статьи 93 Закона № 44-ФЗ (</w:t>
      </w:r>
      <w:r w:rsidR="001668AC">
        <w:rPr>
          <w:rFonts w:eastAsia="Calibri"/>
        </w:rPr>
        <w:t>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w:t>
      </w:r>
      <w:proofErr w:type="gramStart"/>
      <w:r w:rsidR="001668AC">
        <w:rPr>
          <w:rFonts w:eastAsia="Calibri"/>
        </w:rPr>
        <w:t xml:space="preserve"> )</w:t>
      </w:r>
      <w:proofErr w:type="gramEnd"/>
      <w:r w:rsidR="001668AC">
        <w:rPr>
          <w:rFonts w:eastAsia="Calibri"/>
        </w:rPr>
        <w:t xml:space="preserve"> ликвидации чрезвычайной ситуации, для оказания гуманитарной помощи</w:t>
      </w:r>
      <w:r w:rsidR="001668AC" w:rsidRPr="001668AC">
        <w:rPr>
          <w:rFonts w:eastAsia="Calibri"/>
        </w:rPr>
        <w:t>)</w:t>
      </w:r>
      <w:r w:rsidR="001668AC">
        <w:rPr>
          <w:rFonts w:eastAsia="Calibri"/>
        </w:rPr>
        <w:t>.</w:t>
      </w:r>
    </w:p>
    <w:p w:rsidR="001668AC" w:rsidRDefault="001668AC" w:rsidP="001668AC">
      <w:pPr>
        <w:autoSpaceDE w:val="0"/>
        <w:autoSpaceDN w:val="0"/>
        <w:adjustRightInd w:val="0"/>
        <w:jc w:val="both"/>
        <w:rPr>
          <w:rFonts w:eastAsia="Calibri"/>
        </w:rPr>
      </w:pPr>
      <w:r>
        <w:rPr>
          <w:rFonts w:eastAsia="Calibri"/>
        </w:rPr>
        <w:t xml:space="preserve">      </w:t>
      </w:r>
      <w:r w:rsidRPr="001668AC">
        <w:rPr>
          <w:rFonts w:eastAsia="Calibri"/>
          <w:b/>
        </w:rPr>
        <w:t>В  2021 году</w:t>
      </w:r>
      <w:r w:rsidRPr="001668AC">
        <w:rPr>
          <w:rFonts w:eastAsia="Calibri"/>
        </w:rPr>
        <w:t xml:space="preserve"> в соответствии с этим основанием </w:t>
      </w:r>
      <w:r>
        <w:rPr>
          <w:rFonts w:eastAsia="Calibri"/>
        </w:rPr>
        <w:t xml:space="preserve"> </w:t>
      </w:r>
      <w:r w:rsidRPr="001668AC">
        <w:rPr>
          <w:rFonts w:eastAsia="Calibri"/>
        </w:rPr>
        <w:t xml:space="preserve">было заключено </w:t>
      </w:r>
      <w:r>
        <w:rPr>
          <w:rFonts w:eastAsia="Calibri"/>
        </w:rPr>
        <w:t xml:space="preserve"> </w:t>
      </w:r>
      <w:r w:rsidRPr="001668AC">
        <w:rPr>
          <w:rFonts w:eastAsia="Calibri"/>
          <w:b/>
        </w:rPr>
        <w:t>5  контрактов</w:t>
      </w:r>
      <w:r w:rsidRPr="001668AC">
        <w:rPr>
          <w:rFonts w:eastAsia="Calibri"/>
        </w:rPr>
        <w:t xml:space="preserve"> (</w:t>
      </w:r>
      <w:r>
        <w:rPr>
          <w:rFonts w:eastAsia="Calibri"/>
        </w:rPr>
        <w:t>3,9</w:t>
      </w:r>
      <w:r w:rsidRPr="001668AC">
        <w:rPr>
          <w:rFonts w:eastAsia="Calibri"/>
        </w:rPr>
        <w:t xml:space="preserve">% от общего количества контрактов, заключённых с единственным поставщиком) на общую сумму </w:t>
      </w:r>
      <w:r>
        <w:rPr>
          <w:rFonts w:eastAsia="Calibri"/>
        </w:rPr>
        <w:t xml:space="preserve"> 11 353,6 тыс. руб.</w:t>
      </w:r>
      <w:r w:rsidRPr="001668AC">
        <w:rPr>
          <w:rFonts w:eastAsia="Calibri"/>
        </w:rPr>
        <w:t xml:space="preserve"> (</w:t>
      </w:r>
      <w:r>
        <w:rPr>
          <w:rFonts w:eastAsia="Calibri"/>
        </w:rPr>
        <w:t>7,0</w:t>
      </w:r>
      <w:r w:rsidRPr="001668AC">
        <w:rPr>
          <w:rFonts w:eastAsia="Calibri"/>
        </w:rPr>
        <w:t xml:space="preserve">%). </w:t>
      </w:r>
    </w:p>
    <w:p w:rsidR="00CE5D3D" w:rsidRDefault="001668AC" w:rsidP="00CE5D3D">
      <w:pPr>
        <w:jc w:val="both"/>
        <w:rPr>
          <w:i/>
        </w:rPr>
      </w:pPr>
      <w:r>
        <w:rPr>
          <w:i/>
        </w:rPr>
        <w:t xml:space="preserve">     </w:t>
      </w:r>
      <w:r w:rsidRPr="008C2944">
        <w:rPr>
          <w:i/>
        </w:rPr>
        <w:t xml:space="preserve">Это обусловлено, осуществлением </w:t>
      </w:r>
      <w:r w:rsidR="00FF0F3A">
        <w:rPr>
          <w:i/>
        </w:rPr>
        <w:t>З</w:t>
      </w:r>
      <w:r w:rsidRPr="008C2944">
        <w:rPr>
          <w:i/>
        </w:rPr>
        <w:t xml:space="preserve">аказчиками </w:t>
      </w:r>
      <w:r w:rsidR="00CE5D3D">
        <w:rPr>
          <w:i/>
        </w:rPr>
        <w:t>в 2021 году</w:t>
      </w:r>
      <w:r w:rsidRPr="008C2944">
        <w:rPr>
          <w:i/>
        </w:rPr>
        <w:t xml:space="preserve"> закупок в целях оперативного проведения мероприятий по профилактике, предупреждению, ликвидации последствий распространения новой </w:t>
      </w:r>
      <w:proofErr w:type="spellStart"/>
      <w:r w:rsidRPr="008C2944">
        <w:rPr>
          <w:i/>
        </w:rPr>
        <w:t>коронавирусной</w:t>
      </w:r>
      <w:proofErr w:type="spellEnd"/>
      <w:r w:rsidRPr="008C2944">
        <w:rPr>
          <w:i/>
        </w:rPr>
        <w:t xml:space="preserve"> инфекции(</w:t>
      </w:r>
      <w:r w:rsidRPr="008C2944">
        <w:rPr>
          <w:i/>
          <w:lang w:val="en-US"/>
        </w:rPr>
        <w:t>COVID</w:t>
      </w:r>
      <w:r w:rsidRPr="008C2944">
        <w:rPr>
          <w:i/>
        </w:rPr>
        <w:t>-19)</w:t>
      </w:r>
      <w:r w:rsidR="00CE5D3D">
        <w:rPr>
          <w:i/>
        </w:rPr>
        <w:t>.</w:t>
      </w:r>
    </w:p>
    <w:p w:rsidR="00CE5D3D" w:rsidRDefault="00CE5D3D" w:rsidP="00CE5D3D">
      <w:pPr>
        <w:jc w:val="both"/>
        <w:rPr>
          <w:rFonts w:eastAsia="Calibri"/>
        </w:rPr>
      </w:pPr>
      <w:r>
        <w:t xml:space="preserve">      </w:t>
      </w:r>
      <w:r w:rsidRPr="00F968BD">
        <w:t>Необходимо отметить, что второй ≪</w:t>
      </w:r>
      <w:proofErr w:type="spellStart"/>
      <w:r w:rsidRPr="00F968BD">
        <w:rPr>
          <w:rFonts w:hint="eastAsia"/>
        </w:rPr>
        <w:t>коронавирусный</w:t>
      </w:r>
      <w:proofErr w:type="spellEnd"/>
      <w:r w:rsidRPr="00F968BD">
        <w:t xml:space="preserve">≫ </w:t>
      </w:r>
      <w:r w:rsidRPr="00F968BD">
        <w:rPr>
          <w:rFonts w:hint="eastAsia"/>
        </w:rPr>
        <w:t>год</w:t>
      </w:r>
      <w:r w:rsidRPr="00F968BD">
        <w:t xml:space="preserve"> </w:t>
      </w:r>
      <w:r w:rsidRPr="00F968BD">
        <w:rPr>
          <w:rFonts w:hint="eastAsia"/>
        </w:rPr>
        <w:t>затронул</w:t>
      </w:r>
      <w:r w:rsidRPr="00F968BD">
        <w:t xml:space="preserve"> </w:t>
      </w:r>
      <w:r w:rsidRPr="00F968BD">
        <w:rPr>
          <w:rFonts w:hint="eastAsia"/>
        </w:rPr>
        <w:t>все</w:t>
      </w:r>
      <w:r w:rsidRPr="00F968BD">
        <w:t xml:space="preserve"> </w:t>
      </w:r>
      <w:r w:rsidRPr="00F968BD">
        <w:rPr>
          <w:rFonts w:hint="eastAsia"/>
        </w:rPr>
        <w:t>сферы</w:t>
      </w:r>
      <w:r w:rsidRPr="00F968BD">
        <w:t xml:space="preserve"> </w:t>
      </w:r>
      <w:r w:rsidRPr="00F968BD">
        <w:rPr>
          <w:rFonts w:hint="eastAsia"/>
        </w:rPr>
        <w:t>жизни</w:t>
      </w:r>
      <w:r w:rsidRPr="00F968BD">
        <w:t xml:space="preserve"> области, </w:t>
      </w:r>
      <w:r w:rsidRPr="00F968BD">
        <w:rPr>
          <w:rFonts w:hint="eastAsia"/>
        </w:rPr>
        <w:t>включая</w:t>
      </w:r>
      <w:r w:rsidRPr="00F968BD">
        <w:t xml:space="preserve"> </w:t>
      </w:r>
      <w:r w:rsidRPr="00F968BD">
        <w:rPr>
          <w:rFonts w:hint="eastAsia"/>
        </w:rPr>
        <w:t>финансы</w:t>
      </w:r>
      <w:r w:rsidRPr="00F968BD">
        <w:t xml:space="preserve">, </w:t>
      </w:r>
      <w:r w:rsidRPr="00F968BD">
        <w:rPr>
          <w:rFonts w:hint="eastAsia"/>
        </w:rPr>
        <w:t>которые</w:t>
      </w:r>
      <w:r w:rsidRPr="00F968BD">
        <w:t xml:space="preserve"> </w:t>
      </w:r>
      <w:r w:rsidRPr="00F968BD">
        <w:rPr>
          <w:rFonts w:hint="eastAsia"/>
        </w:rPr>
        <w:t>находятся</w:t>
      </w:r>
      <w:r w:rsidRPr="00F968BD">
        <w:t xml:space="preserve"> </w:t>
      </w:r>
      <w:r w:rsidRPr="00F968BD">
        <w:rPr>
          <w:rFonts w:hint="eastAsia"/>
        </w:rPr>
        <w:t>под</w:t>
      </w:r>
      <w:r w:rsidRPr="00F968BD">
        <w:t xml:space="preserve"> </w:t>
      </w:r>
      <w:r w:rsidRPr="00F968BD">
        <w:rPr>
          <w:rFonts w:hint="eastAsia"/>
        </w:rPr>
        <w:t>влиянием</w:t>
      </w:r>
      <w:r w:rsidRPr="00F968BD">
        <w:t xml:space="preserve"> </w:t>
      </w:r>
      <w:r w:rsidRPr="00F968BD">
        <w:rPr>
          <w:rFonts w:hint="eastAsia"/>
        </w:rPr>
        <w:t>волнообразного</w:t>
      </w:r>
      <w:r w:rsidRPr="00F968BD">
        <w:t xml:space="preserve"> </w:t>
      </w:r>
      <w:r w:rsidRPr="00F968BD">
        <w:rPr>
          <w:rFonts w:hint="eastAsia"/>
        </w:rPr>
        <w:t>наступления</w:t>
      </w:r>
      <w:r w:rsidRPr="00F968BD">
        <w:t xml:space="preserve"> </w:t>
      </w:r>
      <w:proofErr w:type="spellStart"/>
      <w:r w:rsidRPr="00F968BD">
        <w:rPr>
          <w:rFonts w:hint="eastAsia"/>
        </w:rPr>
        <w:t>коронавирусной</w:t>
      </w:r>
      <w:proofErr w:type="spellEnd"/>
      <w:r w:rsidRPr="00F968BD">
        <w:t xml:space="preserve"> </w:t>
      </w:r>
      <w:r w:rsidRPr="00F968BD">
        <w:rPr>
          <w:rFonts w:hint="eastAsia"/>
        </w:rPr>
        <w:t>инфекции</w:t>
      </w:r>
      <w:r w:rsidRPr="00F968BD">
        <w:t xml:space="preserve">. </w:t>
      </w:r>
      <w:r w:rsidRPr="00F968BD">
        <w:rPr>
          <w:rFonts w:hint="eastAsia"/>
        </w:rPr>
        <w:t>Масштаб</w:t>
      </w:r>
      <w:r w:rsidRPr="00F968BD">
        <w:t xml:space="preserve"> </w:t>
      </w:r>
      <w:r w:rsidRPr="00F968BD">
        <w:rPr>
          <w:rFonts w:hint="eastAsia"/>
        </w:rPr>
        <w:t>и</w:t>
      </w:r>
      <w:r w:rsidRPr="00F968BD">
        <w:t xml:space="preserve"> </w:t>
      </w:r>
      <w:r w:rsidRPr="00F968BD">
        <w:rPr>
          <w:rFonts w:hint="eastAsia"/>
        </w:rPr>
        <w:t>длительность</w:t>
      </w:r>
      <w:r w:rsidRPr="00F968BD">
        <w:t xml:space="preserve"> </w:t>
      </w:r>
      <w:r w:rsidRPr="00F968BD">
        <w:rPr>
          <w:rFonts w:hint="eastAsia"/>
        </w:rPr>
        <w:t>влияния</w:t>
      </w:r>
      <w:r w:rsidRPr="00F968BD">
        <w:t xml:space="preserve"> </w:t>
      </w:r>
      <w:r w:rsidRPr="00F968BD">
        <w:rPr>
          <w:rFonts w:hint="eastAsia"/>
        </w:rPr>
        <w:t>противоэпидемических</w:t>
      </w:r>
      <w:r w:rsidRPr="00F968BD">
        <w:t xml:space="preserve"> </w:t>
      </w:r>
      <w:r w:rsidRPr="00F968BD">
        <w:rPr>
          <w:rFonts w:hint="eastAsia"/>
        </w:rPr>
        <w:t>мер</w:t>
      </w:r>
      <w:r w:rsidRPr="00F968BD">
        <w:t xml:space="preserve"> </w:t>
      </w:r>
      <w:r w:rsidRPr="00F968BD">
        <w:rPr>
          <w:rFonts w:hint="eastAsia"/>
        </w:rPr>
        <w:t>на</w:t>
      </w:r>
      <w:r w:rsidRPr="00F968BD">
        <w:t xml:space="preserve"> </w:t>
      </w:r>
      <w:r w:rsidRPr="00F968BD">
        <w:rPr>
          <w:rFonts w:hint="eastAsia"/>
        </w:rPr>
        <w:t>экономику</w:t>
      </w:r>
      <w:r w:rsidRPr="00F968BD">
        <w:t xml:space="preserve"> </w:t>
      </w:r>
      <w:r w:rsidRPr="00F968BD">
        <w:rPr>
          <w:rFonts w:hint="eastAsia"/>
        </w:rPr>
        <w:t>и</w:t>
      </w:r>
      <w:r w:rsidRPr="00F968BD">
        <w:t xml:space="preserve"> </w:t>
      </w:r>
      <w:r w:rsidRPr="00F968BD">
        <w:rPr>
          <w:rFonts w:hint="eastAsia"/>
        </w:rPr>
        <w:t>в</w:t>
      </w:r>
      <w:r w:rsidRPr="00F968BD">
        <w:t xml:space="preserve"> </w:t>
      </w:r>
      <w:r w:rsidRPr="00F968BD">
        <w:rPr>
          <w:rFonts w:hint="eastAsia"/>
        </w:rPr>
        <w:t>настоящий</w:t>
      </w:r>
      <w:r w:rsidRPr="00F968BD">
        <w:t xml:space="preserve"> </w:t>
      </w:r>
      <w:r w:rsidRPr="00F968BD">
        <w:rPr>
          <w:rFonts w:hint="eastAsia"/>
        </w:rPr>
        <w:t>момент</w:t>
      </w:r>
      <w:r w:rsidRPr="00F968BD">
        <w:t xml:space="preserve"> </w:t>
      </w:r>
      <w:r w:rsidRPr="00F968BD">
        <w:rPr>
          <w:rFonts w:hint="eastAsia"/>
        </w:rPr>
        <w:t>являются</w:t>
      </w:r>
      <w:r w:rsidRPr="00F968BD">
        <w:t xml:space="preserve"> </w:t>
      </w:r>
      <w:r w:rsidRPr="00F968BD">
        <w:rPr>
          <w:rFonts w:hint="eastAsia"/>
        </w:rPr>
        <w:t>неопределенными</w:t>
      </w:r>
      <w:r w:rsidRPr="00F968BD">
        <w:t xml:space="preserve"> </w:t>
      </w:r>
      <w:r w:rsidRPr="00F968BD">
        <w:rPr>
          <w:rFonts w:hint="eastAsia"/>
        </w:rPr>
        <w:t>и</w:t>
      </w:r>
      <w:r w:rsidRPr="00F968BD">
        <w:t xml:space="preserve"> </w:t>
      </w:r>
      <w:r w:rsidRPr="00F968BD">
        <w:rPr>
          <w:rFonts w:hint="eastAsia"/>
        </w:rPr>
        <w:t>сложно</w:t>
      </w:r>
      <w:r w:rsidRPr="00F968BD">
        <w:t xml:space="preserve"> </w:t>
      </w:r>
      <w:r w:rsidRPr="00F968BD">
        <w:rPr>
          <w:rFonts w:hint="eastAsia"/>
        </w:rPr>
        <w:t>прогнозируемыми</w:t>
      </w:r>
    </w:p>
    <w:p w:rsidR="00CE5D3D" w:rsidRDefault="00CE5D3D" w:rsidP="00CE5D3D">
      <w:pPr>
        <w:ind w:firstLine="425"/>
        <w:jc w:val="both"/>
      </w:pPr>
      <w:r>
        <w:t>Заказчик</w:t>
      </w:r>
      <w:r w:rsidR="00FF0F3A">
        <w:t xml:space="preserve">ами </w:t>
      </w:r>
      <w:r>
        <w:t xml:space="preserve"> в 2022 году  з</w:t>
      </w:r>
      <w:r w:rsidRPr="00D106A8">
        <w:t xml:space="preserve">акупок в целях оперативного проведения мероприятий по профилактике, предупреждению, ликвидации последствий распространения новой </w:t>
      </w:r>
      <w:proofErr w:type="spellStart"/>
      <w:r w:rsidRPr="00D106A8">
        <w:t>коронавирусной</w:t>
      </w:r>
      <w:proofErr w:type="spellEnd"/>
      <w:r w:rsidRPr="00D106A8">
        <w:t xml:space="preserve"> инфекции</w:t>
      </w:r>
      <w:r>
        <w:t xml:space="preserve"> </w:t>
      </w:r>
      <w:r w:rsidRPr="00D106A8">
        <w:t>(</w:t>
      </w:r>
      <w:r w:rsidRPr="00D106A8">
        <w:rPr>
          <w:lang w:val="en-US"/>
        </w:rPr>
        <w:t>COVID</w:t>
      </w:r>
      <w:r w:rsidRPr="00D106A8">
        <w:t>-19)</w:t>
      </w:r>
      <w:r>
        <w:t xml:space="preserve"> </w:t>
      </w:r>
      <w:r w:rsidRPr="00CE5D3D">
        <w:rPr>
          <w:b/>
        </w:rPr>
        <w:t>не осуществлялось</w:t>
      </w:r>
      <w:r>
        <w:t xml:space="preserve">. </w:t>
      </w:r>
    </w:p>
    <w:p w:rsidR="00CE5D3D" w:rsidRPr="006E4254" w:rsidRDefault="00CE5D3D" w:rsidP="00CE5D3D">
      <w:pPr>
        <w:ind w:firstLine="425"/>
        <w:jc w:val="both"/>
        <w:rPr>
          <w:i/>
        </w:rPr>
      </w:pPr>
      <w:r w:rsidRPr="006E4254">
        <w:rPr>
          <w:i/>
        </w:rPr>
        <w:t xml:space="preserve">Это </w:t>
      </w:r>
      <w:r>
        <w:rPr>
          <w:i/>
        </w:rPr>
        <w:t xml:space="preserve">может быть </w:t>
      </w:r>
      <w:r w:rsidRPr="006E4254">
        <w:rPr>
          <w:i/>
        </w:rPr>
        <w:t xml:space="preserve">обусловлено </w:t>
      </w:r>
      <w:r w:rsidR="00F373A6">
        <w:rPr>
          <w:i/>
        </w:rPr>
        <w:t xml:space="preserve">снижением в 2022 году заболеваемости населения </w:t>
      </w:r>
      <w:r w:rsidR="00224174">
        <w:rPr>
          <w:i/>
        </w:rPr>
        <w:t xml:space="preserve">Приозерского района, прежде всего </w:t>
      </w:r>
      <w:proofErr w:type="spellStart"/>
      <w:r w:rsidR="00224174">
        <w:rPr>
          <w:i/>
        </w:rPr>
        <w:t>коронавирусной</w:t>
      </w:r>
      <w:proofErr w:type="spellEnd"/>
      <w:r w:rsidR="00224174">
        <w:rPr>
          <w:i/>
        </w:rPr>
        <w:t xml:space="preserve"> инфекцией, и как следствие, </w:t>
      </w:r>
      <w:r w:rsidRPr="006E4254">
        <w:rPr>
          <w:i/>
        </w:rPr>
        <w:t>отсутствием в 20</w:t>
      </w:r>
      <w:r>
        <w:rPr>
          <w:i/>
        </w:rPr>
        <w:t>22</w:t>
      </w:r>
      <w:r w:rsidRPr="006E4254">
        <w:rPr>
          <w:i/>
        </w:rPr>
        <w:t xml:space="preserve"> году потребности в закупках, проводимых в целях осуществления мер, направленных на противодействие распространению на территории Приозерского района новой </w:t>
      </w:r>
      <w:proofErr w:type="spellStart"/>
      <w:r w:rsidRPr="006E4254">
        <w:rPr>
          <w:i/>
        </w:rPr>
        <w:t>коронавирусной</w:t>
      </w:r>
      <w:proofErr w:type="spellEnd"/>
      <w:r w:rsidRPr="006E4254">
        <w:rPr>
          <w:i/>
        </w:rPr>
        <w:t xml:space="preserve"> инфекции (</w:t>
      </w:r>
      <w:r w:rsidRPr="006E4254">
        <w:rPr>
          <w:i/>
          <w:lang w:val="en-US"/>
        </w:rPr>
        <w:t>COVID</w:t>
      </w:r>
      <w:r w:rsidRPr="006E4254">
        <w:rPr>
          <w:i/>
        </w:rPr>
        <w:t>-19) в объемах 20</w:t>
      </w:r>
      <w:r>
        <w:rPr>
          <w:i/>
        </w:rPr>
        <w:t>21</w:t>
      </w:r>
      <w:r w:rsidR="00F373A6">
        <w:rPr>
          <w:i/>
        </w:rPr>
        <w:t xml:space="preserve"> года</w:t>
      </w:r>
      <w:r w:rsidR="00224174">
        <w:rPr>
          <w:i/>
        </w:rPr>
        <w:t>.</w:t>
      </w:r>
    </w:p>
    <w:p w:rsidR="000A1040" w:rsidRDefault="008178F5" w:rsidP="000A1040">
      <w:pPr>
        <w:ind w:firstLine="425"/>
        <w:jc w:val="both"/>
        <w:rPr>
          <w:bCs/>
        </w:rPr>
      </w:pPr>
      <w:proofErr w:type="gramStart"/>
      <w:r>
        <w:t xml:space="preserve">Кроме того, в  2022 году по отношению к аналогичному периоду 2021 года наблюдается  сокращение  на  20,7%  количества контрактов, а также суммарного объема контрактов на  8,7% , заключенных по пунктам  </w:t>
      </w:r>
      <w:r w:rsidRPr="008178F5">
        <w:rPr>
          <w:b/>
        </w:rPr>
        <w:t>1</w:t>
      </w:r>
      <w:r>
        <w:t>,</w:t>
      </w:r>
      <w:r w:rsidRPr="00952F9E">
        <w:rPr>
          <w:b/>
        </w:rPr>
        <w:t>8, 29</w:t>
      </w:r>
      <w:r>
        <w:t xml:space="preserve"> части 1 статьи 93 Закона №44-ФЗ</w:t>
      </w:r>
      <w:r w:rsidR="00FD6BB1">
        <w:t xml:space="preserve">      </w:t>
      </w:r>
      <w:r>
        <w:t xml:space="preserve"> (закупка товаров, работ, услуг у субъектов естественных монополий</w:t>
      </w:r>
      <w:r w:rsidR="000A1040">
        <w:t xml:space="preserve">, </w:t>
      </w:r>
      <w:r>
        <w:t>закупка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w:t>
      </w:r>
      <w:proofErr w:type="gramEnd"/>
      <w:r>
        <w:t xml:space="preserve"> ценам (тарифам)</w:t>
      </w:r>
      <w:r w:rsidR="000A1040">
        <w:t xml:space="preserve"> </w:t>
      </w:r>
      <w:r w:rsidRPr="00521BC8">
        <w:rPr>
          <w:bCs/>
        </w:rPr>
        <w:t>по договору энергоснабжения или договора купли-продажи электрической энергии с гарантирующим поставщиком электрической энергии</w:t>
      </w:r>
      <w:r w:rsidRPr="008711FA">
        <w:rPr>
          <w:bCs/>
        </w:rPr>
        <w:t xml:space="preserve">). </w:t>
      </w:r>
    </w:p>
    <w:p w:rsidR="001668AC" w:rsidRDefault="008178F5" w:rsidP="000A1040">
      <w:pPr>
        <w:spacing w:after="120" w:line="300" w:lineRule="exact"/>
        <w:ind w:firstLine="425"/>
        <w:jc w:val="both"/>
      </w:pPr>
      <w:r w:rsidRPr="008711FA">
        <w:rPr>
          <w:bCs/>
          <w:i/>
        </w:rPr>
        <w:t>Данн</w:t>
      </w:r>
      <w:r w:rsidR="000A1040">
        <w:rPr>
          <w:bCs/>
          <w:i/>
        </w:rPr>
        <w:t xml:space="preserve">ое снижение </w:t>
      </w:r>
      <w:r w:rsidRPr="008711FA">
        <w:rPr>
          <w:bCs/>
          <w:i/>
        </w:rPr>
        <w:t>может быть обусловлен</w:t>
      </w:r>
      <w:r w:rsidR="000A1040">
        <w:rPr>
          <w:bCs/>
          <w:i/>
        </w:rPr>
        <w:t>о</w:t>
      </w:r>
      <w:r w:rsidRPr="008711FA">
        <w:rPr>
          <w:bCs/>
          <w:i/>
        </w:rPr>
        <w:t xml:space="preserve"> </w:t>
      </w:r>
      <w:r w:rsidR="000A1040">
        <w:rPr>
          <w:bCs/>
          <w:i/>
        </w:rPr>
        <w:t xml:space="preserve"> отсутствием необходимости заключения в 2022 году </w:t>
      </w:r>
      <w:r w:rsidRPr="008711FA">
        <w:rPr>
          <w:bCs/>
          <w:i/>
        </w:rPr>
        <w:t xml:space="preserve"> контрактов на оказание </w:t>
      </w:r>
      <w:r>
        <w:rPr>
          <w:bCs/>
          <w:i/>
        </w:rPr>
        <w:t xml:space="preserve">указанных </w:t>
      </w:r>
      <w:r w:rsidRPr="008711FA">
        <w:rPr>
          <w:bCs/>
          <w:i/>
        </w:rPr>
        <w:t>выше услуг</w:t>
      </w:r>
      <w:r w:rsidR="000A1040">
        <w:rPr>
          <w:bCs/>
          <w:i/>
        </w:rPr>
        <w:t>, в связи с тем, что в 2021 году были заключены контракты</w:t>
      </w:r>
      <w:r w:rsidR="001A60F9">
        <w:rPr>
          <w:bCs/>
          <w:i/>
        </w:rPr>
        <w:t xml:space="preserve"> с длительным сроком исполнения.</w:t>
      </w:r>
    </w:p>
    <w:p w:rsidR="006255EB" w:rsidRDefault="00D77677" w:rsidP="006016D3">
      <w:pPr>
        <w:spacing w:line="120" w:lineRule="auto"/>
        <w:jc w:val="both"/>
        <w:rPr>
          <w:i/>
        </w:rPr>
      </w:pPr>
      <w:r>
        <w:rPr>
          <w:sz w:val="28"/>
          <w:szCs w:val="28"/>
        </w:rPr>
        <w:t xml:space="preserve">       </w:t>
      </w:r>
    </w:p>
    <w:p w:rsidR="00CF2CD7" w:rsidRDefault="00CF2CD7" w:rsidP="00CF2CD7">
      <w:pPr>
        <w:widowControl w:val="0"/>
        <w:tabs>
          <w:tab w:val="left" w:pos="709"/>
        </w:tabs>
        <w:ind w:firstLine="426"/>
        <w:jc w:val="center"/>
        <w:rPr>
          <w:i/>
        </w:rPr>
      </w:pPr>
      <w:r w:rsidRPr="007A62A9">
        <w:rPr>
          <w:i/>
        </w:rPr>
        <w:lastRenderedPageBreak/>
        <w:t>Информация о количестве и стоимости контрактов, заключенных в 20</w:t>
      </w:r>
      <w:r w:rsidR="00303CCD">
        <w:rPr>
          <w:i/>
        </w:rPr>
        <w:t>22</w:t>
      </w:r>
      <w:r w:rsidRPr="007A62A9">
        <w:rPr>
          <w:i/>
        </w:rPr>
        <w:t xml:space="preserve"> году  с единственным поставщиком (подрядчиком, исполнителем), в разрезе  оснований заключения таких контрактов представлена на диаграмме </w:t>
      </w:r>
      <w:r w:rsidR="00064735">
        <w:rPr>
          <w:i/>
        </w:rPr>
        <w:t>4</w:t>
      </w:r>
      <w:r w:rsidRPr="007A62A9">
        <w:rPr>
          <w:i/>
        </w:rPr>
        <w:t>.</w:t>
      </w:r>
    </w:p>
    <w:p w:rsidR="00CF2CD7" w:rsidRDefault="00CF2CD7" w:rsidP="00CF2CD7">
      <w:pPr>
        <w:ind w:firstLine="284"/>
        <w:jc w:val="both"/>
      </w:pPr>
    </w:p>
    <w:p w:rsidR="009550E2" w:rsidRDefault="009550E2" w:rsidP="009550E2">
      <w:pPr>
        <w:ind w:firstLine="284"/>
        <w:jc w:val="center"/>
      </w:pPr>
      <w:r w:rsidRPr="004311B1">
        <w:rPr>
          <w:b/>
          <w:noProof/>
        </w:rPr>
        <w:t>Диаграмма</w:t>
      </w:r>
      <w:r>
        <w:rPr>
          <w:noProof/>
        </w:rPr>
        <w:t xml:space="preserve"> </w:t>
      </w:r>
      <w:r w:rsidR="008C18D2" w:rsidRPr="008C18D2">
        <w:rPr>
          <w:b/>
          <w:noProof/>
        </w:rPr>
        <w:t>4</w:t>
      </w:r>
      <w:r w:rsidRPr="008C18D2">
        <w:rPr>
          <w:b/>
        </w:rPr>
        <w:t>.</w:t>
      </w:r>
      <w:r w:rsidRPr="004311B1">
        <w:rPr>
          <w:b/>
        </w:rPr>
        <w:t xml:space="preserve"> </w:t>
      </w:r>
      <w:r>
        <w:rPr>
          <w:b/>
        </w:rPr>
        <w:t>Суммарная цена и количество заключенных контрактов с единственным поставщиком в разрезе оснований заключения</w:t>
      </w:r>
    </w:p>
    <w:p w:rsidR="009550E2" w:rsidRDefault="009550E2" w:rsidP="009550E2">
      <w:pPr>
        <w:ind w:firstLine="284"/>
        <w:jc w:val="both"/>
      </w:pPr>
    </w:p>
    <w:p w:rsidR="009550E2" w:rsidRDefault="009550E2" w:rsidP="009550E2">
      <w:pPr>
        <w:jc w:val="both"/>
        <w:rPr>
          <w:rFonts w:ascii="Arial" w:hAnsi="Arial" w:cs="Arial"/>
          <w:b/>
          <w:sz w:val="22"/>
          <w:szCs w:val="22"/>
        </w:rPr>
      </w:pPr>
      <w:r>
        <w:rPr>
          <w:noProof/>
        </w:rPr>
        <w:drawing>
          <wp:inline distT="0" distB="0" distL="0" distR="0" wp14:anchorId="0DB85184" wp14:editId="731BFA55">
            <wp:extent cx="5589917" cy="3786996"/>
            <wp:effectExtent l="0" t="0" r="0" b="4445"/>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FC38C4" w:rsidRDefault="00FC38C4" w:rsidP="00FC38C4">
      <w:pPr>
        <w:spacing w:line="120" w:lineRule="auto"/>
        <w:ind w:firstLine="425"/>
        <w:jc w:val="both"/>
      </w:pPr>
    </w:p>
    <w:p w:rsidR="00303CCD" w:rsidRDefault="00303CCD" w:rsidP="004A2BCB">
      <w:pPr>
        <w:ind w:firstLine="425"/>
        <w:jc w:val="both"/>
      </w:pPr>
    </w:p>
    <w:p w:rsidR="006016D3" w:rsidRDefault="00303CCD" w:rsidP="00303CCD">
      <w:pPr>
        <w:jc w:val="both"/>
      </w:pPr>
      <w:r>
        <w:t xml:space="preserve">       </w:t>
      </w:r>
    </w:p>
    <w:p w:rsidR="006016D3" w:rsidRPr="00D77677" w:rsidRDefault="006016D3" w:rsidP="006016D3">
      <w:pPr>
        <w:jc w:val="both"/>
        <w:rPr>
          <w:i/>
        </w:rPr>
      </w:pPr>
      <w:r>
        <w:t xml:space="preserve">      </w:t>
      </w:r>
      <w:r w:rsidRPr="00D77677">
        <w:t>Наибольший объем контрактов (</w:t>
      </w:r>
      <w:r w:rsidRPr="00D77677">
        <w:rPr>
          <w:b/>
        </w:rPr>
        <w:t>в стоимостном выражении</w:t>
      </w:r>
      <w:r w:rsidRPr="00D77677">
        <w:t>) с единственным поставщиком</w:t>
      </w:r>
      <w:r>
        <w:t xml:space="preserve"> по  состоявшимся закупкам </w:t>
      </w:r>
      <w:r w:rsidRPr="00D77677">
        <w:t xml:space="preserve">составляют контракты на основании </w:t>
      </w:r>
      <w:r w:rsidRPr="00D77677">
        <w:rPr>
          <w:b/>
        </w:rPr>
        <w:t xml:space="preserve">ст. 15 Федерального закона </w:t>
      </w:r>
      <w:r>
        <w:rPr>
          <w:b/>
        </w:rPr>
        <w:t xml:space="preserve"> </w:t>
      </w:r>
      <w:r w:rsidRPr="00D77677">
        <w:rPr>
          <w:b/>
        </w:rPr>
        <w:t>от 08.03.2022 № 46-ФЗ</w:t>
      </w:r>
      <w:proofErr w:type="gramStart"/>
      <w:r>
        <w:rPr>
          <w:b/>
        </w:rPr>
        <w:t xml:space="preserve"> </w:t>
      </w:r>
      <w:r w:rsidRPr="00D77677">
        <w:t>,</w:t>
      </w:r>
      <w:proofErr w:type="gramEnd"/>
      <w:r w:rsidRPr="00D77677">
        <w:t xml:space="preserve"> </w:t>
      </w:r>
      <w:r w:rsidRPr="00D77677">
        <w:rPr>
          <w:b/>
        </w:rPr>
        <w:t>п. 2 ч. 1 ст</w:t>
      </w:r>
      <w:r>
        <w:rPr>
          <w:b/>
        </w:rPr>
        <w:t xml:space="preserve">атьи </w:t>
      </w:r>
      <w:r w:rsidRPr="00D77677">
        <w:rPr>
          <w:b/>
        </w:rPr>
        <w:t xml:space="preserve"> 93</w:t>
      </w:r>
      <w:r w:rsidRPr="00D77677">
        <w:t xml:space="preserve"> Закона № 44-</w:t>
      </w:r>
      <w:r w:rsidRPr="00D77677">
        <w:rPr>
          <w:i/>
        </w:rPr>
        <w:t xml:space="preserve">ФЗ </w:t>
      </w:r>
      <w:r>
        <w:rPr>
          <w:i/>
        </w:rPr>
        <w:t xml:space="preserve">(на основании  </w:t>
      </w:r>
      <w:r w:rsidRPr="00D77677">
        <w:rPr>
          <w:b/>
          <w:i/>
        </w:rPr>
        <w:t>Постановления №339</w:t>
      </w:r>
      <w:r>
        <w:rPr>
          <w:b/>
          <w:i/>
        </w:rPr>
        <w:t xml:space="preserve">, </w:t>
      </w:r>
      <w:r w:rsidRPr="00D77677">
        <w:rPr>
          <w:i/>
        </w:rPr>
        <w:t>постановления</w:t>
      </w:r>
      <w:r>
        <w:rPr>
          <w:i/>
        </w:rPr>
        <w:t xml:space="preserve"> Правительства Ленинградской области </w:t>
      </w:r>
      <w:r w:rsidRPr="00D77677">
        <w:rPr>
          <w:b/>
          <w:i/>
        </w:rPr>
        <w:t>от 24.03.2022г. №179</w:t>
      </w:r>
      <w:r>
        <w:rPr>
          <w:i/>
        </w:rPr>
        <w:t xml:space="preserve">, устанавливающих случаи осуществления закупок у единственного поставщика   в целях стабилизации ситуации в сфере закупок  </w:t>
      </w:r>
      <w:r w:rsidRPr="00D77677">
        <w:rPr>
          <w:i/>
        </w:rPr>
        <w:t xml:space="preserve">в рамках специальных  </w:t>
      </w:r>
      <w:proofErr w:type="spellStart"/>
      <w:r w:rsidRPr="00D77677">
        <w:rPr>
          <w:i/>
        </w:rPr>
        <w:t>антисанкционных</w:t>
      </w:r>
      <w:proofErr w:type="spellEnd"/>
      <w:r w:rsidRPr="00D77677">
        <w:rPr>
          <w:i/>
        </w:rPr>
        <w:t xml:space="preserve"> мер по нивелированию негативных последствий от введения иностранными государствами санкций. </w:t>
      </w:r>
    </w:p>
    <w:p w:rsidR="00303CCD" w:rsidRDefault="006016D3" w:rsidP="00303CCD">
      <w:pPr>
        <w:jc w:val="both"/>
        <w:rPr>
          <w:b/>
        </w:rPr>
      </w:pPr>
      <w:r>
        <w:t xml:space="preserve">      </w:t>
      </w:r>
      <w:r w:rsidR="00303CCD" w:rsidRPr="00D77677">
        <w:t>По данным основаниям суммарно заключен</w:t>
      </w:r>
      <w:r w:rsidR="00303CCD">
        <w:t xml:space="preserve">о  </w:t>
      </w:r>
      <w:r w:rsidR="00303CCD" w:rsidRPr="00303CCD">
        <w:rPr>
          <w:b/>
        </w:rPr>
        <w:t xml:space="preserve">15 контрактов </w:t>
      </w:r>
      <w:r w:rsidR="00303CCD" w:rsidRPr="00303CCD">
        <w:t>общим</w:t>
      </w:r>
      <w:r w:rsidR="00303CCD" w:rsidRPr="00D77677">
        <w:t xml:space="preserve"> объемом более </w:t>
      </w:r>
      <w:r w:rsidR="00303CCD" w:rsidRPr="00303CCD">
        <w:rPr>
          <w:b/>
        </w:rPr>
        <w:t>312 424,6 тыс. руб.</w:t>
      </w:r>
    </w:p>
    <w:p w:rsidR="00976739" w:rsidRPr="00976739" w:rsidRDefault="00066597" w:rsidP="00844387">
      <w:pPr>
        <w:jc w:val="both"/>
        <w:rPr>
          <w:b/>
        </w:rPr>
      </w:pPr>
      <w:r>
        <w:t xml:space="preserve">       </w:t>
      </w:r>
      <w:r w:rsidR="00976739" w:rsidRPr="00976739">
        <w:t xml:space="preserve">Крупнейшие контракты с единственным поставщиком (подрядчиком, исполнителем) </w:t>
      </w:r>
      <w:r w:rsidR="00497A19" w:rsidRPr="00497A19">
        <w:rPr>
          <w:i/>
        </w:rPr>
        <w:t>по дополнительным основаниям</w:t>
      </w:r>
      <w:r w:rsidR="00497A19">
        <w:t xml:space="preserve">  (</w:t>
      </w:r>
      <w:r w:rsidR="00497A19" w:rsidRPr="00497A19">
        <w:rPr>
          <w:i/>
        </w:rPr>
        <w:t>осуществления закупок в соответствии со ст. 15 Федерального</w:t>
      </w:r>
      <w:r w:rsidR="00894821">
        <w:rPr>
          <w:i/>
        </w:rPr>
        <w:t xml:space="preserve"> закона от 08.03.2022 № 46-ФЗ</w:t>
      </w:r>
      <w:proofErr w:type="gramStart"/>
      <w:r w:rsidR="00894821">
        <w:rPr>
          <w:i/>
        </w:rPr>
        <w:t xml:space="preserve"> ,</w:t>
      </w:r>
      <w:proofErr w:type="gramEnd"/>
      <w:r w:rsidR="00497A19" w:rsidRPr="00497A19">
        <w:rPr>
          <w:i/>
        </w:rPr>
        <w:t xml:space="preserve"> п. 2 ч. 1 ст. 93 Закона № 44-ФЗ)</w:t>
      </w:r>
      <w:r w:rsidR="00497A19">
        <w:rPr>
          <w:sz w:val="20"/>
          <w:szCs w:val="20"/>
        </w:rPr>
        <w:t xml:space="preserve"> </w:t>
      </w:r>
      <w:r w:rsidR="00497A19">
        <w:t xml:space="preserve"> </w:t>
      </w:r>
      <w:r w:rsidR="00976739" w:rsidRPr="00976739">
        <w:t xml:space="preserve">в отчетном периоде были заключены </w:t>
      </w:r>
      <w:r w:rsidR="00497A19">
        <w:t xml:space="preserve"> </w:t>
      </w:r>
      <w:r w:rsidR="00976739" w:rsidRPr="00976739">
        <w:t xml:space="preserve">в сфере </w:t>
      </w:r>
      <w:r w:rsidR="00497A19">
        <w:t xml:space="preserve"> с</w:t>
      </w:r>
      <w:r w:rsidR="00497A19" w:rsidRPr="00497A19">
        <w:rPr>
          <w:color w:val="000000"/>
        </w:rPr>
        <w:t>троительств</w:t>
      </w:r>
      <w:r w:rsidR="00497A19">
        <w:rPr>
          <w:color w:val="000000"/>
        </w:rPr>
        <w:t>а</w:t>
      </w:r>
      <w:r w:rsidR="00497A19" w:rsidRPr="00497A19">
        <w:rPr>
          <w:color w:val="000000"/>
        </w:rPr>
        <w:t>, реконструкци</w:t>
      </w:r>
      <w:r w:rsidR="00497A19">
        <w:rPr>
          <w:color w:val="000000"/>
        </w:rPr>
        <w:t>и</w:t>
      </w:r>
      <w:r w:rsidR="00497A19" w:rsidRPr="00497A19">
        <w:rPr>
          <w:color w:val="000000"/>
        </w:rPr>
        <w:t>, капитальн</w:t>
      </w:r>
      <w:r w:rsidR="00497A19">
        <w:rPr>
          <w:color w:val="000000"/>
        </w:rPr>
        <w:t>ого</w:t>
      </w:r>
      <w:r w:rsidR="00497A19" w:rsidRPr="00497A19">
        <w:rPr>
          <w:color w:val="000000"/>
        </w:rPr>
        <w:t xml:space="preserve"> ремонт</w:t>
      </w:r>
      <w:r w:rsidR="00497A19">
        <w:rPr>
          <w:color w:val="000000"/>
        </w:rPr>
        <w:t xml:space="preserve">а, сноса </w:t>
      </w:r>
      <w:r w:rsidR="00497A19" w:rsidRPr="00497A19">
        <w:rPr>
          <w:color w:val="000000"/>
        </w:rPr>
        <w:t>объекта капитального строительства, проведени</w:t>
      </w:r>
      <w:r w:rsidR="00497A19">
        <w:rPr>
          <w:color w:val="000000"/>
        </w:rPr>
        <w:t>я</w:t>
      </w:r>
      <w:r w:rsidR="00497A19" w:rsidRPr="00497A19">
        <w:rPr>
          <w:color w:val="000000"/>
        </w:rPr>
        <w:t xml:space="preserve"> работ по сохранению объектов культурного наследия  </w:t>
      </w:r>
      <w:r w:rsidR="00976739" w:rsidRPr="00976739">
        <w:t xml:space="preserve">общим стоимостным объемом </w:t>
      </w:r>
      <w:r w:rsidR="00844387">
        <w:t xml:space="preserve"> </w:t>
      </w:r>
      <w:r w:rsidR="00976739" w:rsidRPr="00976739">
        <w:t xml:space="preserve">более </w:t>
      </w:r>
      <w:r w:rsidR="00844387">
        <w:t xml:space="preserve"> </w:t>
      </w:r>
      <w:r w:rsidR="00844387" w:rsidRPr="00844387">
        <w:rPr>
          <w:b/>
        </w:rPr>
        <w:t>249 526,5 тыс. руб</w:t>
      </w:r>
      <w:r w:rsidR="00844387">
        <w:t>.</w:t>
      </w:r>
    </w:p>
    <w:p w:rsidR="0045378A" w:rsidRPr="00CE7C8F" w:rsidRDefault="0045378A" w:rsidP="0045378A">
      <w:pPr>
        <w:ind w:firstLine="426"/>
        <w:jc w:val="both"/>
      </w:pPr>
      <w:r w:rsidRPr="0045378A">
        <w:t>Общий объем контрактов</w:t>
      </w:r>
      <w:proofErr w:type="gramStart"/>
      <w:r>
        <w:t xml:space="preserve"> </w:t>
      </w:r>
      <w:r w:rsidRPr="0045378A">
        <w:t>,</w:t>
      </w:r>
      <w:proofErr w:type="gramEnd"/>
      <w:r w:rsidRPr="0045378A">
        <w:t xml:space="preserve"> заключенных в отчетном периоде с единственным поставщиком по результатам признания конкурентных закупок </w:t>
      </w:r>
      <w:r w:rsidRPr="0045378A">
        <w:rPr>
          <w:b/>
        </w:rPr>
        <w:t>несостоявшимися</w:t>
      </w:r>
      <w:r w:rsidRPr="0045378A">
        <w:t xml:space="preserve"> составил </w:t>
      </w:r>
      <w:r>
        <w:t xml:space="preserve"> </w:t>
      </w:r>
      <w:r w:rsidRPr="0045378A">
        <w:rPr>
          <w:b/>
        </w:rPr>
        <w:t>435 543,5 тыс. руб</w:t>
      </w:r>
      <w:r>
        <w:t xml:space="preserve">. </w:t>
      </w:r>
      <w:r w:rsidRPr="0045378A">
        <w:t>(</w:t>
      </w:r>
      <w:r>
        <w:t>55,0</w:t>
      </w:r>
      <w:r w:rsidRPr="0045378A">
        <w:t xml:space="preserve">% от общего объема закупок у единственного </w:t>
      </w:r>
      <w:r w:rsidRPr="0045378A">
        <w:lastRenderedPageBreak/>
        <w:t>поставщика (подрядчика, исполнителя</w:t>
      </w:r>
      <w:r>
        <w:rPr>
          <w:sz w:val="28"/>
          <w:szCs w:val="28"/>
        </w:rPr>
        <w:t xml:space="preserve">), </w:t>
      </w:r>
      <w:r w:rsidRPr="0045378A">
        <w:t>было заключено</w:t>
      </w:r>
      <w:r>
        <w:rPr>
          <w:sz w:val="28"/>
          <w:szCs w:val="28"/>
        </w:rPr>
        <w:t xml:space="preserve"> </w:t>
      </w:r>
      <w:r>
        <w:t xml:space="preserve">по итогам  несостоявшихся закупок – </w:t>
      </w:r>
      <w:r w:rsidRPr="0045378A">
        <w:rPr>
          <w:b/>
        </w:rPr>
        <w:t>101 контракт</w:t>
      </w:r>
      <w:r>
        <w:t>.</w:t>
      </w:r>
    </w:p>
    <w:p w:rsidR="00C21059" w:rsidRPr="00C21059" w:rsidRDefault="00C26F2F" w:rsidP="00C21059">
      <w:pPr>
        <w:ind w:firstLine="426"/>
        <w:jc w:val="both"/>
      </w:pPr>
      <w:r w:rsidRPr="00C26F2F">
        <w:t>В отчетном периоде 20</w:t>
      </w:r>
      <w:r w:rsidR="00303CCD">
        <w:t>22</w:t>
      </w:r>
      <w:r w:rsidRPr="00C26F2F">
        <w:t xml:space="preserve"> года</w:t>
      </w:r>
      <w:r>
        <w:t>, по отношению к аналогичному периоду 20</w:t>
      </w:r>
      <w:r w:rsidR="00303CCD">
        <w:t xml:space="preserve">21 </w:t>
      </w:r>
      <w:r>
        <w:t>года</w:t>
      </w:r>
      <w:r w:rsidR="001521BE">
        <w:t xml:space="preserve"> наблюдается </w:t>
      </w:r>
      <w:r w:rsidR="00303CCD">
        <w:t>увеличение</w:t>
      </w:r>
      <w:r w:rsidR="001521BE">
        <w:t xml:space="preserve"> на </w:t>
      </w:r>
      <w:r w:rsidR="00303CCD">
        <w:rPr>
          <w:b/>
        </w:rPr>
        <w:t xml:space="preserve">106,0% </w:t>
      </w:r>
      <w:r w:rsidR="001521BE">
        <w:t xml:space="preserve"> количества контрактов, заключенных с единственным поставщиком по результатам несостоявшихся конкурентных закупок на основании </w:t>
      </w:r>
      <w:r w:rsidR="001521BE" w:rsidRPr="001521BE">
        <w:rPr>
          <w:b/>
        </w:rPr>
        <w:t xml:space="preserve">пункта 25 </w:t>
      </w:r>
      <w:r w:rsidR="001521BE">
        <w:rPr>
          <w:b/>
        </w:rPr>
        <w:t xml:space="preserve"> </w:t>
      </w:r>
      <w:r w:rsidR="001521BE" w:rsidRPr="001521BE">
        <w:t>ч.</w:t>
      </w:r>
      <w:r w:rsidR="001521BE">
        <w:t>1 ст. 93 Закона №44-ФЗ,</w:t>
      </w:r>
      <w:proofErr w:type="gramStart"/>
      <w:r w:rsidR="001521BE">
        <w:t xml:space="preserve"> </w:t>
      </w:r>
      <w:r w:rsidR="00D106A8">
        <w:t>,</w:t>
      </w:r>
      <w:proofErr w:type="gramEnd"/>
      <w:r w:rsidR="00D106A8">
        <w:t xml:space="preserve"> при значительном </w:t>
      </w:r>
      <w:r w:rsidR="00303CCD">
        <w:t>росте</w:t>
      </w:r>
      <w:r w:rsidR="00D106A8">
        <w:t xml:space="preserve">  суммарного объема таких контрактов на  </w:t>
      </w:r>
      <w:r w:rsidR="00C21059" w:rsidRPr="00C21059">
        <w:rPr>
          <w:b/>
        </w:rPr>
        <w:t>306,7%</w:t>
      </w:r>
      <w:r w:rsidR="00C21059">
        <w:rPr>
          <w:b/>
        </w:rPr>
        <w:t xml:space="preserve"> </w:t>
      </w:r>
      <w:r w:rsidR="00C21059">
        <w:t xml:space="preserve">(почти в 4 раза). </w:t>
      </w:r>
    </w:p>
    <w:p w:rsidR="0098232E" w:rsidRDefault="0098232E" w:rsidP="00C21059">
      <w:pPr>
        <w:ind w:firstLine="426"/>
        <w:jc w:val="both"/>
      </w:pPr>
      <w:r w:rsidRPr="00CE7C8F">
        <w:t>Для сравнения в 20</w:t>
      </w:r>
      <w:r w:rsidR="00C21059">
        <w:t>21</w:t>
      </w:r>
      <w:r w:rsidRPr="00CE7C8F">
        <w:t xml:space="preserve"> году </w:t>
      </w:r>
      <w:r>
        <w:t xml:space="preserve">объем закупок с единственным поставщиком на основании пункта 25 ч.1 ст. 93 составлял  </w:t>
      </w:r>
      <w:r w:rsidR="00C21059">
        <w:t>107 094,7</w:t>
      </w:r>
      <w:r>
        <w:t xml:space="preserve"> тыс. руб.</w:t>
      </w:r>
      <w:proofErr w:type="gramStart"/>
      <w:r>
        <w:t xml:space="preserve"> ,</w:t>
      </w:r>
      <w:proofErr w:type="gramEnd"/>
      <w:r>
        <w:t xml:space="preserve"> было заключено по итогам  несостоявшихся закупок – </w:t>
      </w:r>
      <w:r w:rsidR="00C21059">
        <w:t xml:space="preserve">49 </w:t>
      </w:r>
      <w:r>
        <w:t>контракт</w:t>
      </w:r>
      <w:r w:rsidR="00C21059">
        <w:t>ов</w:t>
      </w:r>
      <w:r>
        <w:t>.</w:t>
      </w:r>
    </w:p>
    <w:p w:rsidR="00665D7B" w:rsidRPr="00665D7B" w:rsidRDefault="00665D7B" w:rsidP="00C21059">
      <w:pPr>
        <w:ind w:firstLine="426"/>
        <w:jc w:val="both"/>
        <w:rPr>
          <w:i/>
        </w:rPr>
      </w:pPr>
      <w:r w:rsidRPr="00665D7B">
        <w:rPr>
          <w:i/>
        </w:rPr>
        <w:t>Прирост может быть обусловлен сохраняющимся эффектом от резкого увеличения доли несостоявшимся по причине отсутствия участников закупок в марте 2022 года, вызванного волатильность цен на отдельные виды товаров либо дефицитом отдельных товаров на рынке в результате введения санкций.</w:t>
      </w:r>
    </w:p>
    <w:p w:rsidR="0064664C" w:rsidRDefault="0064664C" w:rsidP="00925988">
      <w:pPr>
        <w:spacing w:line="120" w:lineRule="auto"/>
        <w:jc w:val="both"/>
        <w:rPr>
          <w:rFonts w:ascii="Arial" w:hAnsi="Arial" w:cs="Arial"/>
          <w:b/>
          <w:sz w:val="22"/>
          <w:szCs w:val="22"/>
        </w:rPr>
      </w:pPr>
    </w:p>
    <w:p w:rsidR="00925988" w:rsidRPr="00E35D7B" w:rsidRDefault="00925988" w:rsidP="00E35D7B">
      <w:pPr>
        <w:jc w:val="center"/>
        <w:rPr>
          <w:i/>
        </w:rPr>
      </w:pPr>
      <w:r w:rsidRPr="00E35D7B">
        <w:rPr>
          <w:i/>
        </w:rPr>
        <w:t xml:space="preserve">Информация </w:t>
      </w:r>
      <w:r w:rsidR="00296E59" w:rsidRPr="00E35D7B">
        <w:rPr>
          <w:i/>
        </w:rPr>
        <w:t xml:space="preserve"> </w:t>
      </w:r>
      <w:r w:rsidR="00E35D7B" w:rsidRPr="00E35D7B">
        <w:rPr>
          <w:i/>
        </w:rPr>
        <w:t>об общем суммарном объеме и количестве контрактов</w:t>
      </w:r>
      <w:proofErr w:type="gramStart"/>
      <w:r w:rsidR="00E35D7B" w:rsidRPr="00E35D7B">
        <w:rPr>
          <w:i/>
        </w:rPr>
        <w:t xml:space="preserve"> </w:t>
      </w:r>
      <w:r w:rsidRPr="00E35D7B">
        <w:rPr>
          <w:i/>
        </w:rPr>
        <w:t>,</w:t>
      </w:r>
      <w:proofErr w:type="gramEnd"/>
      <w:r w:rsidRPr="00E35D7B">
        <w:rPr>
          <w:i/>
        </w:rPr>
        <w:t xml:space="preserve"> заключенных с единственным поставщиком по основаниям, предусмотренным пункт</w:t>
      </w:r>
      <w:r w:rsidR="00E35D7B" w:rsidRPr="00E35D7B">
        <w:rPr>
          <w:i/>
        </w:rPr>
        <w:t>ом</w:t>
      </w:r>
      <w:r w:rsidRPr="00E35D7B">
        <w:rPr>
          <w:i/>
        </w:rPr>
        <w:t xml:space="preserve"> 25 части 1 статьи 93 Закона № 44-ФЗ, </w:t>
      </w:r>
      <w:r w:rsidR="00E35D7B" w:rsidRPr="00E35D7B">
        <w:rPr>
          <w:i/>
        </w:rPr>
        <w:t>в разрезе способов определения поставщика</w:t>
      </w:r>
      <w:r w:rsidR="0096394D">
        <w:rPr>
          <w:i/>
        </w:rPr>
        <w:t xml:space="preserve"> по несостоявшимся конкурентным закупкам</w:t>
      </w:r>
      <w:r w:rsidRPr="00E35D7B">
        <w:rPr>
          <w:i/>
        </w:rPr>
        <w:t>, приведена в таблиц</w:t>
      </w:r>
      <w:r w:rsidR="00E35D7B" w:rsidRPr="00E35D7B">
        <w:rPr>
          <w:i/>
        </w:rPr>
        <w:t>е</w:t>
      </w:r>
      <w:r w:rsidRPr="00E35D7B">
        <w:rPr>
          <w:i/>
        </w:rPr>
        <w:t xml:space="preserve"> 8</w:t>
      </w:r>
    </w:p>
    <w:p w:rsidR="00E35D7B" w:rsidRPr="00315346" w:rsidRDefault="00E35D7B" w:rsidP="00E35D7B">
      <w:pPr>
        <w:ind w:firstLine="425"/>
        <w:jc w:val="right"/>
        <w:rPr>
          <w:b/>
          <w:sz w:val="20"/>
          <w:szCs w:val="20"/>
        </w:rPr>
      </w:pPr>
      <w:r>
        <w:rPr>
          <w:b/>
          <w:sz w:val="20"/>
          <w:szCs w:val="20"/>
        </w:rPr>
        <w:t>Таблица 8</w:t>
      </w:r>
    </w:p>
    <w:tbl>
      <w:tblPr>
        <w:tblW w:w="9356" w:type="dxa"/>
        <w:tblInd w:w="108" w:type="dxa"/>
        <w:tblLayout w:type="fixed"/>
        <w:tblLook w:val="0000" w:firstRow="0" w:lastRow="0" w:firstColumn="0" w:lastColumn="0" w:noHBand="0" w:noVBand="0"/>
      </w:tblPr>
      <w:tblGrid>
        <w:gridCol w:w="426"/>
        <w:gridCol w:w="3969"/>
        <w:gridCol w:w="1417"/>
        <w:gridCol w:w="1134"/>
        <w:gridCol w:w="1276"/>
        <w:gridCol w:w="1134"/>
      </w:tblGrid>
      <w:tr w:rsidR="00E35D7B" w:rsidRPr="004625D6" w:rsidTr="00C21059">
        <w:trPr>
          <w:trHeight w:val="697"/>
        </w:trPr>
        <w:tc>
          <w:tcPr>
            <w:tcW w:w="426" w:type="dxa"/>
            <w:tcBorders>
              <w:top w:val="single" w:sz="4" w:space="0" w:color="000000"/>
              <w:left w:val="single" w:sz="4" w:space="0" w:color="000000"/>
              <w:bottom w:val="single" w:sz="4" w:space="0" w:color="000000"/>
            </w:tcBorders>
            <w:shd w:val="clear" w:color="auto" w:fill="EEECE1" w:themeFill="background2"/>
            <w:vAlign w:val="center"/>
          </w:tcPr>
          <w:p w:rsidR="00E35D7B" w:rsidRPr="008E5AF7" w:rsidRDefault="00E35D7B" w:rsidP="00C94A84">
            <w:pPr>
              <w:spacing w:line="23" w:lineRule="atLeast"/>
              <w:jc w:val="center"/>
              <w:rPr>
                <w:b/>
                <w:sz w:val="20"/>
                <w:szCs w:val="20"/>
              </w:rPr>
            </w:pPr>
            <w:r w:rsidRPr="008E5AF7">
              <w:rPr>
                <w:b/>
                <w:sz w:val="20"/>
                <w:szCs w:val="20"/>
              </w:rPr>
              <w:t xml:space="preserve">№ </w:t>
            </w:r>
            <w:proofErr w:type="gramStart"/>
            <w:r w:rsidRPr="008E5AF7">
              <w:rPr>
                <w:b/>
                <w:sz w:val="20"/>
                <w:szCs w:val="20"/>
              </w:rPr>
              <w:t>п</w:t>
            </w:r>
            <w:proofErr w:type="gramEnd"/>
            <w:r w:rsidRPr="008E5AF7">
              <w:rPr>
                <w:b/>
                <w:sz w:val="20"/>
                <w:szCs w:val="20"/>
              </w:rPr>
              <w:t>/п</w:t>
            </w:r>
          </w:p>
        </w:tc>
        <w:tc>
          <w:tcPr>
            <w:tcW w:w="3969" w:type="dxa"/>
            <w:tcBorders>
              <w:top w:val="single" w:sz="4" w:space="0" w:color="000000"/>
              <w:left w:val="single" w:sz="4" w:space="0" w:color="000000"/>
              <w:bottom w:val="single" w:sz="4" w:space="0" w:color="000000"/>
            </w:tcBorders>
            <w:shd w:val="clear" w:color="auto" w:fill="EEECE1" w:themeFill="background2"/>
            <w:vAlign w:val="center"/>
          </w:tcPr>
          <w:p w:rsidR="00E35D7B" w:rsidRPr="008E5AF7" w:rsidRDefault="00E35D7B" w:rsidP="00C94A84">
            <w:pPr>
              <w:spacing w:line="23" w:lineRule="atLeast"/>
              <w:jc w:val="center"/>
              <w:rPr>
                <w:b/>
                <w:sz w:val="20"/>
                <w:szCs w:val="20"/>
              </w:rPr>
            </w:pPr>
            <w:r>
              <w:rPr>
                <w:b/>
                <w:sz w:val="20"/>
                <w:szCs w:val="20"/>
              </w:rPr>
              <w:t>Способ определения поставщика</w:t>
            </w:r>
          </w:p>
        </w:tc>
        <w:tc>
          <w:tcPr>
            <w:tcW w:w="1417" w:type="dxa"/>
            <w:tcBorders>
              <w:top w:val="single" w:sz="4" w:space="0" w:color="000000"/>
              <w:left w:val="single" w:sz="4" w:space="0" w:color="000000"/>
              <w:bottom w:val="single" w:sz="4" w:space="0" w:color="000000"/>
            </w:tcBorders>
            <w:shd w:val="clear" w:color="auto" w:fill="EEECE1" w:themeFill="background2"/>
            <w:vAlign w:val="center"/>
          </w:tcPr>
          <w:p w:rsidR="00E35D7B" w:rsidRPr="008E5AF7" w:rsidRDefault="00E35D7B" w:rsidP="00C94A84">
            <w:pPr>
              <w:jc w:val="center"/>
              <w:rPr>
                <w:b/>
                <w:sz w:val="20"/>
                <w:szCs w:val="20"/>
              </w:rPr>
            </w:pPr>
            <w:r w:rsidRPr="008E5AF7">
              <w:rPr>
                <w:b/>
                <w:sz w:val="20"/>
                <w:szCs w:val="20"/>
              </w:rPr>
              <w:t>Цена контракта</w:t>
            </w:r>
          </w:p>
          <w:p w:rsidR="00E35D7B" w:rsidRPr="008E5AF7" w:rsidRDefault="00E35D7B" w:rsidP="00C94A84">
            <w:pPr>
              <w:spacing w:line="23" w:lineRule="atLeast"/>
              <w:jc w:val="center"/>
              <w:rPr>
                <w:b/>
                <w:sz w:val="20"/>
                <w:szCs w:val="20"/>
              </w:rPr>
            </w:pPr>
            <w:r w:rsidRPr="008E5AF7">
              <w:rPr>
                <w:b/>
                <w:sz w:val="20"/>
                <w:szCs w:val="20"/>
              </w:rPr>
              <w:t>(тыс. руб</w:t>
            </w:r>
            <w:r>
              <w:rPr>
                <w:b/>
                <w:sz w:val="20"/>
                <w:szCs w:val="20"/>
              </w:rPr>
              <w:t>.)</w:t>
            </w:r>
          </w:p>
        </w:tc>
        <w:tc>
          <w:tcPr>
            <w:tcW w:w="1134" w:type="dxa"/>
            <w:tcBorders>
              <w:top w:val="single" w:sz="4" w:space="0" w:color="000000"/>
              <w:left w:val="single" w:sz="4" w:space="0" w:color="000000"/>
              <w:bottom w:val="single" w:sz="4" w:space="0" w:color="000000"/>
              <w:right w:val="single" w:sz="4" w:space="0" w:color="auto"/>
            </w:tcBorders>
            <w:shd w:val="clear" w:color="auto" w:fill="EEECE1" w:themeFill="background2"/>
            <w:vAlign w:val="center"/>
          </w:tcPr>
          <w:p w:rsidR="00E35D7B" w:rsidRPr="00207B08" w:rsidRDefault="00E35D7B" w:rsidP="00C94A84">
            <w:pPr>
              <w:spacing w:line="23" w:lineRule="atLeast"/>
              <w:jc w:val="center"/>
              <w:rPr>
                <w:b/>
                <w:sz w:val="16"/>
                <w:szCs w:val="16"/>
              </w:rPr>
            </w:pPr>
            <w:r w:rsidRPr="00207B08">
              <w:rPr>
                <w:b/>
                <w:sz w:val="16"/>
                <w:szCs w:val="16"/>
              </w:rPr>
              <w:t>Доля в общей стоимости контрактов</w:t>
            </w:r>
            <w:r>
              <w:rPr>
                <w:b/>
                <w:sz w:val="16"/>
                <w:szCs w:val="16"/>
              </w:rPr>
              <w:t xml:space="preserve"> по п.25</w:t>
            </w:r>
            <w:r w:rsidRPr="00207B08">
              <w:rPr>
                <w:b/>
                <w:sz w:val="16"/>
                <w:szCs w:val="16"/>
              </w:rPr>
              <w:t xml:space="preserve">               %</w:t>
            </w:r>
          </w:p>
        </w:tc>
        <w:tc>
          <w:tcPr>
            <w:tcW w:w="1276" w:type="dxa"/>
            <w:tcBorders>
              <w:top w:val="single" w:sz="4" w:space="0" w:color="000000"/>
              <w:left w:val="single" w:sz="4" w:space="0" w:color="auto"/>
              <w:bottom w:val="single" w:sz="4" w:space="0" w:color="000000"/>
              <w:right w:val="single" w:sz="4" w:space="0" w:color="auto"/>
            </w:tcBorders>
            <w:shd w:val="clear" w:color="auto" w:fill="EEECE1" w:themeFill="background2"/>
            <w:vAlign w:val="center"/>
          </w:tcPr>
          <w:p w:rsidR="00E35D7B" w:rsidRPr="00207B08" w:rsidRDefault="00E35D7B" w:rsidP="00C94A84">
            <w:pPr>
              <w:jc w:val="center"/>
              <w:rPr>
                <w:b/>
                <w:sz w:val="18"/>
                <w:szCs w:val="18"/>
              </w:rPr>
            </w:pPr>
            <w:r w:rsidRPr="00207B08">
              <w:rPr>
                <w:b/>
                <w:sz w:val="18"/>
                <w:szCs w:val="18"/>
              </w:rPr>
              <w:t>Количество контрактов</w:t>
            </w:r>
          </w:p>
          <w:p w:rsidR="00E35D7B" w:rsidRPr="008E5AF7" w:rsidRDefault="00E35D7B" w:rsidP="00C94A84">
            <w:pPr>
              <w:spacing w:line="23" w:lineRule="atLeast"/>
              <w:jc w:val="center"/>
              <w:rPr>
                <w:sz w:val="20"/>
                <w:szCs w:val="20"/>
              </w:rPr>
            </w:pPr>
            <w:r w:rsidRPr="00207B08">
              <w:rPr>
                <w:b/>
                <w:sz w:val="18"/>
                <w:szCs w:val="18"/>
              </w:rPr>
              <w:t>(шт.)</w:t>
            </w:r>
          </w:p>
        </w:tc>
        <w:tc>
          <w:tcPr>
            <w:tcW w:w="1134" w:type="dxa"/>
            <w:tcBorders>
              <w:top w:val="single" w:sz="4" w:space="0" w:color="000000"/>
              <w:left w:val="single" w:sz="4" w:space="0" w:color="auto"/>
              <w:bottom w:val="single" w:sz="4" w:space="0" w:color="000000"/>
              <w:right w:val="single" w:sz="4" w:space="0" w:color="000000"/>
            </w:tcBorders>
            <w:shd w:val="clear" w:color="auto" w:fill="EEECE1" w:themeFill="background2"/>
            <w:vAlign w:val="center"/>
          </w:tcPr>
          <w:p w:rsidR="00E35D7B" w:rsidRPr="00207B08" w:rsidRDefault="00E35D7B" w:rsidP="00C94A84">
            <w:pPr>
              <w:spacing w:line="23" w:lineRule="atLeast"/>
              <w:jc w:val="center"/>
              <w:rPr>
                <w:sz w:val="16"/>
                <w:szCs w:val="16"/>
              </w:rPr>
            </w:pPr>
            <w:r w:rsidRPr="00207B08">
              <w:rPr>
                <w:b/>
                <w:sz w:val="16"/>
                <w:szCs w:val="16"/>
              </w:rPr>
              <w:t>Доля в обще</w:t>
            </w:r>
            <w:r>
              <w:rPr>
                <w:b/>
                <w:sz w:val="16"/>
                <w:szCs w:val="16"/>
              </w:rPr>
              <w:t>м количестве по п. 25,            шт.</w:t>
            </w:r>
          </w:p>
        </w:tc>
      </w:tr>
      <w:tr w:rsidR="00E35D7B" w:rsidRPr="004625D6" w:rsidTr="00C94A84">
        <w:trPr>
          <w:trHeight w:val="443"/>
        </w:trPr>
        <w:tc>
          <w:tcPr>
            <w:tcW w:w="426" w:type="dxa"/>
            <w:tcBorders>
              <w:top w:val="single" w:sz="4" w:space="0" w:color="auto"/>
              <w:left w:val="single" w:sz="4" w:space="0" w:color="000000"/>
              <w:bottom w:val="single" w:sz="4" w:space="0" w:color="auto"/>
            </w:tcBorders>
            <w:vAlign w:val="center"/>
          </w:tcPr>
          <w:p w:rsidR="00E35D7B" w:rsidRDefault="00E35D7B" w:rsidP="00C94A84">
            <w:pPr>
              <w:spacing w:line="23" w:lineRule="atLeast"/>
              <w:jc w:val="center"/>
              <w:rPr>
                <w:sz w:val="18"/>
                <w:szCs w:val="20"/>
              </w:rPr>
            </w:pPr>
            <w:r>
              <w:rPr>
                <w:sz w:val="18"/>
                <w:szCs w:val="20"/>
              </w:rPr>
              <w:t>1.</w:t>
            </w:r>
          </w:p>
        </w:tc>
        <w:tc>
          <w:tcPr>
            <w:tcW w:w="3969" w:type="dxa"/>
            <w:tcBorders>
              <w:top w:val="single" w:sz="4" w:space="0" w:color="auto"/>
              <w:left w:val="single" w:sz="4" w:space="0" w:color="000000"/>
              <w:bottom w:val="single" w:sz="4" w:space="0" w:color="auto"/>
            </w:tcBorders>
            <w:vAlign w:val="center"/>
          </w:tcPr>
          <w:p w:rsidR="00E35D7B" w:rsidRDefault="00E35D7B" w:rsidP="00E35D7B">
            <w:pPr>
              <w:rPr>
                <w:sz w:val="20"/>
                <w:szCs w:val="20"/>
              </w:rPr>
            </w:pPr>
            <w:r w:rsidRPr="00E35D7B">
              <w:rPr>
                <w:rFonts w:ascii="Roboto" w:hAnsi="Roboto" w:cs="Calibri"/>
                <w:b/>
                <w:bCs/>
                <w:color w:val="334059"/>
                <w:sz w:val="18"/>
                <w:szCs w:val="18"/>
              </w:rPr>
              <w:t xml:space="preserve">Закупка у единственного поставщика, при признании  </w:t>
            </w:r>
            <w:r w:rsidRPr="00E35D7B">
              <w:rPr>
                <w:rFonts w:ascii="Roboto" w:hAnsi="Roboto" w:cs="Calibri"/>
                <w:b/>
                <w:bCs/>
                <w:sz w:val="18"/>
                <w:szCs w:val="18"/>
              </w:rPr>
              <w:t>Электронного аукциона</w:t>
            </w:r>
            <w:r w:rsidRPr="00E35D7B">
              <w:rPr>
                <w:rFonts w:ascii="Roboto" w:hAnsi="Roboto" w:cs="Calibri"/>
                <w:b/>
                <w:bCs/>
                <w:color w:val="334059"/>
                <w:sz w:val="18"/>
                <w:szCs w:val="18"/>
              </w:rPr>
              <w:t xml:space="preserve"> несостоявшимся (п.25  ч.1 статья 93</w:t>
            </w:r>
            <w:r w:rsidRPr="005E67BF">
              <w:rPr>
                <w:sz w:val="20"/>
                <w:szCs w:val="20"/>
              </w:rPr>
              <w:t>)</w:t>
            </w:r>
          </w:p>
        </w:tc>
        <w:tc>
          <w:tcPr>
            <w:tcW w:w="1417" w:type="dxa"/>
            <w:tcBorders>
              <w:top w:val="single" w:sz="4" w:space="0" w:color="auto"/>
              <w:left w:val="single" w:sz="4" w:space="0" w:color="000000"/>
              <w:bottom w:val="single" w:sz="4" w:space="0" w:color="auto"/>
            </w:tcBorders>
            <w:vAlign w:val="center"/>
          </w:tcPr>
          <w:p w:rsidR="00E35D7B" w:rsidRPr="00302D14" w:rsidRDefault="00C21059" w:rsidP="00C21059">
            <w:pPr>
              <w:jc w:val="center"/>
              <w:rPr>
                <w:sz w:val="18"/>
                <w:szCs w:val="18"/>
              </w:rPr>
            </w:pPr>
            <w:r>
              <w:rPr>
                <w:sz w:val="18"/>
                <w:szCs w:val="18"/>
              </w:rPr>
              <w:t>326 642,8</w:t>
            </w:r>
          </w:p>
        </w:tc>
        <w:tc>
          <w:tcPr>
            <w:tcW w:w="1134" w:type="dxa"/>
            <w:tcBorders>
              <w:top w:val="single" w:sz="4" w:space="0" w:color="auto"/>
              <w:left w:val="single" w:sz="4" w:space="0" w:color="000000"/>
              <w:bottom w:val="single" w:sz="4" w:space="0" w:color="auto"/>
              <w:right w:val="single" w:sz="4" w:space="0" w:color="auto"/>
            </w:tcBorders>
            <w:vAlign w:val="center"/>
          </w:tcPr>
          <w:p w:rsidR="00E35D7B" w:rsidRPr="00302D14" w:rsidRDefault="00C21059" w:rsidP="000132A2">
            <w:pPr>
              <w:snapToGrid w:val="0"/>
              <w:jc w:val="center"/>
              <w:rPr>
                <w:color w:val="000000"/>
                <w:sz w:val="18"/>
                <w:szCs w:val="18"/>
              </w:rPr>
            </w:pPr>
            <w:r>
              <w:rPr>
                <w:color w:val="000000"/>
                <w:sz w:val="18"/>
                <w:szCs w:val="18"/>
              </w:rPr>
              <w:t>75,0%</w:t>
            </w:r>
          </w:p>
        </w:tc>
        <w:tc>
          <w:tcPr>
            <w:tcW w:w="1276" w:type="dxa"/>
            <w:tcBorders>
              <w:top w:val="single" w:sz="4" w:space="0" w:color="auto"/>
              <w:left w:val="single" w:sz="4" w:space="0" w:color="auto"/>
              <w:bottom w:val="single" w:sz="4" w:space="0" w:color="auto"/>
              <w:right w:val="single" w:sz="4" w:space="0" w:color="auto"/>
            </w:tcBorders>
            <w:vAlign w:val="center"/>
          </w:tcPr>
          <w:p w:rsidR="00E35D7B" w:rsidRPr="00302D14" w:rsidRDefault="00C21059" w:rsidP="000132A2">
            <w:pPr>
              <w:snapToGrid w:val="0"/>
              <w:jc w:val="center"/>
              <w:rPr>
                <w:color w:val="000000"/>
                <w:sz w:val="18"/>
                <w:szCs w:val="18"/>
              </w:rPr>
            </w:pPr>
            <w:r>
              <w:rPr>
                <w:color w:val="000000"/>
                <w:sz w:val="18"/>
                <w:szCs w:val="18"/>
              </w:rPr>
              <w:t>95</w:t>
            </w:r>
          </w:p>
        </w:tc>
        <w:tc>
          <w:tcPr>
            <w:tcW w:w="1134" w:type="dxa"/>
            <w:tcBorders>
              <w:top w:val="single" w:sz="4" w:space="0" w:color="auto"/>
              <w:left w:val="single" w:sz="4" w:space="0" w:color="auto"/>
              <w:bottom w:val="single" w:sz="4" w:space="0" w:color="auto"/>
              <w:right w:val="single" w:sz="4" w:space="0" w:color="000000"/>
            </w:tcBorders>
            <w:vAlign w:val="center"/>
          </w:tcPr>
          <w:p w:rsidR="00E35D7B" w:rsidRPr="00302D14" w:rsidRDefault="00C21059" w:rsidP="000132A2">
            <w:pPr>
              <w:snapToGrid w:val="0"/>
              <w:jc w:val="center"/>
              <w:rPr>
                <w:color w:val="000000"/>
                <w:sz w:val="18"/>
                <w:szCs w:val="18"/>
              </w:rPr>
            </w:pPr>
            <w:r>
              <w:rPr>
                <w:color w:val="000000"/>
                <w:sz w:val="18"/>
                <w:szCs w:val="18"/>
              </w:rPr>
              <w:t>94,1%</w:t>
            </w:r>
          </w:p>
        </w:tc>
      </w:tr>
      <w:tr w:rsidR="00E35D7B" w:rsidRPr="004625D6" w:rsidTr="00E35D7B">
        <w:trPr>
          <w:trHeight w:val="760"/>
        </w:trPr>
        <w:tc>
          <w:tcPr>
            <w:tcW w:w="426" w:type="dxa"/>
            <w:tcBorders>
              <w:top w:val="single" w:sz="4" w:space="0" w:color="auto"/>
              <w:left w:val="single" w:sz="4" w:space="0" w:color="000000"/>
              <w:bottom w:val="single" w:sz="4" w:space="0" w:color="auto"/>
            </w:tcBorders>
            <w:vAlign w:val="center"/>
          </w:tcPr>
          <w:p w:rsidR="00E35D7B" w:rsidRDefault="00E35D7B" w:rsidP="00C94A84">
            <w:pPr>
              <w:spacing w:line="23" w:lineRule="atLeast"/>
              <w:jc w:val="center"/>
              <w:rPr>
                <w:sz w:val="18"/>
                <w:szCs w:val="20"/>
              </w:rPr>
            </w:pPr>
            <w:r>
              <w:rPr>
                <w:sz w:val="18"/>
                <w:szCs w:val="20"/>
              </w:rPr>
              <w:t>2.</w:t>
            </w:r>
          </w:p>
        </w:tc>
        <w:tc>
          <w:tcPr>
            <w:tcW w:w="3969" w:type="dxa"/>
            <w:tcBorders>
              <w:top w:val="single" w:sz="4" w:space="0" w:color="auto"/>
              <w:left w:val="single" w:sz="4" w:space="0" w:color="000000"/>
              <w:bottom w:val="single" w:sz="4" w:space="0" w:color="auto"/>
            </w:tcBorders>
            <w:vAlign w:val="center"/>
          </w:tcPr>
          <w:p w:rsidR="00E35D7B" w:rsidRDefault="00E35D7B" w:rsidP="00C21059">
            <w:pPr>
              <w:rPr>
                <w:sz w:val="20"/>
                <w:szCs w:val="20"/>
              </w:rPr>
            </w:pPr>
            <w:r w:rsidRPr="00E35D7B">
              <w:rPr>
                <w:rFonts w:ascii="Roboto" w:hAnsi="Roboto" w:cs="Calibri"/>
                <w:b/>
                <w:bCs/>
                <w:color w:val="334059"/>
                <w:sz w:val="18"/>
                <w:szCs w:val="18"/>
              </w:rPr>
              <w:t xml:space="preserve">Закупка у единственного поставщика, при признании </w:t>
            </w:r>
            <w:r>
              <w:rPr>
                <w:rFonts w:ascii="Roboto" w:hAnsi="Roboto" w:cs="Calibri"/>
                <w:b/>
                <w:bCs/>
                <w:color w:val="334059"/>
                <w:sz w:val="18"/>
                <w:szCs w:val="18"/>
              </w:rPr>
              <w:t xml:space="preserve"> </w:t>
            </w:r>
            <w:r w:rsidR="00C21059">
              <w:rPr>
                <w:rFonts w:ascii="Roboto" w:hAnsi="Roboto" w:cs="Calibri"/>
                <w:b/>
                <w:bCs/>
                <w:color w:val="334059"/>
                <w:sz w:val="18"/>
                <w:szCs w:val="18"/>
              </w:rPr>
              <w:t>Электронного з</w:t>
            </w:r>
            <w:r w:rsidRPr="00E35D7B">
              <w:rPr>
                <w:rFonts w:ascii="Roboto" w:hAnsi="Roboto" w:cs="Calibri"/>
                <w:b/>
                <w:bCs/>
                <w:sz w:val="18"/>
                <w:szCs w:val="18"/>
              </w:rPr>
              <w:t>апроса котировок</w:t>
            </w:r>
            <w:r w:rsidRPr="00E35D7B">
              <w:rPr>
                <w:rFonts w:ascii="Roboto" w:hAnsi="Roboto" w:cs="Calibri"/>
                <w:b/>
                <w:bCs/>
                <w:color w:val="334059"/>
                <w:sz w:val="18"/>
                <w:szCs w:val="18"/>
              </w:rPr>
              <w:t xml:space="preserve"> несостоявшимся (п.25  ч.1 статья 93)</w:t>
            </w:r>
          </w:p>
        </w:tc>
        <w:tc>
          <w:tcPr>
            <w:tcW w:w="1417" w:type="dxa"/>
            <w:tcBorders>
              <w:top w:val="single" w:sz="4" w:space="0" w:color="auto"/>
              <w:left w:val="single" w:sz="4" w:space="0" w:color="000000"/>
              <w:bottom w:val="single" w:sz="4" w:space="0" w:color="auto"/>
            </w:tcBorders>
            <w:vAlign w:val="center"/>
          </w:tcPr>
          <w:p w:rsidR="00E35D7B" w:rsidRPr="00302D14" w:rsidRDefault="00C21059" w:rsidP="00C94A84">
            <w:pPr>
              <w:jc w:val="center"/>
              <w:rPr>
                <w:sz w:val="18"/>
                <w:szCs w:val="18"/>
              </w:rPr>
            </w:pPr>
            <w:r>
              <w:rPr>
                <w:sz w:val="18"/>
                <w:szCs w:val="18"/>
              </w:rPr>
              <w:t>-</w:t>
            </w:r>
          </w:p>
        </w:tc>
        <w:tc>
          <w:tcPr>
            <w:tcW w:w="1134" w:type="dxa"/>
            <w:tcBorders>
              <w:top w:val="single" w:sz="4" w:space="0" w:color="auto"/>
              <w:left w:val="single" w:sz="4" w:space="0" w:color="000000"/>
              <w:bottom w:val="single" w:sz="4" w:space="0" w:color="auto"/>
              <w:right w:val="single" w:sz="4" w:space="0" w:color="auto"/>
            </w:tcBorders>
            <w:vAlign w:val="center"/>
          </w:tcPr>
          <w:p w:rsidR="00E35D7B" w:rsidRPr="00302D14" w:rsidRDefault="00C21059" w:rsidP="000132A2">
            <w:pPr>
              <w:snapToGrid w:val="0"/>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E35D7B" w:rsidRPr="00302D14" w:rsidRDefault="00C21059" w:rsidP="00C94A84">
            <w:pPr>
              <w:snapToGrid w:val="0"/>
              <w:jc w:val="center"/>
              <w:rPr>
                <w:color w:val="000000"/>
                <w:sz w:val="18"/>
                <w:szCs w:val="18"/>
              </w:rPr>
            </w:pPr>
            <w:r>
              <w:rPr>
                <w:color w:val="000000"/>
                <w:sz w:val="18"/>
                <w:szCs w:val="18"/>
              </w:rPr>
              <w:t>-</w:t>
            </w:r>
          </w:p>
        </w:tc>
        <w:tc>
          <w:tcPr>
            <w:tcW w:w="1134" w:type="dxa"/>
            <w:tcBorders>
              <w:top w:val="single" w:sz="4" w:space="0" w:color="auto"/>
              <w:left w:val="single" w:sz="4" w:space="0" w:color="auto"/>
              <w:bottom w:val="single" w:sz="4" w:space="0" w:color="auto"/>
              <w:right w:val="single" w:sz="4" w:space="0" w:color="000000"/>
            </w:tcBorders>
            <w:vAlign w:val="center"/>
          </w:tcPr>
          <w:p w:rsidR="00E35D7B" w:rsidRPr="00302D14" w:rsidRDefault="00C21059" w:rsidP="000132A2">
            <w:pPr>
              <w:snapToGrid w:val="0"/>
              <w:jc w:val="center"/>
              <w:rPr>
                <w:color w:val="000000"/>
                <w:sz w:val="18"/>
                <w:szCs w:val="18"/>
              </w:rPr>
            </w:pPr>
            <w:r>
              <w:rPr>
                <w:color w:val="000000"/>
                <w:sz w:val="18"/>
                <w:szCs w:val="18"/>
              </w:rPr>
              <w:t>-</w:t>
            </w:r>
          </w:p>
        </w:tc>
      </w:tr>
      <w:tr w:rsidR="00E35D7B" w:rsidRPr="004625D6" w:rsidTr="00C94A84">
        <w:trPr>
          <w:trHeight w:val="231"/>
        </w:trPr>
        <w:tc>
          <w:tcPr>
            <w:tcW w:w="426" w:type="dxa"/>
            <w:tcBorders>
              <w:top w:val="single" w:sz="4" w:space="0" w:color="auto"/>
              <w:left w:val="single" w:sz="4" w:space="0" w:color="000000"/>
              <w:bottom w:val="single" w:sz="4" w:space="0" w:color="auto"/>
            </w:tcBorders>
            <w:vAlign w:val="center"/>
          </w:tcPr>
          <w:p w:rsidR="00E35D7B" w:rsidRDefault="00C21059" w:rsidP="00C94A84">
            <w:pPr>
              <w:spacing w:line="23" w:lineRule="atLeast"/>
              <w:jc w:val="center"/>
              <w:rPr>
                <w:sz w:val="18"/>
                <w:szCs w:val="20"/>
              </w:rPr>
            </w:pPr>
            <w:r>
              <w:rPr>
                <w:sz w:val="18"/>
                <w:szCs w:val="20"/>
              </w:rPr>
              <w:t>3</w:t>
            </w:r>
            <w:r w:rsidR="00E35D7B">
              <w:rPr>
                <w:sz w:val="18"/>
                <w:szCs w:val="20"/>
              </w:rPr>
              <w:t>.</w:t>
            </w:r>
          </w:p>
        </w:tc>
        <w:tc>
          <w:tcPr>
            <w:tcW w:w="3969" w:type="dxa"/>
            <w:tcBorders>
              <w:top w:val="single" w:sz="4" w:space="0" w:color="auto"/>
              <w:left w:val="single" w:sz="4" w:space="0" w:color="000000"/>
              <w:bottom w:val="single" w:sz="4" w:space="0" w:color="auto"/>
            </w:tcBorders>
            <w:vAlign w:val="center"/>
          </w:tcPr>
          <w:p w:rsidR="00E35D7B" w:rsidRPr="005E67BF" w:rsidRDefault="00E35D7B" w:rsidP="00C21059">
            <w:pPr>
              <w:rPr>
                <w:sz w:val="20"/>
                <w:szCs w:val="20"/>
              </w:rPr>
            </w:pPr>
            <w:r w:rsidRPr="00E35D7B">
              <w:rPr>
                <w:rFonts w:ascii="Roboto" w:hAnsi="Roboto" w:cs="Calibri"/>
                <w:b/>
                <w:bCs/>
                <w:color w:val="334059"/>
                <w:sz w:val="18"/>
                <w:szCs w:val="18"/>
              </w:rPr>
              <w:t xml:space="preserve">Закупка у единственного поставщика, при признании </w:t>
            </w:r>
            <w:r w:rsidR="000132A2">
              <w:rPr>
                <w:rFonts w:ascii="Roboto" w:hAnsi="Roboto" w:cs="Calibri"/>
                <w:b/>
                <w:bCs/>
                <w:color w:val="334059"/>
                <w:sz w:val="18"/>
                <w:szCs w:val="18"/>
              </w:rPr>
              <w:t xml:space="preserve"> </w:t>
            </w:r>
            <w:r w:rsidR="00C21059">
              <w:rPr>
                <w:rFonts w:ascii="Roboto" w:hAnsi="Roboto" w:cs="Calibri"/>
                <w:b/>
                <w:bCs/>
                <w:color w:val="334059"/>
                <w:sz w:val="18"/>
                <w:szCs w:val="18"/>
              </w:rPr>
              <w:t>Электронного к</w:t>
            </w:r>
            <w:r w:rsidRPr="000132A2">
              <w:rPr>
                <w:rFonts w:ascii="Roboto" w:hAnsi="Roboto" w:cs="Calibri"/>
                <w:b/>
                <w:bCs/>
                <w:sz w:val="18"/>
                <w:szCs w:val="18"/>
              </w:rPr>
              <w:t>он</w:t>
            </w:r>
            <w:r w:rsidRPr="00E35D7B">
              <w:rPr>
                <w:rFonts w:ascii="Roboto" w:hAnsi="Roboto" w:cs="Calibri"/>
                <w:b/>
                <w:bCs/>
                <w:sz w:val="18"/>
                <w:szCs w:val="18"/>
              </w:rPr>
              <w:t>курса</w:t>
            </w:r>
            <w:r w:rsidRPr="00E35D7B">
              <w:rPr>
                <w:rFonts w:ascii="Roboto" w:hAnsi="Roboto" w:cs="Calibri"/>
                <w:b/>
                <w:bCs/>
                <w:color w:val="334059"/>
                <w:sz w:val="18"/>
                <w:szCs w:val="18"/>
              </w:rPr>
              <w:t xml:space="preserve"> несостоявшимся (п.25  ч.1 статья 93)</w:t>
            </w:r>
          </w:p>
        </w:tc>
        <w:tc>
          <w:tcPr>
            <w:tcW w:w="1417" w:type="dxa"/>
            <w:tcBorders>
              <w:top w:val="single" w:sz="4" w:space="0" w:color="auto"/>
              <w:left w:val="single" w:sz="4" w:space="0" w:color="000000"/>
              <w:bottom w:val="single" w:sz="4" w:space="0" w:color="auto"/>
            </w:tcBorders>
            <w:vAlign w:val="center"/>
          </w:tcPr>
          <w:p w:rsidR="00E35D7B" w:rsidRDefault="00C21059" w:rsidP="00C21059">
            <w:pPr>
              <w:jc w:val="center"/>
              <w:rPr>
                <w:sz w:val="18"/>
                <w:szCs w:val="18"/>
              </w:rPr>
            </w:pPr>
            <w:r>
              <w:rPr>
                <w:sz w:val="18"/>
                <w:szCs w:val="18"/>
              </w:rPr>
              <w:t>108 900,7</w:t>
            </w:r>
          </w:p>
        </w:tc>
        <w:tc>
          <w:tcPr>
            <w:tcW w:w="1134" w:type="dxa"/>
            <w:tcBorders>
              <w:top w:val="single" w:sz="4" w:space="0" w:color="auto"/>
              <w:left w:val="single" w:sz="4" w:space="0" w:color="000000"/>
              <w:bottom w:val="single" w:sz="4" w:space="0" w:color="auto"/>
              <w:right w:val="single" w:sz="4" w:space="0" w:color="auto"/>
            </w:tcBorders>
            <w:vAlign w:val="center"/>
          </w:tcPr>
          <w:p w:rsidR="00E35D7B" w:rsidRDefault="00C21059" w:rsidP="000132A2">
            <w:pPr>
              <w:snapToGrid w:val="0"/>
              <w:jc w:val="center"/>
              <w:rPr>
                <w:color w:val="000000"/>
                <w:sz w:val="18"/>
                <w:szCs w:val="18"/>
              </w:rPr>
            </w:pPr>
            <w:r>
              <w:rPr>
                <w:color w:val="000000"/>
                <w:sz w:val="18"/>
                <w:szCs w:val="18"/>
              </w:rPr>
              <w:t>25,0%</w:t>
            </w:r>
          </w:p>
        </w:tc>
        <w:tc>
          <w:tcPr>
            <w:tcW w:w="1276" w:type="dxa"/>
            <w:tcBorders>
              <w:top w:val="single" w:sz="4" w:space="0" w:color="auto"/>
              <w:left w:val="single" w:sz="4" w:space="0" w:color="auto"/>
              <w:bottom w:val="single" w:sz="4" w:space="0" w:color="auto"/>
              <w:right w:val="single" w:sz="4" w:space="0" w:color="auto"/>
            </w:tcBorders>
            <w:vAlign w:val="center"/>
          </w:tcPr>
          <w:p w:rsidR="00E35D7B" w:rsidRDefault="00C21059" w:rsidP="00C94A84">
            <w:pPr>
              <w:snapToGrid w:val="0"/>
              <w:jc w:val="center"/>
              <w:rPr>
                <w:color w:val="000000"/>
                <w:sz w:val="18"/>
                <w:szCs w:val="18"/>
              </w:rPr>
            </w:pPr>
            <w:r>
              <w:rPr>
                <w:color w:val="000000"/>
                <w:sz w:val="18"/>
                <w:szCs w:val="18"/>
              </w:rPr>
              <w:t>6</w:t>
            </w:r>
          </w:p>
        </w:tc>
        <w:tc>
          <w:tcPr>
            <w:tcW w:w="1134" w:type="dxa"/>
            <w:tcBorders>
              <w:top w:val="single" w:sz="4" w:space="0" w:color="auto"/>
              <w:left w:val="single" w:sz="4" w:space="0" w:color="auto"/>
              <w:bottom w:val="single" w:sz="4" w:space="0" w:color="auto"/>
              <w:right w:val="single" w:sz="4" w:space="0" w:color="000000"/>
            </w:tcBorders>
            <w:vAlign w:val="center"/>
          </w:tcPr>
          <w:p w:rsidR="00E35D7B" w:rsidRDefault="00C21059" w:rsidP="000132A2">
            <w:pPr>
              <w:snapToGrid w:val="0"/>
              <w:jc w:val="center"/>
              <w:rPr>
                <w:color w:val="000000"/>
                <w:sz w:val="18"/>
                <w:szCs w:val="18"/>
              </w:rPr>
            </w:pPr>
            <w:r>
              <w:rPr>
                <w:color w:val="000000"/>
                <w:sz w:val="18"/>
                <w:szCs w:val="18"/>
              </w:rPr>
              <w:t>5,9%</w:t>
            </w:r>
          </w:p>
        </w:tc>
      </w:tr>
      <w:tr w:rsidR="004C54C5" w:rsidRPr="004625D6" w:rsidTr="00C21059">
        <w:trPr>
          <w:trHeight w:val="543"/>
        </w:trPr>
        <w:tc>
          <w:tcPr>
            <w:tcW w:w="426" w:type="dxa"/>
            <w:tcBorders>
              <w:top w:val="single" w:sz="4" w:space="0" w:color="auto"/>
              <w:left w:val="single" w:sz="4" w:space="0" w:color="000000"/>
              <w:bottom w:val="single" w:sz="4" w:space="0" w:color="auto"/>
            </w:tcBorders>
            <w:shd w:val="clear" w:color="auto" w:fill="EEECE1" w:themeFill="background2"/>
            <w:vAlign w:val="center"/>
          </w:tcPr>
          <w:p w:rsidR="00E35D7B" w:rsidRPr="00C325F7" w:rsidRDefault="00E35D7B" w:rsidP="00C94A84">
            <w:pPr>
              <w:spacing w:line="23" w:lineRule="atLeast"/>
              <w:jc w:val="center"/>
              <w:rPr>
                <w:sz w:val="20"/>
                <w:szCs w:val="20"/>
              </w:rPr>
            </w:pPr>
          </w:p>
        </w:tc>
        <w:tc>
          <w:tcPr>
            <w:tcW w:w="3969" w:type="dxa"/>
            <w:tcBorders>
              <w:top w:val="single" w:sz="4" w:space="0" w:color="auto"/>
              <w:left w:val="single" w:sz="4" w:space="0" w:color="000000"/>
              <w:bottom w:val="single" w:sz="4" w:space="0" w:color="auto"/>
            </w:tcBorders>
            <w:shd w:val="clear" w:color="auto" w:fill="EEECE1" w:themeFill="background2"/>
            <w:vAlign w:val="center"/>
          </w:tcPr>
          <w:p w:rsidR="00E35D7B" w:rsidRPr="00E35D7B" w:rsidRDefault="00E35D7B" w:rsidP="00C94A84">
            <w:pPr>
              <w:jc w:val="center"/>
              <w:rPr>
                <w:b/>
                <w:sz w:val="20"/>
                <w:szCs w:val="20"/>
              </w:rPr>
            </w:pPr>
            <w:r w:rsidRPr="00E35D7B">
              <w:rPr>
                <w:b/>
                <w:sz w:val="20"/>
                <w:szCs w:val="20"/>
              </w:rPr>
              <w:t>Итого по результатам несостоявшихся закупок</w:t>
            </w:r>
          </w:p>
        </w:tc>
        <w:tc>
          <w:tcPr>
            <w:tcW w:w="1417" w:type="dxa"/>
            <w:tcBorders>
              <w:top w:val="single" w:sz="4" w:space="0" w:color="auto"/>
              <w:left w:val="single" w:sz="4" w:space="0" w:color="000000"/>
              <w:bottom w:val="single" w:sz="4" w:space="0" w:color="auto"/>
            </w:tcBorders>
            <w:shd w:val="clear" w:color="auto" w:fill="EEECE1" w:themeFill="background2"/>
            <w:vAlign w:val="center"/>
          </w:tcPr>
          <w:p w:rsidR="00E35D7B" w:rsidRPr="0096394D" w:rsidRDefault="00C21059" w:rsidP="000132A2">
            <w:pPr>
              <w:jc w:val="center"/>
              <w:rPr>
                <w:b/>
                <w:color w:val="000000"/>
                <w:sz w:val="20"/>
                <w:szCs w:val="20"/>
              </w:rPr>
            </w:pPr>
            <w:r>
              <w:rPr>
                <w:b/>
                <w:color w:val="000000"/>
                <w:sz w:val="20"/>
                <w:szCs w:val="20"/>
              </w:rPr>
              <w:t>435 543,5</w:t>
            </w:r>
          </w:p>
        </w:tc>
        <w:tc>
          <w:tcPr>
            <w:tcW w:w="1134"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E35D7B" w:rsidRPr="0096394D" w:rsidRDefault="00C21059" w:rsidP="00C94A84">
            <w:pPr>
              <w:snapToGrid w:val="0"/>
              <w:jc w:val="center"/>
              <w:rPr>
                <w:b/>
                <w:color w:val="000000"/>
                <w:sz w:val="20"/>
                <w:szCs w:val="20"/>
              </w:rPr>
            </w:pPr>
            <w:r>
              <w:rPr>
                <w:b/>
                <w:color w:val="000000"/>
                <w:sz w:val="20"/>
                <w:szCs w:val="20"/>
              </w:rPr>
              <w:t>100,0%</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35D7B" w:rsidRPr="0096394D" w:rsidRDefault="00C21059" w:rsidP="000132A2">
            <w:pPr>
              <w:snapToGrid w:val="0"/>
              <w:jc w:val="center"/>
              <w:rPr>
                <w:b/>
                <w:color w:val="000000"/>
                <w:sz w:val="20"/>
                <w:szCs w:val="20"/>
              </w:rPr>
            </w:pPr>
            <w:r>
              <w:rPr>
                <w:b/>
                <w:color w:val="000000"/>
                <w:sz w:val="20"/>
                <w:szCs w:val="20"/>
              </w:rPr>
              <w:t>101</w:t>
            </w:r>
          </w:p>
        </w:tc>
        <w:tc>
          <w:tcPr>
            <w:tcW w:w="1134" w:type="dxa"/>
            <w:tcBorders>
              <w:top w:val="single" w:sz="4" w:space="0" w:color="auto"/>
              <w:left w:val="single" w:sz="4" w:space="0" w:color="auto"/>
              <w:bottom w:val="single" w:sz="4" w:space="0" w:color="auto"/>
              <w:right w:val="single" w:sz="4" w:space="0" w:color="000000"/>
            </w:tcBorders>
            <w:shd w:val="clear" w:color="auto" w:fill="EEECE1" w:themeFill="background2"/>
            <w:vAlign w:val="center"/>
          </w:tcPr>
          <w:p w:rsidR="00E35D7B" w:rsidRPr="0096394D" w:rsidRDefault="00C21059" w:rsidP="00C94A84">
            <w:pPr>
              <w:snapToGrid w:val="0"/>
              <w:jc w:val="center"/>
              <w:rPr>
                <w:b/>
                <w:color w:val="000000"/>
                <w:sz w:val="20"/>
                <w:szCs w:val="20"/>
              </w:rPr>
            </w:pPr>
            <w:r>
              <w:rPr>
                <w:b/>
                <w:color w:val="000000"/>
                <w:sz w:val="20"/>
                <w:szCs w:val="20"/>
              </w:rPr>
              <w:t>100,0%</w:t>
            </w:r>
          </w:p>
        </w:tc>
      </w:tr>
    </w:tbl>
    <w:p w:rsidR="00925988" w:rsidRPr="00E35D7B" w:rsidRDefault="00925988" w:rsidP="00925988">
      <w:pPr>
        <w:jc w:val="center"/>
        <w:rPr>
          <w:rFonts w:ascii="Arial" w:hAnsi="Arial" w:cs="Arial"/>
          <w:b/>
          <w:sz w:val="22"/>
          <w:szCs w:val="22"/>
        </w:rPr>
      </w:pPr>
    </w:p>
    <w:p w:rsidR="00925988" w:rsidRDefault="00C94A84" w:rsidP="00CD4C6C">
      <w:pPr>
        <w:ind w:firstLine="426"/>
        <w:jc w:val="both"/>
      </w:pPr>
      <w:r>
        <w:t>Как и по итогам 20</w:t>
      </w:r>
      <w:r w:rsidR="00C15F9D">
        <w:t>21</w:t>
      </w:r>
      <w:r>
        <w:t xml:space="preserve"> года основной объем контрактов, заключенных в отчетном периоде </w:t>
      </w:r>
      <w:r w:rsidR="00EB701E">
        <w:t xml:space="preserve"> </w:t>
      </w:r>
      <w:r>
        <w:t>20</w:t>
      </w:r>
      <w:r w:rsidR="00C15F9D">
        <w:t>22</w:t>
      </w:r>
      <w:r>
        <w:t xml:space="preserve"> года с единственным поставщиком по результатам несостоявшихся закупок, приходится на контракты, заключенные по итогам несостоявшихся </w:t>
      </w:r>
      <w:r w:rsidRPr="00C94A84">
        <w:rPr>
          <w:b/>
        </w:rPr>
        <w:t>Электронных аукционов</w:t>
      </w:r>
      <w:r>
        <w:t xml:space="preserve"> – </w:t>
      </w:r>
      <w:r w:rsidR="00C15F9D">
        <w:rPr>
          <w:b/>
        </w:rPr>
        <w:t>94,1</w:t>
      </w:r>
      <w:r w:rsidRPr="00C15F9D">
        <w:rPr>
          <w:b/>
        </w:rPr>
        <w:t>%</w:t>
      </w:r>
      <w:r>
        <w:rPr>
          <w:b/>
        </w:rPr>
        <w:t xml:space="preserve"> </w:t>
      </w:r>
      <w:r>
        <w:t>по количеству и</w:t>
      </w:r>
      <w:r w:rsidR="00EB701E">
        <w:t xml:space="preserve">  </w:t>
      </w:r>
      <w:r w:rsidR="00C15F9D">
        <w:rPr>
          <w:b/>
        </w:rPr>
        <w:t>75,0</w:t>
      </w:r>
      <w:r w:rsidRPr="00C94A84">
        <w:rPr>
          <w:b/>
        </w:rPr>
        <w:t>%</w:t>
      </w:r>
      <w:r>
        <w:rPr>
          <w:b/>
        </w:rPr>
        <w:t xml:space="preserve"> </w:t>
      </w:r>
      <w:r>
        <w:t>по сумме. (</w:t>
      </w:r>
      <w:r w:rsidR="00B81429">
        <w:t>В</w:t>
      </w:r>
      <w:r>
        <w:t xml:space="preserve"> 20</w:t>
      </w:r>
      <w:r w:rsidR="00C15F9D">
        <w:t>21</w:t>
      </w:r>
      <w:r>
        <w:t xml:space="preserve"> году – </w:t>
      </w:r>
      <w:r w:rsidR="00C15F9D">
        <w:t>83,7</w:t>
      </w:r>
      <w:r>
        <w:t xml:space="preserve">% и </w:t>
      </w:r>
      <w:r w:rsidR="00C15F9D">
        <w:t>59,0%</w:t>
      </w:r>
      <w:r>
        <w:t xml:space="preserve"> соответственно</w:t>
      </w:r>
      <w:r w:rsidR="00B81429">
        <w:t>)</w:t>
      </w:r>
      <w:r>
        <w:t>.</w:t>
      </w:r>
    </w:p>
    <w:p w:rsidR="00C94A84" w:rsidRPr="00C94A84" w:rsidRDefault="00000D71" w:rsidP="00CD4C6C">
      <w:pPr>
        <w:ind w:firstLine="426"/>
        <w:jc w:val="both"/>
      </w:pPr>
      <w:r>
        <w:t xml:space="preserve">Это обусловлено тем, что основной объем </w:t>
      </w:r>
      <w:r w:rsidR="00557A10">
        <w:t xml:space="preserve"> состоявшихся </w:t>
      </w:r>
      <w:r>
        <w:t>конкурентных закупок как уже отмечалось выше, проведен электронными аукционами (</w:t>
      </w:r>
      <w:r w:rsidR="00104D21">
        <w:t>95,2</w:t>
      </w:r>
      <w:r w:rsidR="0029396E">
        <w:t>%</w:t>
      </w:r>
      <w:r w:rsidR="00557A10">
        <w:t xml:space="preserve"> по количеству и </w:t>
      </w:r>
      <w:r w:rsidR="00104D21">
        <w:t xml:space="preserve"> 82,2</w:t>
      </w:r>
      <w:r w:rsidR="00557A10">
        <w:t>% по сумме).</w:t>
      </w:r>
    </w:p>
    <w:p w:rsidR="00925988" w:rsidRPr="00104D21" w:rsidRDefault="00104D21" w:rsidP="00104D21">
      <w:pPr>
        <w:ind w:firstLine="425"/>
        <w:jc w:val="both"/>
      </w:pPr>
      <w:r w:rsidRPr="00104D21">
        <w:t>Причинами</w:t>
      </w:r>
      <w:r>
        <w:t xml:space="preserve"> признания проведенных закупок несостоявшимися и заключения контрактов с единственным поставщиком (подрядчиком, исполнителем) являются:</w:t>
      </w:r>
    </w:p>
    <w:p w:rsidR="009A2F5C" w:rsidRDefault="00557A10" w:rsidP="00456F59">
      <w:pPr>
        <w:numPr>
          <w:ilvl w:val="0"/>
          <w:numId w:val="21"/>
        </w:numPr>
        <w:ind w:left="0" w:firstLine="426"/>
        <w:jc w:val="both"/>
      </w:pPr>
      <w:r>
        <w:t xml:space="preserve">подача на участие в закупке единственной заявки и признание ее соответствующей требованиям законодательства о контрактной системе, извещению о закупке. Доля таких контрактов составляет </w:t>
      </w:r>
      <w:r w:rsidR="002D299E">
        <w:t xml:space="preserve"> </w:t>
      </w:r>
      <w:r w:rsidR="004A520F">
        <w:rPr>
          <w:b/>
        </w:rPr>
        <w:t>5</w:t>
      </w:r>
      <w:r w:rsidR="00982506">
        <w:rPr>
          <w:b/>
        </w:rPr>
        <w:t>1,6</w:t>
      </w:r>
      <w:r w:rsidRPr="002D299E">
        <w:rPr>
          <w:b/>
        </w:rPr>
        <w:t>%</w:t>
      </w:r>
      <w:r>
        <w:t xml:space="preserve"> от всех контрактов, заключенных с единственным поставщиком (подрядчиком, исполнителем)  по результатам несостоявшихся закупок; </w:t>
      </w:r>
    </w:p>
    <w:p w:rsidR="009A2F5C" w:rsidRPr="00A13DCD" w:rsidRDefault="00557A10" w:rsidP="00456F59">
      <w:pPr>
        <w:numPr>
          <w:ilvl w:val="0"/>
          <w:numId w:val="21"/>
        </w:numPr>
        <w:ind w:left="0" w:firstLine="426"/>
        <w:jc w:val="both"/>
        <w:rPr>
          <w:rFonts w:ascii="Arial" w:hAnsi="Arial" w:cs="Arial"/>
          <w:b/>
          <w:i/>
          <w:sz w:val="22"/>
          <w:szCs w:val="22"/>
        </w:rPr>
      </w:pPr>
      <w:r>
        <w:t>соответствие только одной заявки, поданной на участие в закупке, требованиям законод</w:t>
      </w:r>
      <w:r w:rsidR="001324E0">
        <w:t xml:space="preserve">ательства о контрактной системе и </w:t>
      </w:r>
      <w:r>
        <w:t xml:space="preserve"> извещению о закупке</w:t>
      </w:r>
      <w:r w:rsidR="001324E0">
        <w:t>, подано одно ценовой предложение. Доля</w:t>
      </w:r>
      <w:r>
        <w:t xml:space="preserve"> таких контрактов – </w:t>
      </w:r>
      <w:r w:rsidR="001324E0">
        <w:rPr>
          <w:b/>
        </w:rPr>
        <w:t>2,1</w:t>
      </w:r>
      <w:r w:rsidR="002D299E">
        <w:rPr>
          <w:b/>
        </w:rPr>
        <w:t>%.</w:t>
      </w:r>
    </w:p>
    <w:p w:rsidR="00A13DCD" w:rsidRPr="002D0F22" w:rsidRDefault="00A13DCD" w:rsidP="00456F59">
      <w:pPr>
        <w:numPr>
          <w:ilvl w:val="0"/>
          <w:numId w:val="21"/>
        </w:numPr>
        <w:ind w:left="0" w:firstLine="426"/>
        <w:jc w:val="both"/>
        <w:rPr>
          <w:rFonts w:ascii="Arial" w:hAnsi="Arial" w:cs="Arial"/>
          <w:i/>
          <w:sz w:val="22"/>
          <w:szCs w:val="22"/>
        </w:rPr>
      </w:pPr>
      <w:r>
        <w:lastRenderedPageBreak/>
        <w:t>о</w:t>
      </w:r>
      <w:r w:rsidRPr="00A13DCD">
        <w:t>тсутствие</w:t>
      </w:r>
      <w:r>
        <w:t xml:space="preserve"> </w:t>
      </w:r>
      <w:r w:rsidR="006021FE">
        <w:t>поданных заявок на у</w:t>
      </w:r>
      <w:r w:rsidR="00982506">
        <w:t xml:space="preserve">частие в закупке или признание всех поданных заявок </w:t>
      </w:r>
      <w:proofErr w:type="gramStart"/>
      <w:r w:rsidR="00982506">
        <w:t>несоответствующими</w:t>
      </w:r>
      <w:proofErr w:type="gramEnd"/>
      <w:r w:rsidR="00982506">
        <w:t xml:space="preserve"> требованиям законодательства о контрактной системе, извещению о закупке. Доля таких контрактов составляет - </w:t>
      </w:r>
      <w:r w:rsidR="00982506" w:rsidRPr="00982506">
        <w:rPr>
          <w:b/>
        </w:rPr>
        <w:t>8,0%</w:t>
      </w:r>
      <w:r w:rsidR="00982506">
        <w:rPr>
          <w:b/>
        </w:rPr>
        <w:t>.</w:t>
      </w:r>
    </w:p>
    <w:p w:rsidR="002D0F22" w:rsidRPr="002D0F22" w:rsidRDefault="002D0F22" w:rsidP="002D0F22">
      <w:pPr>
        <w:ind w:firstLine="426"/>
        <w:jc w:val="both"/>
        <w:rPr>
          <w:rFonts w:ascii="Arial" w:hAnsi="Arial" w:cs="Arial"/>
          <w:i/>
          <w:sz w:val="22"/>
          <w:szCs w:val="22"/>
        </w:rPr>
      </w:pPr>
      <w:r w:rsidRPr="002D0F22">
        <w:t xml:space="preserve">В связи с </w:t>
      </w:r>
      <w:r>
        <w:t xml:space="preserve">признанием закупок  несостоявшимися  </w:t>
      </w:r>
      <w:r w:rsidRPr="002D0F22">
        <w:rPr>
          <w:b/>
        </w:rPr>
        <w:t>74,0%</w:t>
      </w:r>
      <w:r>
        <w:t xml:space="preserve">  суммарного объема контрактов, заключенных по итогам проведения закупок</w:t>
      </w:r>
      <w:r w:rsidR="004E1FBD">
        <w:t xml:space="preserve"> конкурентными способами, заключено с единственным поставщиков (подрядчиком, исполнителем).</w:t>
      </w:r>
    </w:p>
    <w:p w:rsidR="00E220D3" w:rsidRDefault="005D1E6B" w:rsidP="00E220D3">
      <w:pPr>
        <w:ind w:firstLine="426"/>
        <w:jc w:val="both"/>
      </w:pPr>
      <w:r>
        <w:t>Приведенные</w:t>
      </w:r>
      <w:r w:rsidR="00E220D3">
        <w:t xml:space="preserve"> </w:t>
      </w:r>
      <w:r w:rsidR="002D299E">
        <w:t xml:space="preserve">показатели о несостоявшихся закупках, могут быть </w:t>
      </w:r>
      <w:r w:rsidR="00E43026">
        <w:t>обусловлены</w:t>
      </w:r>
      <w:r w:rsidR="002D299E">
        <w:t xml:space="preserve"> следующими факторами: </w:t>
      </w:r>
    </w:p>
    <w:p w:rsidR="00E43026" w:rsidRDefault="00E43026" w:rsidP="00456F59">
      <w:pPr>
        <w:numPr>
          <w:ilvl w:val="0"/>
          <w:numId w:val="22"/>
        </w:numPr>
        <w:ind w:left="0" w:firstLine="426"/>
        <w:jc w:val="both"/>
      </w:pPr>
      <w:r>
        <w:t>дефицитом на рынке товаров и материалов, используемых при выполнении работ и оказанных услуг, связанных с импортными поставками либо  имеющих высокую долю комплектующих (сырья) импортного производства, а также повышением цен на товары и материалы, вызванные введением с 24.02.2022 года мер ограничительно</w:t>
      </w:r>
      <w:r w:rsidR="00B811AC">
        <w:t>го характера иностранными государствами, совершающими недружественные действия</w:t>
      </w:r>
      <w:r w:rsidR="009859FE">
        <w:t xml:space="preserve"> в отношении Российской Федерации, в </w:t>
      </w:r>
      <w:proofErr w:type="gramStart"/>
      <w:r w:rsidR="009859FE">
        <w:t>связи</w:t>
      </w:r>
      <w:proofErr w:type="gramEnd"/>
      <w:r w:rsidR="009859FE">
        <w:t xml:space="preserve"> с чем значительно сократилось число желающих принять участие в закупках;</w:t>
      </w:r>
    </w:p>
    <w:p w:rsidR="00E220D3" w:rsidRPr="003268F7" w:rsidRDefault="00E220D3" w:rsidP="00456F59">
      <w:pPr>
        <w:numPr>
          <w:ilvl w:val="0"/>
          <w:numId w:val="22"/>
        </w:numPr>
        <w:ind w:left="0" w:firstLine="426"/>
        <w:jc w:val="both"/>
      </w:pPr>
      <w:r>
        <w:t xml:space="preserve">отсутствие конкурентной среды, в том числе, вызванное распространением новой </w:t>
      </w:r>
      <w:proofErr w:type="spellStart"/>
      <w:r>
        <w:t>коронавирусной</w:t>
      </w:r>
      <w:proofErr w:type="spellEnd"/>
      <w:r>
        <w:t xml:space="preserve"> инфекции (</w:t>
      </w:r>
      <w:r>
        <w:rPr>
          <w:lang w:val="en-US"/>
        </w:rPr>
        <w:t>COVID</w:t>
      </w:r>
      <w:r w:rsidRPr="00E220D3">
        <w:t>-19)</w:t>
      </w:r>
      <w:r w:rsidR="00090995">
        <w:t xml:space="preserve"> </w:t>
      </w:r>
      <w:r w:rsidR="00090995" w:rsidRPr="00A832F3">
        <w:rPr>
          <w:i/>
        </w:rPr>
        <w:t>(в том числе штамма «омикрон»)</w:t>
      </w:r>
      <w:r w:rsidR="00587C81">
        <w:t>;</w:t>
      </w:r>
    </w:p>
    <w:p w:rsidR="00E220D3" w:rsidRDefault="00090995" w:rsidP="00456F59">
      <w:pPr>
        <w:numPr>
          <w:ilvl w:val="0"/>
          <w:numId w:val="22"/>
        </w:numPr>
        <w:ind w:left="0" w:firstLine="426"/>
        <w:jc w:val="both"/>
      </w:pPr>
      <w:r>
        <w:t>недостаточной квалификацией участников закупки, в том числе в части</w:t>
      </w:r>
      <w:r w:rsidR="002D299E">
        <w:t xml:space="preserve">, в том числе в части знаний и навыков применения законодательства Российской Федерации и иных нормативных правовых актов о контрактной системе в сфере закупок. </w:t>
      </w:r>
    </w:p>
    <w:p w:rsidR="00E220D3" w:rsidRPr="009F476C" w:rsidRDefault="002D299E" w:rsidP="00E220D3">
      <w:pPr>
        <w:ind w:firstLine="426"/>
        <w:jc w:val="both"/>
        <w:rPr>
          <w:i/>
        </w:rPr>
      </w:pPr>
      <w:r w:rsidRPr="009F476C">
        <w:rPr>
          <w:i/>
        </w:rPr>
        <w:t xml:space="preserve">Следует отметить, что проблема высокого уровня несостоявшихся закупок характерна для России в целом. </w:t>
      </w:r>
    </w:p>
    <w:p w:rsidR="00FF0F3A" w:rsidRDefault="00FF0F3A" w:rsidP="00906D39">
      <w:pPr>
        <w:jc w:val="both"/>
        <w:rPr>
          <w:b/>
        </w:rPr>
      </w:pPr>
    </w:p>
    <w:p w:rsidR="00906D39" w:rsidRPr="00A97B8D" w:rsidRDefault="00906D39" w:rsidP="00FF0F3A">
      <w:pPr>
        <w:jc w:val="both"/>
      </w:pPr>
      <w:r w:rsidRPr="00A97B8D">
        <w:rPr>
          <w:b/>
        </w:rPr>
        <w:t>4.4. Проведение закупок на электронных площадках</w:t>
      </w:r>
    </w:p>
    <w:p w:rsidR="009214A9" w:rsidRDefault="009214A9" w:rsidP="008B786A">
      <w:pPr>
        <w:autoSpaceDE w:val="0"/>
        <w:autoSpaceDN w:val="0"/>
        <w:adjustRightInd w:val="0"/>
        <w:spacing w:line="120" w:lineRule="auto"/>
        <w:ind w:firstLine="425"/>
        <w:jc w:val="both"/>
        <w:rPr>
          <w:rFonts w:eastAsia="Calibri"/>
          <w:color w:val="000000"/>
        </w:rPr>
      </w:pPr>
    </w:p>
    <w:p w:rsidR="006C333B" w:rsidRDefault="002B1CF4" w:rsidP="009214A9">
      <w:pPr>
        <w:autoSpaceDE w:val="0"/>
        <w:autoSpaceDN w:val="0"/>
        <w:adjustRightInd w:val="0"/>
        <w:ind w:firstLine="426"/>
        <w:jc w:val="both"/>
        <w:rPr>
          <w:rFonts w:eastAsia="Calibri"/>
          <w:color w:val="000000"/>
        </w:rPr>
      </w:pPr>
      <w:r>
        <w:rPr>
          <w:rFonts w:eastAsia="Calibri"/>
          <w:color w:val="000000"/>
        </w:rPr>
        <w:t xml:space="preserve">Начиная с </w:t>
      </w:r>
      <w:r w:rsidR="009214A9" w:rsidRPr="009214A9">
        <w:rPr>
          <w:rFonts w:eastAsia="Calibri"/>
          <w:color w:val="000000"/>
        </w:rPr>
        <w:t>2018 год</w:t>
      </w:r>
      <w:r>
        <w:rPr>
          <w:rFonts w:eastAsia="Calibri"/>
          <w:color w:val="000000"/>
        </w:rPr>
        <w:t>а</w:t>
      </w:r>
      <w:r w:rsidR="009214A9" w:rsidRPr="009214A9">
        <w:rPr>
          <w:rFonts w:eastAsia="Calibri"/>
          <w:color w:val="000000"/>
        </w:rPr>
        <w:t xml:space="preserve"> состоялся новый этап развития законодательства в сфере закупок, выразившийся в переводе всех государственных и муниципальных закупок, а также закупок отдельными видами юридических лиц, осуществляемых среди субъектов малого и среднего предпринимательства, с «бумажной» формы в </w:t>
      </w:r>
      <w:proofErr w:type="gramStart"/>
      <w:r w:rsidR="009214A9" w:rsidRPr="009214A9">
        <w:rPr>
          <w:rFonts w:eastAsia="Calibri"/>
          <w:color w:val="000000"/>
        </w:rPr>
        <w:t>электронную</w:t>
      </w:r>
      <w:proofErr w:type="gramEnd"/>
      <w:r w:rsidR="009214A9" w:rsidRPr="009214A9">
        <w:rPr>
          <w:rFonts w:eastAsia="Calibri"/>
          <w:color w:val="000000"/>
        </w:rPr>
        <w:t xml:space="preserve">. </w:t>
      </w:r>
      <w:r w:rsidR="006C333B">
        <w:rPr>
          <w:rFonts w:eastAsia="Calibri"/>
          <w:color w:val="000000"/>
        </w:rPr>
        <w:t xml:space="preserve">   </w:t>
      </w:r>
    </w:p>
    <w:p w:rsidR="009214A9" w:rsidRPr="009214A9" w:rsidRDefault="006C333B" w:rsidP="009214A9">
      <w:pPr>
        <w:autoSpaceDE w:val="0"/>
        <w:autoSpaceDN w:val="0"/>
        <w:adjustRightInd w:val="0"/>
        <w:ind w:firstLine="426"/>
        <w:jc w:val="both"/>
        <w:rPr>
          <w:rFonts w:eastAsia="Calibri"/>
          <w:color w:val="000000"/>
        </w:rPr>
      </w:pPr>
      <w:r>
        <w:rPr>
          <w:rFonts w:eastAsia="Calibri"/>
          <w:color w:val="000000"/>
        </w:rPr>
        <w:t>«Электронизация» государственных закупок началась со дня вступления в силу Федерального закона от 31.12.2017г. №504-ФЗ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roofErr w:type="gramStart"/>
      <w:r>
        <w:rPr>
          <w:rFonts w:eastAsia="Calibri"/>
          <w:color w:val="000000"/>
        </w:rPr>
        <w:t xml:space="preserve"> ,</w:t>
      </w:r>
      <w:proofErr w:type="gramEnd"/>
      <w:r>
        <w:rPr>
          <w:rFonts w:eastAsia="Calibri"/>
          <w:color w:val="000000"/>
        </w:rPr>
        <w:t xml:space="preserve"> согласно которому все государственные заказчики были обязаны проводить все закупки в электронной форме, за исключением отдельных случаев.</w:t>
      </w:r>
    </w:p>
    <w:p w:rsidR="009214A9" w:rsidRPr="009214A9" w:rsidRDefault="009214A9" w:rsidP="009214A9">
      <w:pPr>
        <w:autoSpaceDE w:val="0"/>
        <w:autoSpaceDN w:val="0"/>
        <w:adjustRightInd w:val="0"/>
        <w:ind w:firstLine="426"/>
        <w:jc w:val="both"/>
        <w:rPr>
          <w:rFonts w:eastAsia="Calibri"/>
          <w:color w:val="000000"/>
        </w:rPr>
      </w:pPr>
      <w:r w:rsidRPr="009214A9">
        <w:rPr>
          <w:rFonts w:eastAsia="Calibri"/>
          <w:color w:val="000000"/>
        </w:rPr>
        <w:t xml:space="preserve">В рамках проведенной работы состоялся отбор «универсальных» операторов электронных площадок, функционирующих в рамках законодательства в сфере закупок. </w:t>
      </w:r>
    </w:p>
    <w:p w:rsidR="006C333B" w:rsidRDefault="006C333B" w:rsidP="006C333B">
      <w:pPr>
        <w:autoSpaceDE w:val="0"/>
        <w:autoSpaceDN w:val="0"/>
        <w:adjustRightInd w:val="0"/>
        <w:jc w:val="both"/>
        <w:rPr>
          <w:rFonts w:eastAsia="Calibri"/>
        </w:rPr>
      </w:pPr>
      <w:r>
        <w:rPr>
          <w:rFonts w:eastAsia="Calibri"/>
        </w:rPr>
        <w:t xml:space="preserve">       Особенность закупок в электронной форме состоит в том, что все операции в рамках конкурентного определения поставщика - направление участниками запросов о разъяснениях, заявок на участие в закупке</w:t>
      </w:r>
      <w:proofErr w:type="gramStart"/>
      <w:r>
        <w:rPr>
          <w:rFonts w:eastAsia="Calibri"/>
        </w:rPr>
        <w:t xml:space="preserve"> ,</w:t>
      </w:r>
      <w:proofErr w:type="gramEnd"/>
      <w:r>
        <w:rPr>
          <w:rFonts w:eastAsia="Calibri"/>
        </w:rPr>
        <w:t xml:space="preserve"> предложений о цене контракта, предоставление комиссии по закупкам доступа к заявкам, сопоставление предложений, формирование протоколов, а также заключение контракта с победителем закупки - происходят </w:t>
      </w:r>
      <w:r w:rsidRPr="006C333B">
        <w:rPr>
          <w:rFonts w:eastAsia="Calibri"/>
          <w:b/>
        </w:rPr>
        <w:t>на электронной площадке</w:t>
      </w:r>
      <w:r>
        <w:rPr>
          <w:rFonts w:eastAsia="Calibri"/>
        </w:rPr>
        <w:t xml:space="preserve"> из перечня, определенного Правительством РФ (</w:t>
      </w:r>
      <w:hyperlink r:id="rId89" w:history="1">
        <w:r w:rsidRPr="006C333B">
          <w:rPr>
            <w:rFonts w:eastAsia="Calibri"/>
            <w:b/>
          </w:rPr>
          <w:t>ч. 1 ст</w:t>
        </w:r>
        <w:r>
          <w:rPr>
            <w:rFonts w:eastAsia="Calibri"/>
            <w:b/>
          </w:rPr>
          <w:t xml:space="preserve">атьи </w:t>
        </w:r>
        <w:r w:rsidRPr="006C333B">
          <w:rPr>
            <w:rFonts w:eastAsia="Calibri"/>
            <w:b/>
          </w:rPr>
          <w:t xml:space="preserve"> 24.1</w:t>
        </w:r>
      </w:hyperlink>
      <w:r w:rsidRPr="006C333B">
        <w:rPr>
          <w:rFonts w:eastAsia="Calibri"/>
          <w:b/>
        </w:rPr>
        <w:t xml:space="preserve"> </w:t>
      </w:r>
      <w:r w:rsidRPr="006C333B">
        <w:rPr>
          <w:rFonts w:eastAsia="Calibri"/>
        </w:rPr>
        <w:t>Закона N 44-ФЗ</w:t>
      </w:r>
      <w:r>
        <w:rPr>
          <w:rFonts w:eastAsia="Calibri"/>
        </w:rPr>
        <w:t>)</w:t>
      </w:r>
      <w:proofErr w:type="gramStart"/>
      <w:r>
        <w:rPr>
          <w:rFonts w:eastAsia="Calibri"/>
        </w:rPr>
        <w:t xml:space="preserve"> .</w:t>
      </w:r>
      <w:proofErr w:type="gramEnd"/>
    </w:p>
    <w:p w:rsidR="006C333B" w:rsidRDefault="006C333B" w:rsidP="006C333B">
      <w:pPr>
        <w:autoSpaceDE w:val="0"/>
        <w:autoSpaceDN w:val="0"/>
        <w:adjustRightInd w:val="0"/>
        <w:jc w:val="both"/>
        <w:rPr>
          <w:rFonts w:eastAsia="Calibri"/>
        </w:rPr>
      </w:pPr>
      <w:r>
        <w:rPr>
          <w:rFonts w:eastAsia="Calibri"/>
        </w:rPr>
        <w:t xml:space="preserve">       В отличие от традиционной формы процедуры определения поставщика обмен документами или сведениями на бумаге недопустим. Весь документооборот в ходе организации и проведения электронной конкурентной закупки и при исполнении контрактов происходит в форме электронных документов, подписанных усиленной электронной подписью. Для обмена электронными документами используют единую информационную систему (</w:t>
      </w:r>
      <w:hyperlink r:id="rId90" w:history="1">
        <w:r w:rsidRPr="006C333B">
          <w:rPr>
            <w:rFonts w:eastAsia="Calibri"/>
            <w:b/>
          </w:rPr>
          <w:t>ч. 1 ст</w:t>
        </w:r>
        <w:r>
          <w:rPr>
            <w:rFonts w:eastAsia="Calibri"/>
            <w:b/>
          </w:rPr>
          <w:t xml:space="preserve">атьи </w:t>
        </w:r>
        <w:r w:rsidRPr="006C333B">
          <w:rPr>
            <w:rFonts w:eastAsia="Calibri"/>
            <w:b/>
          </w:rPr>
          <w:t xml:space="preserve"> 5</w:t>
        </w:r>
      </w:hyperlink>
      <w:r w:rsidRPr="006C333B">
        <w:rPr>
          <w:rFonts w:eastAsia="Calibri"/>
          <w:b/>
        </w:rPr>
        <w:t xml:space="preserve"> </w:t>
      </w:r>
      <w:r>
        <w:rPr>
          <w:rFonts w:eastAsia="Calibri"/>
        </w:rPr>
        <w:t>Закона N 44-ФЗ).</w:t>
      </w:r>
    </w:p>
    <w:p w:rsidR="008C3DB3" w:rsidRDefault="008C3DB3" w:rsidP="008C3DB3">
      <w:pPr>
        <w:autoSpaceDE w:val="0"/>
        <w:autoSpaceDN w:val="0"/>
        <w:adjustRightInd w:val="0"/>
        <w:jc w:val="both"/>
        <w:rPr>
          <w:rFonts w:eastAsia="Calibri"/>
        </w:rPr>
      </w:pPr>
      <w:r>
        <w:rPr>
          <w:rFonts w:eastAsia="Calibri"/>
        </w:rPr>
        <w:lastRenderedPageBreak/>
        <w:t xml:space="preserve">        Во всех электронных процедурах оператор электронной площадки вправе взимать плату с победителя. </w:t>
      </w:r>
    </w:p>
    <w:p w:rsidR="008C3DB3" w:rsidRDefault="008C3DB3" w:rsidP="008C3DB3">
      <w:pPr>
        <w:autoSpaceDE w:val="0"/>
        <w:autoSpaceDN w:val="0"/>
        <w:adjustRightInd w:val="0"/>
        <w:jc w:val="both"/>
        <w:rPr>
          <w:rFonts w:eastAsia="Calibri"/>
        </w:rPr>
      </w:pPr>
      <w:r>
        <w:rPr>
          <w:rFonts w:eastAsia="Calibri"/>
        </w:rPr>
        <w:t xml:space="preserve">        Размер этой платы небольшой: не более 1% НМЦК и не более 5,0  тыс. руб. без НДС, а при закупке только среди СМП и СОНКО - не более 2,0 тыс. руб. с НДС (</w:t>
      </w:r>
      <w:hyperlink r:id="rId91" w:history="1">
        <w:r w:rsidRPr="008C3DB3">
          <w:rPr>
            <w:rFonts w:eastAsia="Calibri"/>
            <w:b/>
          </w:rPr>
          <w:t>ч. 4 ст. 24.1</w:t>
        </w:r>
      </w:hyperlink>
      <w:r>
        <w:rPr>
          <w:rFonts w:eastAsia="Calibri"/>
        </w:rPr>
        <w:t xml:space="preserve"> Закона №44-ФЗ, </w:t>
      </w:r>
      <w:hyperlink r:id="rId92" w:history="1">
        <w:r w:rsidRPr="008C3DB3">
          <w:rPr>
            <w:rFonts w:eastAsia="Calibri"/>
            <w:b/>
          </w:rPr>
          <w:t>п. п. 1</w:t>
        </w:r>
      </w:hyperlink>
      <w:r w:rsidRPr="008C3DB3">
        <w:rPr>
          <w:rFonts w:eastAsia="Calibri"/>
          <w:b/>
        </w:rPr>
        <w:t xml:space="preserve">, </w:t>
      </w:r>
      <w:hyperlink r:id="rId93" w:history="1">
        <w:r w:rsidRPr="008C3DB3">
          <w:rPr>
            <w:rFonts w:eastAsia="Calibri"/>
            <w:b/>
          </w:rPr>
          <w:t>2</w:t>
        </w:r>
      </w:hyperlink>
      <w:r>
        <w:rPr>
          <w:rFonts w:eastAsia="Calibri"/>
        </w:rPr>
        <w:t xml:space="preserve"> Постановления Правительства РФ от 10.05.2018 N 564, </w:t>
      </w:r>
      <w:hyperlink r:id="rId94" w:history="1">
        <w:r w:rsidRPr="008C3DB3">
          <w:rPr>
            <w:rFonts w:eastAsia="Calibri"/>
          </w:rPr>
          <w:t>Письмо</w:t>
        </w:r>
      </w:hyperlink>
      <w:r w:rsidRPr="008C3DB3">
        <w:rPr>
          <w:rFonts w:eastAsia="Calibri"/>
        </w:rPr>
        <w:t xml:space="preserve"> </w:t>
      </w:r>
      <w:r>
        <w:rPr>
          <w:rFonts w:eastAsia="Calibri"/>
        </w:rPr>
        <w:t>Минфина России от 06.11.2018 N 24-06-08/79659</w:t>
      </w:r>
      <w:proofErr w:type="gramStart"/>
      <w:r>
        <w:rPr>
          <w:rFonts w:eastAsia="Calibri"/>
        </w:rPr>
        <w:t xml:space="preserve"> )</w:t>
      </w:r>
      <w:proofErr w:type="gramEnd"/>
      <w:r>
        <w:rPr>
          <w:rFonts w:eastAsia="Calibri"/>
        </w:rPr>
        <w:t>.</w:t>
      </w:r>
    </w:p>
    <w:p w:rsidR="00906D39" w:rsidRDefault="00514372" w:rsidP="00514372">
      <w:pPr>
        <w:ind w:firstLine="426"/>
        <w:jc w:val="both"/>
      </w:pPr>
      <w:r w:rsidRPr="00274A92">
        <w:t xml:space="preserve">Требования к операторам электронных площадок, операторам специализированных электронных площадок (далее - операторы), самим электронным площадкам и порядку их функционирования согласно </w:t>
      </w:r>
      <w:hyperlink r:id="rId95" w:history="1">
        <w:r w:rsidRPr="00274A92">
          <w:rPr>
            <w:rStyle w:val="af"/>
            <w:rFonts w:cs="Times New Roman CYR"/>
            <w:b/>
            <w:color w:val="auto"/>
          </w:rPr>
          <w:t>ч. 2 ст</w:t>
        </w:r>
        <w:r w:rsidR="005124F8">
          <w:rPr>
            <w:rStyle w:val="af"/>
            <w:rFonts w:cs="Times New Roman CYR"/>
            <w:b/>
            <w:color w:val="auto"/>
          </w:rPr>
          <w:t>атьи</w:t>
        </w:r>
        <w:r w:rsidRPr="00274A92">
          <w:rPr>
            <w:rStyle w:val="af"/>
            <w:rFonts w:cs="Times New Roman CYR"/>
            <w:b/>
            <w:color w:val="auto"/>
          </w:rPr>
          <w:t> 24.1</w:t>
        </w:r>
      </w:hyperlink>
      <w:r w:rsidRPr="00274A92">
        <w:t xml:space="preserve"> Закона N 44-ФЗ устанавливаются Правительством РФ. При этом </w:t>
      </w:r>
      <w:hyperlink r:id="rId96" w:history="1">
        <w:r w:rsidRPr="00274A92">
          <w:rPr>
            <w:rStyle w:val="af"/>
            <w:rFonts w:cs="Times New Roman CYR"/>
            <w:color w:val="auto"/>
          </w:rPr>
          <w:t>распоряжением</w:t>
        </w:r>
      </w:hyperlink>
      <w:r w:rsidRPr="00274A92">
        <w:rPr>
          <w:rStyle w:val="af"/>
          <w:rFonts w:cs="Times New Roman CYR"/>
          <w:color w:val="auto"/>
        </w:rPr>
        <w:t xml:space="preserve"> </w:t>
      </w:r>
      <w:r w:rsidR="00F65FCE" w:rsidRPr="00274A92">
        <w:rPr>
          <w:rStyle w:val="af"/>
          <w:rFonts w:cs="Times New Roman CYR"/>
          <w:color w:val="auto"/>
        </w:rPr>
        <w:t xml:space="preserve"> </w:t>
      </w:r>
      <w:r w:rsidRPr="00274A92">
        <w:t xml:space="preserve">Правительства РФ </w:t>
      </w:r>
      <w:r w:rsidRPr="00274A92">
        <w:rPr>
          <w:rStyle w:val="af"/>
          <w:rFonts w:cs="Times New Roman CYR"/>
          <w:b/>
          <w:color w:val="auto"/>
        </w:rPr>
        <w:t>от 12.07.2018</w:t>
      </w:r>
      <w:r w:rsidRPr="00274A92">
        <w:t xml:space="preserve"> </w:t>
      </w:r>
      <w:r w:rsidRPr="00274A92">
        <w:rPr>
          <w:rStyle w:val="af"/>
          <w:rFonts w:cs="Times New Roman CYR"/>
          <w:b/>
          <w:color w:val="auto"/>
        </w:rPr>
        <w:t>N 1447-р</w:t>
      </w:r>
      <w:r w:rsidR="000673F8">
        <w:rPr>
          <w:rStyle w:val="af"/>
          <w:rFonts w:cs="Times New Roman CYR"/>
          <w:b/>
          <w:color w:val="auto"/>
        </w:rPr>
        <w:t xml:space="preserve"> (</w:t>
      </w:r>
      <w:r w:rsidR="000673F8" w:rsidRPr="000673F8">
        <w:rPr>
          <w:rStyle w:val="af"/>
          <w:rFonts w:cs="Times New Roman CYR"/>
          <w:color w:val="auto"/>
        </w:rPr>
        <w:t>далее</w:t>
      </w:r>
      <w:r w:rsidR="000673F8">
        <w:rPr>
          <w:rStyle w:val="af"/>
          <w:rFonts w:cs="Times New Roman CYR"/>
          <w:b/>
          <w:color w:val="auto"/>
        </w:rPr>
        <w:t xml:space="preserve"> – Перечень №1447-р</w:t>
      </w:r>
      <w:r w:rsidR="000673F8">
        <w:t xml:space="preserve">) </w:t>
      </w:r>
      <w:r w:rsidRPr="00274A92">
        <w:t xml:space="preserve">утверждены </w:t>
      </w:r>
      <w:hyperlink r:id="rId97" w:history="1">
        <w:r w:rsidRPr="00274A92">
          <w:rPr>
            <w:rStyle w:val="af"/>
            <w:rFonts w:cs="Times New Roman CYR"/>
            <w:color w:val="auto"/>
            <w:u w:val="single"/>
          </w:rPr>
          <w:t>перечень</w:t>
        </w:r>
      </w:hyperlink>
      <w:r w:rsidRPr="00274A92">
        <w:rPr>
          <w:u w:val="single"/>
        </w:rPr>
        <w:t xml:space="preserve"> опе</w:t>
      </w:r>
      <w:r w:rsidRPr="00274A92">
        <w:t xml:space="preserve">раторов электронных площадок, а также и </w:t>
      </w:r>
      <w:hyperlink r:id="rId98" w:history="1">
        <w:r w:rsidRPr="00274A92">
          <w:rPr>
            <w:rStyle w:val="af"/>
            <w:rFonts w:cs="Times New Roman CYR"/>
            <w:color w:val="auto"/>
          </w:rPr>
          <w:t>перечень</w:t>
        </w:r>
      </w:hyperlink>
      <w:r w:rsidRPr="00274A92">
        <w:t xml:space="preserve"> операторов специализированных электронных площадок, которые соответствуют установленным на основании закона требованиям (</w:t>
      </w:r>
      <w:hyperlink r:id="rId99" w:history="1">
        <w:r w:rsidRPr="00274A92">
          <w:rPr>
            <w:rStyle w:val="af"/>
            <w:rFonts w:cs="Times New Roman CYR"/>
            <w:b/>
            <w:color w:val="auto"/>
          </w:rPr>
          <w:t>ч. 3 ст</w:t>
        </w:r>
        <w:r w:rsidR="005124F8">
          <w:rPr>
            <w:rStyle w:val="af"/>
            <w:rFonts w:cs="Times New Roman CYR"/>
            <w:b/>
            <w:color w:val="auto"/>
          </w:rPr>
          <w:t>атьи</w:t>
        </w:r>
        <w:r w:rsidRPr="00274A92">
          <w:rPr>
            <w:rStyle w:val="af"/>
            <w:rFonts w:cs="Times New Roman CYR"/>
            <w:b/>
            <w:color w:val="auto"/>
          </w:rPr>
          <w:t> 24.1</w:t>
        </w:r>
      </w:hyperlink>
      <w:r w:rsidRPr="00274A92">
        <w:t xml:space="preserve"> Закона N 44-ФЗ).</w:t>
      </w:r>
    </w:p>
    <w:p w:rsidR="00E43138" w:rsidRDefault="00E43138" w:rsidP="00E43138">
      <w:pPr>
        <w:ind w:firstLine="425"/>
        <w:jc w:val="both"/>
      </w:pPr>
      <w:r>
        <w:t>Выбор площадки зависит от того, какую закупку предстоит организовывать.</w:t>
      </w:r>
    </w:p>
    <w:p w:rsidR="000673F8" w:rsidRDefault="00E43138" w:rsidP="000673F8">
      <w:pPr>
        <w:autoSpaceDE w:val="0"/>
        <w:autoSpaceDN w:val="0"/>
        <w:adjustRightInd w:val="0"/>
        <w:jc w:val="both"/>
        <w:rPr>
          <w:rFonts w:eastAsia="Calibri"/>
        </w:rPr>
      </w:pPr>
      <w:r>
        <w:rPr>
          <w:rFonts w:eastAsia="Calibri"/>
          <w:b/>
          <w:bCs/>
        </w:rPr>
        <w:t xml:space="preserve"> </w:t>
      </w:r>
      <w:r w:rsidR="000673F8">
        <w:rPr>
          <w:rFonts w:eastAsia="Calibri"/>
          <w:b/>
          <w:bCs/>
        </w:rPr>
        <w:t xml:space="preserve">      Открытую процедуру определения поставщика</w:t>
      </w:r>
      <w:r w:rsidR="000673F8">
        <w:rPr>
          <w:rFonts w:eastAsia="Calibri"/>
        </w:rPr>
        <w:t xml:space="preserve"> можно проводить на площадках из </w:t>
      </w:r>
      <w:hyperlink r:id="rId100" w:history="1">
        <w:r w:rsidR="000673F8" w:rsidRPr="000673F8">
          <w:rPr>
            <w:rFonts w:eastAsia="Calibri"/>
          </w:rPr>
          <w:t>Перечня</w:t>
        </w:r>
      </w:hyperlink>
      <w:r w:rsidR="000673F8">
        <w:rPr>
          <w:rFonts w:eastAsia="Calibri"/>
        </w:rPr>
        <w:t xml:space="preserve"> №1447-р. Список площадок и ссылки на них вы можете также найти на главной странице официального сайта ЕИС - zakupki.gov.ru. Выбирайте любую из указанных площадок, ограничений нет.</w:t>
      </w:r>
    </w:p>
    <w:tbl>
      <w:tblPr>
        <w:tblW w:w="9454" w:type="dxa"/>
        <w:jc w:val="center"/>
        <w:tblInd w:w="195" w:type="dxa"/>
        <w:tblLayout w:type="fixed"/>
        <w:tblCellMar>
          <w:left w:w="0" w:type="dxa"/>
          <w:right w:w="0" w:type="dxa"/>
        </w:tblCellMar>
        <w:tblLook w:val="0000" w:firstRow="0" w:lastRow="0" w:firstColumn="0" w:lastColumn="0" w:noHBand="0" w:noVBand="0"/>
      </w:tblPr>
      <w:tblGrid>
        <w:gridCol w:w="9454"/>
      </w:tblGrid>
      <w:tr w:rsidR="000673F8" w:rsidTr="00C045F2">
        <w:trPr>
          <w:jc w:val="center"/>
        </w:trPr>
        <w:tc>
          <w:tcPr>
            <w:tcW w:w="9454" w:type="dxa"/>
            <w:tcBorders>
              <w:top w:val="single" w:sz="6" w:space="0" w:color="auto"/>
              <w:left w:val="single" w:sz="6" w:space="0" w:color="auto"/>
              <w:bottom w:val="single" w:sz="6" w:space="0" w:color="auto"/>
              <w:right w:val="single" w:sz="6" w:space="0" w:color="auto"/>
            </w:tcBorders>
            <w:tcMar>
              <w:top w:w="195" w:type="dxa"/>
              <w:left w:w="195" w:type="dxa"/>
              <w:bottom w:w="195" w:type="dxa"/>
              <w:right w:w="195" w:type="dxa"/>
            </w:tcMar>
          </w:tcPr>
          <w:p w:rsidR="00726C8E" w:rsidRDefault="000673F8" w:rsidP="00726C8E">
            <w:pPr>
              <w:autoSpaceDE w:val="0"/>
              <w:autoSpaceDN w:val="0"/>
              <w:adjustRightInd w:val="0"/>
              <w:jc w:val="center"/>
              <w:rPr>
                <w:rFonts w:eastAsia="Calibri"/>
                <w:b/>
                <w:u w:val="single"/>
              </w:rPr>
            </w:pPr>
            <w:bookmarkStart w:id="5" w:name="Par0"/>
            <w:bookmarkEnd w:id="5"/>
            <w:r w:rsidRPr="000673F8">
              <w:rPr>
                <w:rFonts w:eastAsia="Calibri"/>
                <w:b/>
                <w:u w:val="single"/>
              </w:rPr>
              <w:t>Список электронных площадок и их операторов для проведения открытых процедур</w:t>
            </w:r>
          </w:p>
          <w:p w:rsidR="00A17214" w:rsidRPr="00A17214" w:rsidRDefault="000673F8" w:rsidP="00A17214">
            <w:pPr>
              <w:pStyle w:val="ab"/>
              <w:numPr>
                <w:ilvl w:val="0"/>
                <w:numId w:val="32"/>
              </w:numPr>
              <w:tabs>
                <w:tab w:val="left" w:pos="564"/>
              </w:tabs>
              <w:ind w:left="281" w:firstLine="0"/>
              <w:rPr>
                <w:rFonts w:ascii="Times New Roman" w:eastAsia="Calibri" w:hAnsi="Times New Roman" w:cs="Times New Roman"/>
              </w:rPr>
            </w:pPr>
            <w:r w:rsidRPr="00A17214">
              <w:rPr>
                <w:rFonts w:ascii="Times New Roman" w:eastAsia="Calibri" w:hAnsi="Times New Roman" w:cs="Times New Roman"/>
                <w:b/>
              </w:rPr>
              <w:t xml:space="preserve">etp.zakazrf.ru/ </w:t>
            </w:r>
            <w:r w:rsidRPr="00A17214">
              <w:rPr>
                <w:rFonts w:ascii="Times New Roman" w:eastAsia="Calibri" w:hAnsi="Times New Roman" w:cs="Times New Roman"/>
              </w:rPr>
              <w:t>Акционерное общество "Агентство по государственному заказу Республики Татарстан";</w:t>
            </w:r>
          </w:p>
          <w:p w:rsidR="000673F8" w:rsidRPr="00A17214" w:rsidRDefault="000673F8" w:rsidP="00A17214">
            <w:pPr>
              <w:pStyle w:val="ab"/>
              <w:numPr>
                <w:ilvl w:val="0"/>
                <w:numId w:val="32"/>
              </w:numPr>
              <w:tabs>
                <w:tab w:val="left" w:pos="564"/>
              </w:tabs>
              <w:ind w:left="281" w:firstLine="0"/>
              <w:rPr>
                <w:rFonts w:ascii="Times New Roman" w:eastAsia="Calibri" w:hAnsi="Times New Roman" w:cs="Times New Roman"/>
              </w:rPr>
            </w:pPr>
            <w:r w:rsidRPr="00A17214">
              <w:rPr>
                <w:rFonts w:ascii="Times New Roman" w:eastAsia="Calibri" w:hAnsi="Times New Roman" w:cs="Times New Roman"/>
                <w:b/>
              </w:rPr>
              <w:t xml:space="preserve">roseltorg.ru/ </w:t>
            </w:r>
            <w:r w:rsidRPr="00A17214">
              <w:rPr>
                <w:rFonts w:ascii="Times New Roman" w:eastAsia="Calibri" w:hAnsi="Times New Roman" w:cs="Times New Roman"/>
              </w:rPr>
              <w:t>Акционерное общество "Единая электронная торговая площадка";</w:t>
            </w:r>
          </w:p>
          <w:p w:rsidR="000673F8" w:rsidRDefault="000673F8" w:rsidP="0003258A">
            <w:pPr>
              <w:numPr>
                <w:ilvl w:val="0"/>
                <w:numId w:val="7"/>
              </w:numPr>
              <w:tabs>
                <w:tab w:val="left" w:pos="540"/>
              </w:tabs>
              <w:autoSpaceDE w:val="0"/>
              <w:autoSpaceDN w:val="0"/>
              <w:adjustRightInd w:val="0"/>
              <w:spacing w:before="200"/>
              <w:ind w:left="539"/>
              <w:jc w:val="both"/>
              <w:rPr>
                <w:rFonts w:eastAsia="Calibri"/>
              </w:rPr>
            </w:pPr>
            <w:r w:rsidRPr="000673F8">
              <w:rPr>
                <w:rFonts w:eastAsia="Calibri"/>
                <w:b/>
              </w:rPr>
              <w:t>gz.lot-online.ru</w:t>
            </w:r>
            <w:r>
              <w:rPr>
                <w:rFonts w:eastAsia="Calibri"/>
              </w:rPr>
              <w:t>/ Акционерное общество "Российский аукционный дом";</w:t>
            </w:r>
          </w:p>
          <w:p w:rsidR="000673F8" w:rsidRDefault="000673F8" w:rsidP="0003258A">
            <w:pPr>
              <w:numPr>
                <w:ilvl w:val="0"/>
                <w:numId w:val="7"/>
              </w:numPr>
              <w:tabs>
                <w:tab w:val="left" w:pos="540"/>
              </w:tabs>
              <w:autoSpaceDE w:val="0"/>
              <w:autoSpaceDN w:val="0"/>
              <w:adjustRightInd w:val="0"/>
              <w:spacing w:before="200"/>
              <w:ind w:left="539"/>
              <w:jc w:val="both"/>
              <w:rPr>
                <w:rFonts w:eastAsia="Calibri"/>
              </w:rPr>
            </w:pPr>
            <w:r w:rsidRPr="000673F8">
              <w:rPr>
                <w:rFonts w:eastAsia="Calibri"/>
                <w:b/>
              </w:rPr>
              <w:t>tektorg.ru</w:t>
            </w:r>
            <w:r>
              <w:rPr>
                <w:rFonts w:eastAsia="Calibri"/>
              </w:rPr>
              <w:t>/ Акционерное общество "ТЭК - Торг";</w:t>
            </w:r>
          </w:p>
          <w:p w:rsidR="000673F8" w:rsidRDefault="000673F8" w:rsidP="0003258A">
            <w:pPr>
              <w:numPr>
                <w:ilvl w:val="0"/>
                <w:numId w:val="7"/>
              </w:numPr>
              <w:tabs>
                <w:tab w:val="left" w:pos="540"/>
              </w:tabs>
              <w:autoSpaceDE w:val="0"/>
              <w:autoSpaceDN w:val="0"/>
              <w:adjustRightInd w:val="0"/>
              <w:spacing w:before="200"/>
              <w:ind w:left="539"/>
              <w:jc w:val="both"/>
              <w:rPr>
                <w:rFonts w:eastAsia="Calibri"/>
              </w:rPr>
            </w:pPr>
            <w:r w:rsidRPr="000673F8">
              <w:rPr>
                <w:rFonts w:eastAsia="Calibri"/>
                <w:b/>
              </w:rPr>
              <w:t>etp-ets.ru</w:t>
            </w:r>
            <w:r>
              <w:rPr>
                <w:rFonts w:eastAsia="Calibri"/>
              </w:rPr>
              <w:t>/ Акционерное общество "Электронные торговые системы";</w:t>
            </w:r>
          </w:p>
          <w:p w:rsidR="000673F8" w:rsidRDefault="000673F8" w:rsidP="00A17214">
            <w:pPr>
              <w:numPr>
                <w:ilvl w:val="0"/>
                <w:numId w:val="7"/>
              </w:numPr>
              <w:tabs>
                <w:tab w:val="left" w:pos="540"/>
              </w:tabs>
              <w:autoSpaceDE w:val="0"/>
              <w:autoSpaceDN w:val="0"/>
              <w:adjustRightInd w:val="0"/>
              <w:spacing w:before="120"/>
              <w:ind w:left="539"/>
              <w:jc w:val="both"/>
              <w:rPr>
                <w:rFonts w:eastAsia="Calibri"/>
              </w:rPr>
            </w:pPr>
            <w:r w:rsidRPr="000673F8">
              <w:rPr>
                <w:rFonts w:eastAsia="Calibri"/>
                <w:b/>
              </w:rPr>
              <w:t>sberbank-ast.ru</w:t>
            </w:r>
            <w:r>
              <w:rPr>
                <w:rFonts w:eastAsia="Calibri"/>
              </w:rPr>
              <w:t>/ Акционерное общество "Сбербанк - Автоматизированная система торгов";</w:t>
            </w:r>
          </w:p>
          <w:p w:rsidR="000673F8" w:rsidRDefault="000673F8" w:rsidP="00A17214">
            <w:pPr>
              <w:numPr>
                <w:ilvl w:val="0"/>
                <w:numId w:val="7"/>
              </w:numPr>
              <w:tabs>
                <w:tab w:val="left" w:pos="540"/>
              </w:tabs>
              <w:autoSpaceDE w:val="0"/>
              <w:autoSpaceDN w:val="0"/>
              <w:adjustRightInd w:val="0"/>
              <w:spacing w:before="120"/>
              <w:ind w:left="539"/>
              <w:jc w:val="both"/>
              <w:rPr>
                <w:rFonts w:eastAsia="Calibri"/>
              </w:rPr>
            </w:pPr>
            <w:r w:rsidRPr="000673F8">
              <w:rPr>
                <w:rFonts w:eastAsia="Calibri"/>
                <w:b/>
              </w:rPr>
              <w:t>rts-tender.ru</w:t>
            </w:r>
            <w:r>
              <w:rPr>
                <w:rFonts w:eastAsia="Calibri"/>
              </w:rPr>
              <w:t>/ Общество с ограниченной ответственностью "РТС - тендер";</w:t>
            </w:r>
          </w:p>
          <w:p w:rsidR="000673F8" w:rsidRDefault="000673F8" w:rsidP="0003258A">
            <w:pPr>
              <w:numPr>
                <w:ilvl w:val="0"/>
                <w:numId w:val="7"/>
              </w:numPr>
              <w:tabs>
                <w:tab w:val="left" w:pos="540"/>
              </w:tabs>
              <w:autoSpaceDE w:val="0"/>
              <w:autoSpaceDN w:val="0"/>
              <w:adjustRightInd w:val="0"/>
              <w:spacing w:before="200"/>
              <w:ind w:left="539"/>
              <w:jc w:val="both"/>
              <w:rPr>
                <w:rFonts w:eastAsia="Calibri"/>
              </w:rPr>
            </w:pPr>
            <w:r w:rsidRPr="000673F8">
              <w:rPr>
                <w:rFonts w:eastAsia="Calibri"/>
                <w:b/>
              </w:rPr>
              <w:t>etpgpb.ru</w:t>
            </w:r>
            <w:r>
              <w:rPr>
                <w:rFonts w:eastAsia="Calibri"/>
              </w:rPr>
              <w:t>/ Общество с ограниченной ответственностью "Электронная торговая площадка ГПБ".</w:t>
            </w:r>
          </w:p>
        </w:tc>
      </w:tr>
    </w:tbl>
    <w:p w:rsidR="000673F8" w:rsidRDefault="000673F8" w:rsidP="0003258A">
      <w:pPr>
        <w:autoSpaceDE w:val="0"/>
        <w:autoSpaceDN w:val="0"/>
        <w:adjustRightInd w:val="0"/>
        <w:spacing w:line="120" w:lineRule="auto"/>
        <w:jc w:val="both"/>
        <w:outlineLvl w:val="0"/>
        <w:rPr>
          <w:rFonts w:eastAsia="Calibri"/>
        </w:rPr>
      </w:pPr>
    </w:p>
    <w:p w:rsidR="00882580" w:rsidRDefault="00C045F2" w:rsidP="00882580">
      <w:pPr>
        <w:autoSpaceDE w:val="0"/>
        <w:autoSpaceDN w:val="0"/>
        <w:adjustRightInd w:val="0"/>
        <w:jc w:val="both"/>
        <w:rPr>
          <w:rFonts w:eastAsia="Calibri"/>
        </w:rPr>
      </w:pPr>
      <w:r>
        <w:rPr>
          <w:rFonts w:eastAsia="Calibri"/>
          <w:b/>
          <w:bCs/>
        </w:rPr>
        <w:t xml:space="preserve">     </w:t>
      </w:r>
      <w:r w:rsidR="00882580">
        <w:rPr>
          <w:rFonts w:eastAsia="Calibri"/>
          <w:b/>
          <w:bCs/>
        </w:rPr>
        <w:t>Для закрытых конкурсов и аукционов</w:t>
      </w:r>
      <w:r w:rsidR="00882580">
        <w:rPr>
          <w:rFonts w:eastAsia="Calibri"/>
        </w:rPr>
        <w:t xml:space="preserve"> </w:t>
      </w:r>
      <w:hyperlink r:id="rId101" w:history="1">
        <w:r w:rsidR="00882580" w:rsidRPr="00882580">
          <w:rPr>
            <w:rFonts w:eastAsia="Calibri"/>
          </w:rPr>
          <w:t>Перечень</w:t>
        </w:r>
      </w:hyperlink>
      <w:r w:rsidR="00882580" w:rsidRPr="00882580">
        <w:rPr>
          <w:rFonts w:eastAsia="Calibri"/>
        </w:rPr>
        <w:t xml:space="preserve"> </w:t>
      </w:r>
      <w:r w:rsidR="00882580">
        <w:rPr>
          <w:rFonts w:eastAsia="Calibri"/>
        </w:rPr>
        <w:t xml:space="preserve">операторов специализированных электронных площадок также утвержден Распоряжением Правительства РФ от 12.07.2018 N 1447-р. Так, в него </w:t>
      </w:r>
      <w:proofErr w:type="gramStart"/>
      <w:r w:rsidR="00882580">
        <w:rPr>
          <w:rFonts w:eastAsia="Calibri"/>
        </w:rPr>
        <w:t>включены</w:t>
      </w:r>
      <w:proofErr w:type="gramEnd"/>
      <w:r w:rsidR="00882580">
        <w:rPr>
          <w:rFonts w:eastAsia="Calibri"/>
        </w:rPr>
        <w:t>:</w:t>
      </w:r>
    </w:p>
    <w:p w:rsidR="00882580" w:rsidRDefault="00882580" w:rsidP="00A02812">
      <w:pPr>
        <w:numPr>
          <w:ilvl w:val="0"/>
          <w:numId w:val="7"/>
        </w:numPr>
        <w:tabs>
          <w:tab w:val="clear" w:pos="540"/>
          <w:tab w:val="left" w:pos="0"/>
          <w:tab w:val="left" w:pos="567"/>
        </w:tabs>
        <w:autoSpaceDE w:val="0"/>
        <w:autoSpaceDN w:val="0"/>
        <w:adjustRightInd w:val="0"/>
        <w:ind w:left="0" w:firstLine="284"/>
        <w:jc w:val="both"/>
        <w:rPr>
          <w:rFonts w:eastAsia="Calibri"/>
        </w:rPr>
      </w:pPr>
      <w:r>
        <w:rPr>
          <w:rFonts w:eastAsia="Calibri"/>
        </w:rPr>
        <w:t xml:space="preserve">Общество с ограниченной ответственностью "Автоматизированная система торгов государственного оборонного заказа" </w:t>
      </w:r>
      <w:r w:rsidRPr="00882580">
        <w:rPr>
          <w:rFonts w:eastAsia="Calibri"/>
          <w:b/>
        </w:rPr>
        <w:t>(astgoz.ru/);</w:t>
      </w:r>
    </w:p>
    <w:p w:rsidR="00882580" w:rsidRDefault="00882580" w:rsidP="00163F8A">
      <w:pPr>
        <w:numPr>
          <w:ilvl w:val="0"/>
          <w:numId w:val="7"/>
        </w:numPr>
        <w:tabs>
          <w:tab w:val="clear" w:pos="540"/>
          <w:tab w:val="left" w:pos="567"/>
        </w:tabs>
        <w:autoSpaceDE w:val="0"/>
        <w:autoSpaceDN w:val="0"/>
        <w:adjustRightInd w:val="0"/>
        <w:ind w:left="0" w:firstLine="312"/>
        <w:jc w:val="both"/>
        <w:rPr>
          <w:rFonts w:eastAsia="Calibri"/>
        </w:rPr>
      </w:pPr>
      <w:r>
        <w:rPr>
          <w:rFonts w:eastAsia="Calibri"/>
        </w:rPr>
        <w:t xml:space="preserve">Общество с ограниченной ответственностью "Электронная торговая площадка ГПБ" </w:t>
      </w:r>
      <w:r w:rsidRPr="00882580">
        <w:rPr>
          <w:rFonts w:eastAsia="Calibri"/>
          <w:b/>
        </w:rPr>
        <w:t>(etpgpb.ru/);</w:t>
      </w:r>
    </w:p>
    <w:p w:rsidR="00882580" w:rsidRDefault="00882580" w:rsidP="00882580">
      <w:pPr>
        <w:numPr>
          <w:ilvl w:val="0"/>
          <w:numId w:val="7"/>
        </w:numPr>
        <w:tabs>
          <w:tab w:val="left" w:pos="540"/>
        </w:tabs>
        <w:autoSpaceDE w:val="0"/>
        <w:autoSpaceDN w:val="0"/>
        <w:adjustRightInd w:val="0"/>
        <w:ind w:left="539"/>
        <w:jc w:val="both"/>
        <w:rPr>
          <w:rFonts w:eastAsia="Calibri"/>
        </w:rPr>
      </w:pPr>
      <w:r>
        <w:rPr>
          <w:rFonts w:eastAsia="Calibri"/>
        </w:rPr>
        <w:t xml:space="preserve">Общество с ограниченной ответственностью "ЭТП" </w:t>
      </w:r>
      <w:r w:rsidRPr="00882580">
        <w:rPr>
          <w:rFonts w:eastAsia="Calibri"/>
          <w:b/>
        </w:rPr>
        <w:t>(etprf.ru/).</w:t>
      </w:r>
    </w:p>
    <w:p w:rsidR="00AB04D5" w:rsidRPr="003700F0" w:rsidRDefault="00AB04D5" w:rsidP="00AB04D5">
      <w:pPr>
        <w:pStyle w:val="ad"/>
        <w:spacing w:before="0" w:beforeAutospacing="0" w:after="0" w:afterAutospacing="0"/>
        <w:ind w:firstLine="426"/>
        <w:jc w:val="both"/>
      </w:pPr>
      <w:r w:rsidRPr="003700F0">
        <w:t xml:space="preserve">Заказчик может выбрать любую </w:t>
      </w:r>
      <w:r>
        <w:t xml:space="preserve">из восьми </w:t>
      </w:r>
      <w:r w:rsidRPr="003700F0">
        <w:t>площад</w:t>
      </w:r>
      <w:r>
        <w:t xml:space="preserve">ок </w:t>
      </w:r>
      <w:r w:rsidRPr="003700F0">
        <w:t xml:space="preserve"> для размещения закупки</w:t>
      </w:r>
      <w:r>
        <w:t>.</w:t>
      </w:r>
      <w:r w:rsidRPr="003700F0">
        <w:t xml:space="preserve"> Чтобы привлечь на свою площадку больше заказчиков каждый оператор электронной площадки не только совершенствует сервис по проведению электронных процедур, но и предлагает ряд дополнительных опций и услуг заказчикам (например, сервис проверки контрагента, </w:t>
      </w:r>
      <w:r w:rsidRPr="003700F0">
        <w:lastRenderedPageBreak/>
        <w:t>помощь в расчете обоснования начальной (максимальной) цены контракта, проверка документации на актуальность стандартов и норм, обучение и т.д.)</w:t>
      </w:r>
      <w:proofErr w:type="gramStart"/>
      <w:r>
        <w:t xml:space="preserve"> </w:t>
      </w:r>
      <w:r w:rsidRPr="003700F0">
        <w:t>.</w:t>
      </w:r>
      <w:proofErr w:type="gramEnd"/>
    </w:p>
    <w:p w:rsidR="00AB04D5" w:rsidRDefault="00AB04D5" w:rsidP="00AB04D5">
      <w:pPr>
        <w:pStyle w:val="ad"/>
        <w:spacing w:before="0" w:beforeAutospacing="0" w:after="0" w:afterAutospacing="0"/>
        <w:ind w:firstLine="426"/>
        <w:jc w:val="both"/>
      </w:pPr>
      <w:r w:rsidRPr="003700F0">
        <w:t xml:space="preserve">При выборе электронной площадки заказчику целесообразно ознакомиться со всем спектром дополнительных возможностей, которые предоставляет оператор электронной площадки. В зависимости от того, какой функционал электронной площадки более удобен заказчику, заказчик может проводить разные процедуры на разных электронных площадках. </w:t>
      </w:r>
    </w:p>
    <w:p w:rsidR="00514372" w:rsidRPr="00433D37" w:rsidRDefault="00AB04D5" w:rsidP="008B786A">
      <w:pPr>
        <w:autoSpaceDE w:val="0"/>
        <w:autoSpaceDN w:val="0"/>
        <w:adjustRightInd w:val="0"/>
        <w:spacing w:after="120" w:line="300" w:lineRule="exact"/>
        <w:ind w:firstLine="425"/>
        <w:jc w:val="both"/>
        <w:outlineLvl w:val="0"/>
        <w:rPr>
          <w:rFonts w:eastAsia="Calibri"/>
          <w:b/>
          <w:bCs/>
        </w:rPr>
      </w:pPr>
      <w:r w:rsidRPr="00AB04D5">
        <w:rPr>
          <w:rFonts w:eastAsia="Calibri"/>
          <w:bCs/>
        </w:rPr>
        <w:t>В совокупности на указанных выше площадках</w:t>
      </w:r>
      <w:r w:rsidR="00FC161E">
        <w:rPr>
          <w:rFonts w:eastAsia="Calibri"/>
          <w:bCs/>
        </w:rPr>
        <w:t xml:space="preserve"> городскими и сельскими </w:t>
      </w:r>
      <w:r w:rsidRPr="00AB04D5">
        <w:rPr>
          <w:rFonts w:eastAsia="Calibri"/>
          <w:bCs/>
        </w:rPr>
        <w:t xml:space="preserve"> поселениями </w:t>
      </w:r>
      <w:proofErr w:type="spellStart"/>
      <w:r w:rsidRPr="00AB04D5">
        <w:rPr>
          <w:rFonts w:eastAsia="Calibri"/>
          <w:bCs/>
        </w:rPr>
        <w:t>Приозерский</w:t>
      </w:r>
      <w:proofErr w:type="spellEnd"/>
      <w:r w:rsidRPr="00AB04D5">
        <w:rPr>
          <w:rFonts w:eastAsia="Calibri"/>
          <w:bCs/>
        </w:rPr>
        <w:t xml:space="preserve"> муниципальный район</w:t>
      </w:r>
      <w:r>
        <w:rPr>
          <w:rFonts w:eastAsia="Calibri"/>
          <w:bCs/>
        </w:rPr>
        <w:t xml:space="preserve"> в 20</w:t>
      </w:r>
      <w:r w:rsidR="00756248">
        <w:rPr>
          <w:rFonts w:eastAsia="Calibri"/>
          <w:bCs/>
        </w:rPr>
        <w:t>22</w:t>
      </w:r>
      <w:r>
        <w:rPr>
          <w:rFonts w:eastAsia="Calibri"/>
          <w:bCs/>
        </w:rPr>
        <w:t xml:space="preserve"> году было размещено  </w:t>
      </w:r>
      <w:r w:rsidR="009B28FA" w:rsidRPr="009B28FA">
        <w:rPr>
          <w:rFonts w:eastAsia="Calibri"/>
          <w:b/>
          <w:bCs/>
        </w:rPr>
        <w:t>1</w:t>
      </w:r>
      <w:r w:rsidR="00D50444">
        <w:rPr>
          <w:rFonts w:eastAsia="Calibri"/>
          <w:b/>
          <w:bCs/>
        </w:rPr>
        <w:t>67</w:t>
      </w:r>
      <w:r w:rsidR="003335F3" w:rsidRPr="009B28FA">
        <w:rPr>
          <w:rFonts w:eastAsia="Calibri"/>
          <w:b/>
          <w:bCs/>
        </w:rPr>
        <w:t xml:space="preserve"> </w:t>
      </w:r>
      <w:r w:rsidRPr="009B28FA">
        <w:rPr>
          <w:rFonts w:eastAsia="Calibri"/>
          <w:b/>
          <w:bCs/>
        </w:rPr>
        <w:t>извещений</w:t>
      </w:r>
      <w:r>
        <w:rPr>
          <w:rFonts w:eastAsia="Calibri"/>
          <w:bCs/>
        </w:rPr>
        <w:t xml:space="preserve"> на общую сумму  </w:t>
      </w:r>
      <w:r w:rsidR="00D50444">
        <w:rPr>
          <w:rFonts w:eastAsia="Calibri"/>
          <w:b/>
          <w:bCs/>
        </w:rPr>
        <w:t>652 605,</w:t>
      </w:r>
      <w:r w:rsidR="00756248">
        <w:rPr>
          <w:rFonts w:eastAsia="Calibri"/>
          <w:b/>
          <w:bCs/>
        </w:rPr>
        <w:t>3</w:t>
      </w:r>
      <w:r w:rsidR="003335F3" w:rsidRPr="00FC161E">
        <w:rPr>
          <w:rFonts w:eastAsia="Calibri"/>
          <w:b/>
          <w:bCs/>
        </w:rPr>
        <w:t xml:space="preserve"> тыс.</w:t>
      </w:r>
      <w:r w:rsidR="003335F3" w:rsidRPr="009B28FA">
        <w:rPr>
          <w:rFonts w:eastAsia="Calibri"/>
          <w:b/>
          <w:bCs/>
        </w:rPr>
        <w:t xml:space="preserve"> руб</w:t>
      </w:r>
      <w:r w:rsidR="003335F3">
        <w:rPr>
          <w:rFonts w:eastAsia="Calibri"/>
          <w:bCs/>
        </w:rPr>
        <w:t>.</w:t>
      </w:r>
      <w:r>
        <w:rPr>
          <w:rFonts w:eastAsia="Calibri"/>
          <w:bCs/>
        </w:rPr>
        <w:t xml:space="preserve">  при объеме заключенных контрактов  </w:t>
      </w:r>
      <w:r w:rsidR="00D50444">
        <w:rPr>
          <w:rFonts w:eastAsia="Calibri"/>
          <w:b/>
          <w:bCs/>
        </w:rPr>
        <w:t>563 766,9</w:t>
      </w:r>
      <w:r w:rsidRPr="0001440E">
        <w:rPr>
          <w:rFonts w:eastAsia="Calibri"/>
          <w:b/>
          <w:bCs/>
        </w:rPr>
        <w:t xml:space="preserve"> тыс</w:t>
      </w:r>
      <w:r w:rsidRPr="009B28FA">
        <w:rPr>
          <w:rFonts w:eastAsia="Calibri"/>
          <w:b/>
          <w:bCs/>
        </w:rPr>
        <w:t>.</w:t>
      </w:r>
      <w:r w:rsidRPr="00433D37">
        <w:rPr>
          <w:rFonts w:eastAsia="Calibri"/>
          <w:b/>
          <w:bCs/>
        </w:rPr>
        <w:t xml:space="preserve"> руб.</w:t>
      </w:r>
    </w:p>
    <w:p w:rsidR="00DD3A31" w:rsidRPr="009214A9" w:rsidRDefault="00DD3A31" w:rsidP="00AB04D5">
      <w:pPr>
        <w:autoSpaceDE w:val="0"/>
        <w:autoSpaceDN w:val="0"/>
        <w:adjustRightInd w:val="0"/>
        <w:ind w:firstLine="426"/>
        <w:jc w:val="center"/>
        <w:rPr>
          <w:rFonts w:eastAsia="Calibri"/>
          <w:color w:val="000000"/>
          <w:sz w:val="28"/>
          <w:szCs w:val="28"/>
        </w:rPr>
      </w:pPr>
      <w:r w:rsidRPr="00590927">
        <w:rPr>
          <w:rFonts w:eastAsia="Calibri"/>
          <w:i/>
          <w:color w:val="000000"/>
        </w:rPr>
        <w:t xml:space="preserve">Количество и стоимостной объем размещенных извещений о закупках в электронной форме в разрезе </w:t>
      </w:r>
      <w:r>
        <w:rPr>
          <w:rFonts w:eastAsia="Calibri"/>
          <w:i/>
          <w:color w:val="000000"/>
        </w:rPr>
        <w:t xml:space="preserve">электронных площадок </w:t>
      </w:r>
      <w:proofErr w:type="gramStart"/>
      <w:r>
        <w:rPr>
          <w:rFonts w:eastAsia="Calibri"/>
          <w:i/>
          <w:color w:val="000000"/>
        </w:rPr>
        <w:t>приведен</w:t>
      </w:r>
      <w:r w:rsidR="007E5C0B">
        <w:rPr>
          <w:rFonts w:eastAsia="Calibri"/>
          <w:i/>
          <w:color w:val="000000"/>
        </w:rPr>
        <w:t>ы</w:t>
      </w:r>
      <w:proofErr w:type="gramEnd"/>
      <w:r>
        <w:rPr>
          <w:rFonts w:eastAsia="Calibri"/>
          <w:i/>
          <w:color w:val="000000"/>
        </w:rPr>
        <w:t xml:space="preserve"> в таблице</w:t>
      </w:r>
      <w:r w:rsidR="007E5C0B">
        <w:rPr>
          <w:rFonts w:eastAsia="Calibri"/>
          <w:i/>
          <w:color w:val="000000"/>
        </w:rPr>
        <w:t xml:space="preserve"> 9</w:t>
      </w:r>
    </w:p>
    <w:p w:rsidR="007E5C0B" w:rsidRPr="00315346" w:rsidRDefault="007E5C0B" w:rsidP="0068381D">
      <w:pPr>
        <w:rPr>
          <w:b/>
          <w:sz w:val="20"/>
          <w:szCs w:val="20"/>
        </w:rPr>
      </w:pPr>
      <w:r>
        <w:rPr>
          <w:b/>
          <w:sz w:val="20"/>
          <w:szCs w:val="20"/>
        </w:rPr>
        <w:t>Таблица 9</w:t>
      </w:r>
      <w:r w:rsidR="0068381D">
        <w:rPr>
          <w:b/>
          <w:sz w:val="20"/>
          <w:szCs w:val="20"/>
        </w:rPr>
        <w:t xml:space="preserve">                                                                                                                                                        тыс. руб.</w:t>
      </w:r>
    </w:p>
    <w:tbl>
      <w:tblPr>
        <w:tblpPr w:leftFromText="180" w:rightFromText="180" w:vertAnchor="text" w:horzAnchor="margin" w:tblpXSpec="center" w:tblpY="254"/>
        <w:tblW w:w="9301" w:type="dxa"/>
        <w:tblLayout w:type="fixed"/>
        <w:tblLook w:val="00A0" w:firstRow="1" w:lastRow="0" w:firstColumn="1" w:lastColumn="0" w:noHBand="0" w:noVBand="0"/>
      </w:tblPr>
      <w:tblGrid>
        <w:gridCol w:w="312"/>
        <w:gridCol w:w="4252"/>
        <w:gridCol w:w="1276"/>
        <w:gridCol w:w="992"/>
        <w:gridCol w:w="1560"/>
        <w:gridCol w:w="909"/>
      </w:tblGrid>
      <w:tr w:rsidR="00E47F4A" w:rsidRPr="00C80AAE" w:rsidTr="00D50444">
        <w:trPr>
          <w:trHeight w:val="253"/>
          <w:tblHeader/>
        </w:trPr>
        <w:tc>
          <w:tcPr>
            <w:tcW w:w="312" w:type="dxa"/>
            <w:vMerge w:val="restart"/>
            <w:tcBorders>
              <w:top w:val="single" w:sz="8" w:space="0" w:color="auto"/>
              <w:left w:val="single" w:sz="8" w:space="0" w:color="auto"/>
              <w:bottom w:val="single" w:sz="8" w:space="0" w:color="000000"/>
              <w:right w:val="single" w:sz="4" w:space="0" w:color="auto"/>
            </w:tcBorders>
            <w:shd w:val="clear" w:color="auto" w:fill="EEECE1" w:themeFill="background2"/>
            <w:tcMar>
              <w:top w:w="0" w:type="dxa"/>
              <w:left w:w="28" w:type="dxa"/>
              <w:bottom w:w="0" w:type="dxa"/>
              <w:right w:w="28" w:type="dxa"/>
            </w:tcMar>
          </w:tcPr>
          <w:p w:rsidR="007E5C0B" w:rsidRDefault="007E5C0B" w:rsidP="007E5C0B">
            <w:pPr>
              <w:pStyle w:val="Default"/>
              <w:ind w:left="66" w:firstLine="34"/>
              <w:jc w:val="center"/>
              <w:rPr>
                <w:rFonts w:ascii="Times New Roman" w:hAnsi="Times New Roman" w:cs="Times New Roman"/>
                <w:b/>
                <w:bCs/>
                <w:sz w:val="20"/>
                <w:szCs w:val="20"/>
              </w:rPr>
            </w:pPr>
          </w:p>
          <w:p w:rsidR="007E5C0B" w:rsidRPr="007708C9" w:rsidRDefault="007E5C0B" w:rsidP="007E5C0B">
            <w:pPr>
              <w:pStyle w:val="Default"/>
              <w:jc w:val="center"/>
              <w:rPr>
                <w:rFonts w:ascii="Times New Roman" w:eastAsia="Times New Roman" w:hAnsi="Times New Roman" w:cs="Times New Roman"/>
                <w:color w:val="auto"/>
                <w:sz w:val="16"/>
                <w:szCs w:val="16"/>
              </w:rPr>
            </w:pPr>
            <w:r w:rsidRPr="007708C9">
              <w:rPr>
                <w:rFonts w:ascii="Times New Roman" w:hAnsi="Times New Roman" w:cs="Times New Roman"/>
                <w:b/>
                <w:bCs/>
                <w:sz w:val="16"/>
                <w:szCs w:val="16"/>
              </w:rPr>
              <w:t>№</w:t>
            </w:r>
            <w:r>
              <w:rPr>
                <w:rFonts w:ascii="Times New Roman" w:hAnsi="Times New Roman" w:cs="Times New Roman"/>
                <w:b/>
                <w:bCs/>
                <w:sz w:val="16"/>
                <w:szCs w:val="16"/>
              </w:rPr>
              <w:t xml:space="preserve"> </w:t>
            </w:r>
            <w:proofErr w:type="spellStart"/>
            <w:r w:rsidRPr="007708C9">
              <w:rPr>
                <w:rFonts w:ascii="Times New Roman" w:hAnsi="Times New Roman" w:cs="Times New Roman"/>
                <w:b/>
                <w:bCs/>
                <w:sz w:val="16"/>
                <w:szCs w:val="16"/>
              </w:rPr>
              <w:t>пп</w:t>
            </w:r>
            <w:proofErr w:type="spellEnd"/>
          </w:p>
        </w:tc>
        <w:tc>
          <w:tcPr>
            <w:tcW w:w="4252" w:type="dxa"/>
            <w:vMerge w:val="restart"/>
            <w:tcBorders>
              <w:top w:val="single" w:sz="4" w:space="0" w:color="auto"/>
              <w:left w:val="single" w:sz="4" w:space="0" w:color="auto"/>
              <w:bottom w:val="single" w:sz="8" w:space="0" w:color="000000"/>
              <w:right w:val="single" w:sz="4" w:space="0" w:color="auto"/>
            </w:tcBorders>
            <w:shd w:val="clear" w:color="auto" w:fill="EEECE1" w:themeFill="background2"/>
          </w:tcPr>
          <w:p w:rsidR="007E5C0B" w:rsidRPr="00CF50CA" w:rsidRDefault="007E5C0B" w:rsidP="007E5C0B">
            <w:pPr>
              <w:pStyle w:val="Default"/>
              <w:jc w:val="center"/>
              <w:rPr>
                <w:rFonts w:ascii="Times New Roman" w:eastAsia="Times New Roman" w:hAnsi="Times New Roman" w:cs="Times New Roman"/>
                <w:color w:val="auto"/>
                <w:sz w:val="18"/>
                <w:szCs w:val="18"/>
              </w:rPr>
            </w:pPr>
            <w:r>
              <w:rPr>
                <w:rFonts w:ascii="Times New Roman" w:hAnsi="Times New Roman" w:cs="Times New Roman"/>
                <w:b/>
                <w:bCs/>
                <w:sz w:val="18"/>
                <w:szCs w:val="18"/>
              </w:rPr>
              <w:t>Перечень операторов электронных площадок</w:t>
            </w:r>
          </w:p>
        </w:tc>
        <w:tc>
          <w:tcPr>
            <w:tcW w:w="1276" w:type="dxa"/>
            <w:vMerge w:val="restart"/>
            <w:tcBorders>
              <w:top w:val="single" w:sz="8" w:space="0" w:color="auto"/>
              <w:left w:val="nil"/>
              <w:right w:val="single" w:sz="4" w:space="0" w:color="auto"/>
            </w:tcBorders>
            <w:shd w:val="clear" w:color="auto" w:fill="EEECE1" w:themeFill="background2"/>
            <w:tcMar>
              <w:top w:w="0" w:type="dxa"/>
              <w:left w:w="28" w:type="dxa"/>
              <w:bottom w:w="0" w:type="dxa"/>
              <w:right w:w="28" w:type="dxa"/>
            </w:tcMar>
          </w:tcPr>
          <w:p w:rsidR="007E5C0B" w:rsidRPr="00CF50CA" w:rsidRDefault="00BB5C05" w:rsidP="00BB5C05">
            <w:pPr>
              <w:jc w:val="center"/>
              <w:rPr>
                <w:rFonts w:eastAsia="Calibri"/>
                <w:b/>
                <w:bCs/>
                <w:color w:val="000000"/>
                <w:sz w:val="18"/>
                <w:szCs w:val="18"/>
              </w:rPr>
            </w:pPr>
            <w:r>
              <w:rPr>
                <w:rFonts w:eastAsia="Calibri"/>
                <w:b/>
                <w:bCs/>
                <w:color w:val="000000"/>
                <w:sz w:val="18"/>
                <w:szCs w:val="18"/>
              </w:rPr>
              <w:t xml:space="preserve">Общий объем извещений      тыс. руб. </w:t>
            </w:r>
          </w:p>
        </w:tc>
        <w:tc>
          <w:tcPr>
            <w:tcW w:w="992" w:type="dxa"/>
            <w:vMerge w:val="restart"/>
            <w:tcBorders>
              <w:top w:val="single" w:sz="8" w:space="0" w:color="auto"/>
              <w:left w:val="nil"/>
              <w:right w:val="single" w:sz="4" w:space="0" w:color="auto"/>
            </w:tcBorders>
            <w:shd w:val="clear" w:color="auto" w:fill="EEECE1" w:themeFill="background2"/>
          </w:tcPr>
          <w:p w:rsidR="007E5C0B" w:rsidRDefault="007E5C0B" w:rsidP="007E5C0B">
            <w:pPr>
              <w:jc w:val="center"/>
              <w:rPr>
                <w:rFonts w:eastAsia="Calibri"/>
                <w:b/>
                <w:bCs/>
                <w:color w:val="000000"/>
                <w:sz w:val="18"/>
                <w:szCs w:val="18"/>
              </w:rPr>
            </w:pPr>
            <w:r>
              <w:rPr>
                <w:rFonts w:eastAsia="Calibri"/>
                <w:b/>
                <w:bCs/>
                <w:color w:val="000000"/>
                <w:sz w:val="18"/>
                <w:szCs w:val="18"/>
              </w:rPr>
              <w:t>Доля</w:t>
            </w:r>
          </w:p>
          <w:p w:rsidR="007E5C0B" w:rsidRPr="00CF50CA" w:rsidRDefault="007E5C0B" w:rsidP="007E5C0B">
            <w:pPr>
              <w:jc w:val="center"/>
              <w:rPr>
                <w:rFonts w:eastAsia="Calibri"/>
                <w:b/>
                <w:bCs/>
                <w:color w:val="000000"/>
                <w:sz w:val="18"/>
                <w:szCs w:val="18"/>
              </w:rPr>
            </w:pPr>
            <w:r>
              <w:rPr>
                <w:rFonts w:eastAsia="Calibri"/>
                <w:b/>
                <w:bCs/>
                <w:color w:val="000000"/>
                <w:sz w:val="18"/>
                <w:szCs w:val="18"/>
              </w:rPr>
              <w:t>%</w:t>
            </w:r>
          </w:p>
        </w:tc>
        <w:tc>
          <w:tcPr>
            <w:tcW w:w="1560" w:type="dxa"/>
            <w:vMerge w:val="restart"/>
            <w:tcBorders>
              <w:top w:val="single" w:sz="8" w:space="0" w:color="auto"/>
              <w:left w:val="nil"/>
              <w:right w:val="single" w:sz="4" w:space="0" w:color="auto"/>
            </w:tcBorders>
            <w:shd w:val="clear" w:color="auto" w:fill="EEECE1" w:themeFill="background2"/>
          </w:tcPr>
          <w:p w:rsidR="007E5C0B" w:rsidRPr="00CF50CA" w:rsidRDefault="00BB5C05" w:rsidP="007E5C0B">
            <w:pPr>
              <w:jc w:val="center"/>
              <w:rPr>
                <w:rFonts w:eastAsia="Calibri"/>
                <w:b/>
                <w:bCs/>
                <w:color w:val="000000"/>
                <w:sz w:val="18"/>
                <w:szCs w:val="18"/>
              </w:rPr>
            </w:pPr>
            <w:r>
              <w:rPr>
                <w:rFonts w:eastAsia="Calibri"/>
                <w:b/>
                <w:bCs/>
                <w:color w:val="000000"/>
                <w:sz w:val="18"/>
                <w:szCs w:val="18"/>
              </w:rPr>
              <w:t>Общее количество извещений</w:t>
            </w:r>
            <w:r w:rsidRPr="00CF50CA">
              <w:rPr>
                <w:rFonts w:eastAsia="Calibri"/>
                <w:b/>
                <w:bCs/>
                <w:color w:val="000000"/>
                <w:sz w:val="18"/>
                <w:szCs w:val="18"/>
              </w:rPr>
              <w:t xml:space="preserve">           шт.</w:t>
            </w:r>
          </w:p>
        </w:tc>
        <w:tc>
          <w:tcPr>
            <w:tcW w:w="909" w:type="dxa"/>
            <w:vMerge w:val="restart"/>
            <w:tcBorders>
              <w:top w:val="single" w:sz="8" w:space="0" w:color="auto"/>
              <w:left w:val="nil"/>
              <w:right w:val="single" w:sz="4" w:space="0" w:color="auto"/>
            </w:tcBorders>
            <w:shd w:val="clear" w:color="auto" w:fill="EEECE1" w:themeFill="background2"/>
          </w:tcPr>
          <w:p w:rsidR="007E5C0B" w:rsidRDefault="007E5C0B" w:rsidP="007E5C0B">
            <w:pPr>
              <w:jc w:val="center"/>
              <w:rPr>
                <w:rFonts w:eastAsia="Calibri"/>
                <w:b/>
                <w:bCs/>
                <w:color w:val="000000"/>
                <w:sz w:val="18"/>
                <w:szCs w:val="18"/>
              </w:rPr>
            </w:pPr>
            <w:r>
              <w:rPr>
                <w:rFonts w:eastAsia="Calibri"/>
                <w:b/>
                <w:bCs/>
                <w:color w:val="000000"/>
                <w:sz w:val="18"/>
                <w:szCs w:val="18"/>
              </w:rPr>
              <w:t>Доля</w:t>
            </w:r>
          </w:p>
          <w:p w:rsidR="007E5C0B" w:rsidRPr="00CF50CA" w:rsidRDefault="007E5C0B" w:rsidP="007E5C0B">
            <w:pPr>
              <w:jc w:val="center"/>
              <w:rPr>
                <w:rFonts w:eastAsia="Calibri"/>
                <w:b/>
                <w:bCs/>
                <w:color w:val="000000"/>
                <w:sz w:val="18"/>
                <w:szCs w:val="18"/>
              </w:rPr>
            </w:pPr>
            <w:r>
              <w:rPr>
                <w:rFonts w:eastAsia="Calibri"/>
                <w:b/>
                <w:bCs/>
                <w:color w:val="000000"/>
                <w:sz w:val="18"/>
                <w:szCs w:val="18"/>
              </w:rPr>
              <w:t>%</w:t>
            </w:r>
          </w:p>
        </w:tc>
      </w:tr>
      <w:tr w:rsidR="00E47F4A" w:rsidRPr="002B7FA2" w:rsidTr="00D50444">
        <w:trPr>
          <w:trHeight w:val="419"/>
          <w:tblHeader/>
        </w:trPr>
        <w:tc>
          <w:tcPr>
            <w:tcW w:w="312" w:type="dxa"/>
            <w:vMerge/>
            <w:tcBorders>
              <w:top w:val="single" w:sz="8" w:space="0" w:color="auto"/>
              <w:left w:val="single" w:sz="8" w:space="0" w:color="auto"/>
              <w:bottom w:val="single" w:sz="8" w:space="0" w:color="000000"/>
              <w:right w:val="single" w:sz="4" w:space="0" w:color="auto"/>
            </w:tcBorders>
            <w:shd w:val="clear" w:color="auto" w:fill="EEECE1" w:themeFill="background2"/>
            <w:vAlign w:val="center"/>
          </w:tcPr>
          <w:p w:rsidR="007E5C0B" w:rsidRPr="002B7FA2" w:rsidRDefault="007E5C0B" w:rsidP="007E5C0B">
            <w:pPr>
              <w:rPr>
                <w:b/>
                <w:bCs/>
                <w:sz w:val="18"/>
                <w:szCs w:val="20"/>
              </w:rPr>
            </w:pPr>
          </w:p>
        </w:tc>
        <w:tc>
          <w:tcPr>
            <w:tcW w:w="4252" w:type="dxa"/>
            <w:vMerge/>
            <w:tcBorders>
              <w:top w:val="single" w:sz="8" w:space="0" w:color="auto"/>
              <w:left w:val="single" w:sz="4" w:space="0" w:color="auto"/>
              <w:bottom w:val="single" w:sz="8" w:space="0" w:color="000000"/>
              <w:right w:val="single" w:sz="4" w:space="0" w:color="auto"/>
            </w:tcBorders>
            <w:shd w:val="clear" w:color="auto" w:fill="EEECE1" w:themeFill="background2"/>
            <w:vAlign w:val="center"/>
          </w:tcPr>
          <w:p w:rsidR="007E5C0B" w:rsidRPr="002B7FA2" w:rsidRDefault="007E5C0B" w:rsidP="007E5C0B">
            <w:pPr>
              <w:rPr>
                <w:b/>
                <w:bCs/>
                <w:sz w:val="18"/>
                <w:szCs w:val="20"/>
              </w:rPr>
            </w:pPr>
          </w:p>
        </w:tc>
        <w:tc>
          <w:tcPr>
            <w:tcW w:w="1276" w:type="dxa"/>
            <w:vMerge/>
            <w:tcBorders>
              <w:left w:val="nil"/>
              <w:bottom w:val="single" w:sz="8" w:space="0" w:color="auto"/>
              <w:right w:val="single" w:sz="4" w:space="0" w:color="auto"/>
            </w:tcBorders>
            <w:shd w:val="clear" w:color="auto" w:fill="EEECE1" w:themeFill="background2"/>
            <w:tcMar>
              <w:top w:w="0" w:type="dxa"/>
              <w:left w:w="28" w:type="dxa"/>
              <w:bottom w:w="0" w:type="dxa"/>
              <w:right w:w="28" w:type="dxa"/>
            </w:tcMar>
            <w:vAlign w:val="center"/>
          </w:tcPr>
          <w:p w:rsidR="007E5C0B" w:rsidRPr="002B7FA2" w:rsidRDefault="007E5C0B" w:rsidP="007E5C0B">
            <w:pPr>
              <w:jc w:val="center"/>
              <w:rPr>
                <w:b/>
                <w:bCs/>
                <w:sz w:val="18"/>
                <w:szCs w:val="20"/>
              </w:rPr>
            </w:pPr>
          </w:p>
        </w:tc>
        <w:tc>
          <w:tcPr>
            <w:tcW w:w="992" w:type="dxa"/>
            <w:vMerge/>
            <w:tcBorders>
              <w:left w:val="nil"/>
              <w:bottom w:val="single" w:sz="8" w:space="0" w:color="auto"/>
              <w:right w:val="single" w:sz="4" w:space="0" w:color="auto"/>
            </w:tcBorders>
            <w:shd w:val="clear" w:color="auto" w:fill="EEECE1" w:themeFill="background2"/>
            <w:vAlign w:val="center"/>
          </w:tcPr>
          <w:p w:rsidR="007E5C0B" w:rsidRPr="002B7FA2" w:rsidRDefault="007E5C0B" w:rsidP="007E5C0B">
            <w:pPr>
              <w:jc w:val="center"/>
              <w:rPr>
                <w:b/>
                <w:bCs/>
                <w:sz w:val="18"/>
                <w:szCs w:val="20"/>
              </w:rPr>
            </w:pPr>
          </w:p>
        </w:tc>
        <w:tc>
          <w:tcPr>
            <w:tcW w:w="1560" w:type="dxa"/>
            <w:vMerge/>
            <w:tcBorders>
              <w:left w:val="nil"/>
              <w:bottom w:val="single" w:sz="8" w:space="0" w:color="auto"/>
              <w:right w:val="single" w:sz="4" w:space="0" w:color="auto"/>
            </w:tcBorders>
            <w:shd w:val="clear" w:color="auto" w:fill="EEECE1" w:themeFill="background2"/>
            <w:vAlign w:val="center"/>
          </w:tcPr>
          <w:p w:rsidR="007E5C0B" w:rsidRPr="002B7FA2" w:rsidRDefault="007E5C0B" w:rsidP="007E5C0B">
            <w:pPr>
              <w:jc w:val="center"/>
              <w:rPr>
                <w:b/>
                <w:bCs/>
                <w:sz w:val="18"/>
                <w:szCs w:val="20"/>
              </w:rPr>
            </w:pPr>
          </w:p>
        </w:tc>
        <w:tc>
          <w:tcPr>
            <w:tcW w:w="909" w:type="dxa"/>
            <w:vMerge/>
            <w:tcBorders>
              <w:left w:val="nil"/>
              <w:bottom w:val="single" w:sz="8" w:space="0" w:color="auto"/>
              <w:right w:val="single" w:sz="4" w:space="0" w:color="auto"/>
            </w:tcBorders>
            <w:shd w:val="clear" w:color="auto" w:fill="EEECE1" w:themeFill="background2"/>
            <w:vAlign w:val="center"/>
          </w:tcPr>
          <w:p w:rsidR="007E5C0B" w:rsidRPr="002B7FA2" w:rsidRDefault="007E5C0B" w:rsidP="007E5C0B">
            <w:pPr>
              <w:jc w:val="center"/>
              <w:rPr>
                <w:b/>
                <w:bCs/>
                <w:sz w:val="18"/>
                <w:szCs w:val="20"/>
              </w:rPr>
            </w:pPr>
          </w:p>
        </w:tc>
      </w:tr>
      <w:tr w:rsidR="007E5C0B" w:rsidRPr="00D154DB" w:rsidTr="00D50444">
        <w:trPr>
          <w:trHeight w:val="89"/>
          <w:tblHeader/>
        </w:trPr>
        <w:tc>
          <w:tcPr>
            <w:tcW w:w="312"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7E5C0B" w:rsidRPr="00D154DB" w:rsidRDefault="007E5C0B" w:rsidP="007E5C0B">
            <w:pPr>
              <w:jc w:val="center"/>
              <w:rPr>
                <w:b/>
                <w:sz w:val="18"/>
                <w:szCs w:val="20"/>
              </w:rPr>
            </w:pPr>
          </w:p>
        </w:tc>
        <w:tc>
          <w:tcPr>
            <w:tcW w:w="4252" w:type="dxa"/>
            <w:tcBorders>
              <w:top w:val="nil"/>
              <w:left w:val="single" w:sz="4" w:space="0" w:color="auto"/>
              <w:bottom w:val="single" w:sz="8" w:space="0" w:color="auto"/>
              <w:right w:val="single" w:sz="4" w:space="0" w:color="auto"/>
            </w:tcBorders>
            <w:vAlign w:val="center"/>
          </w:tcPr>
          <w:p w:rsidR="007E5C0B" w:rsidRPr="00D154DB" w:rsidRDefault="007E5C0B" w:rsidP="007E5C0B">
            <w:pPr>
              <w:jc w:val="center"/>
              <w:rPr>
                <w:b/>
                <w:sz w:val="18"/>
                <w:szCs w:val="20"/>
              </w:rPr>
            </w:pPr>
            <w:r w:rsidRPr="00D154DB">
              <w:rPr>
                <w:b/>
                <w:sz w:val="18"/>
                <w:szCs w:val="20"/>
              </w:rPr>
              <w:t>1</w:t>
            </w:r>
          </w:p>
        </w:tc>
        <w:tc>
          <w:tcPr>
            <w:tcW w:w="1276" w:type="dxa"/>
            <w:tcBorders>
              <w:top w:val="nil"/>
              <w:left w:val="nil"/>
              <w:bottom w:val="single" w:sz="8" w:space="0" w:color="auto"/>
              <w:right w:val="single" w:sz="4" w:space="0" w:color="auto"/>
            </w:tcBorders>
            <w:tcMar>
              <w:top w:w="0" w:type="dxa"/>
              <w:left w:w="28" w:type="dxa"/>
              <w:bottom w:w="0" w:type="dxa"/>
              <w:right w:w="28" w:type="dxa"/>
            </w:tcMar>
            <w:vAlign w:val="center"/>
          </w:tcPr>
          <w:p w:rsidR="007E5C0B" w:rsidRPr="00D154DB" w:rsidRDefault="007E5C0B" w:rsidP="007E5C0B">
            <w:pPr>
              <w:jc w:val="center"/>
              <w:rPr>
                <w:b/>
                <w:sz w:val="18"/>
                <w:szCs w:val="20"/>
              </w:rPr>
            </w:pPr>
            <w:r w:rsidRPr="00D154DB">
              <w:rPr>
                <w:b/>
                <w:sz w:val="18"/>
                <w:szCs w:val="20"/>
              </w:rPr>
              <w:t>2</w:t>
            </w:r>
          </w:p>
        </w:tc>
        <w:tc>
          <w:tcPr>
            <w:tcW w:w="992" w:type="dxa"/>
            <w:tcBorders>
              <w:top w:val="nil"/>
              <w:left w:val="nil"/>
              <w:bottom w:val="single" w:sz="8" w:space="0" w:color="auto"/>
              <w:right w:val="single" w:sz="4" w:space="0" w:color="auto"/>
            </w:tcBorders>
            <w:vAlign w:val="center"/>
          </w:tcPr>
          <w:p w:rsidR="007E5C0B" w:rsidRPr="00D154DB" w:rsidRDefault="007E5C0B" w:rsidP="007E5C0B">
            <w:pPr>
              <w:jc w:val="center"/>
              <w:rPr>
                <w:b/>
                <w:sz w:val="18"/>
                <w:szCs w:val="20"/>
              </w:rPr>
            </w:pPr>
            <w:r>
              <w:rPr>
                <w:b/>
                <w:sz w:val="18"/>
                <w:szCs w:val="20"/>
              </w:rPr>
              <w:t>3</w:t>
            </w:r>
          </w:p>
        </w:tc>
        <w:tc>
          <w:tcPr>
            <w:tcW w:w="1560" w:type="dxa"/>
            <w:tcBorders>
              <w:top w:val="nil"/>
              <w:left w:val="nil"/>
              <w:bottom w:val="single" w:sz="8" w:space="0" w:color="auto"/>
              <w:right w:val="single" w:sz="4" w:space="0" w:color="auto"/>
            </w:tcBorders>
            <w:vAlign w:val="center"/>
          </w:tcPr>
          <w:p w:rsidR="007E5C0B" w:rsidRPr="00D154DB" w:rsidRDefault="007E5C0B" w:rsidP="007E5C0B">
            <w:pPr>
              <w:jc w:val="center"/>
              <w:rPr>
                <w:b/>
                <w:sz w:val="18"/>
                <w:szCs w:val="20"/>
              </w:rPr>
            </w:pPr>
            <w:r>
              <w:rPr>
                <w:b/>
                <w:sz w:val="18"/>
                <w:szCs w:val="20"/>
              </w:rPr>
              <w:t>4</w:t>
            </w:r>
          </w:p>
        </w:tc>
        <w:tc>
          <w:tcPr>
            <w:tcW w:w="909" w:type="dxa"/>
            <w:tcBorders>
              <w:top w:val="nil"/>
              <w:left w:val="nil"/>
              <w:bottom w:val="single" w:sz="8" w:space="0" w:color="auto"/>
              <w:right w:val="single" w:sz="4" w:space="0" w:color="auto"/>
            </w:tcBorders>
            <w:vAlign w:val="center"/>
          </w:tcPr>
          <w:p w:rsidR="007E5C0B" w:rsidRPr="00D154DB" w:rsidRDefault="007E5C0B" w:rsidP="007E5C0B">
            <w:pPr>
              <w:jc w:val="center"/>
              <w:rPr>
                <w:b/>
                <w:sz w:val="18"/>
                <w:szCs w:val="20"/>
              </w:rPr>
            </w:pPr>
            <w:r>
              <w:rPr>
                <w:b/>
                <w:sz w:val="18"/>
                <w:szCs w:val="20"/>
              </w:rPr>
              <w:t>5</w:t>
            </w:r>
          </w:p>
        </w:tc>
      </w:tr>
      <w:tr w:rsidR="007E5C0B" w:rsidRPr="007708C9" w:rsidTr="00D50444">
        <w:trPr>
          <w:trHeight w:val="149"/>
        </w:trPr>
        <w:tc>
          <w:tcPr>
            <w:tcW w:w="312"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5C0B" w:rsidRPr="00CF50CA" w:rsidRDefault="007E5C0B" w:rsidP="007E5C0B">
            <w:pPr>
              <w:rPr>
                <w:b/>
                <w:sz w:val="20"/>
                <w:szCs w:val="20"/>
              </w:rPr>
            </w:pPr>
            <w:r>
              <w:rPr>
                <w:b/>
                <w:sz w:val="20"/>
                <w:szCs w:val="20"/>
              </w:rPr>
              <w:t>1</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rsidR="007E5C0B" w:rsidRPr="002C6739" w:rsidRDefault="007E5C0B" w:rsidP="00B97E73">
            <w:pPr>
              <w:rPr>
                <w:sz w:val="20"/>
                <w:szCs w:val="20"/>
              </w:rPr>
            </w:pPr>
            <w:r>
              <w:rPr>
                <w:sz w:val="20"/>
                <w:szCs w:val="20"/>
              </w:rPr>
              <w:t>АО «С</w:t>
            </w:r>
            <w:r w:rsidR="00B97E73">
              <w:rPr>
                <w:sz w:val="20"/>
                <w:szCs w:val="20"/>
              </w:rPr>
              <w:t xml:space="preserve">бербанк - </w:t>
            </w:r>
            <w:r>
              <w:rPr>
                <w:sz w:val="20"/>
                <w:szCs w:val="20"/>
              </w:rPr>
              <w:t>А</w:t>
            </w:r>
            <w:r w:rsidR="00B97E73">
              <w:rPr>
                <w:sz w:val="20"/>
                <w:szCs w:val="20"/>
              </w:rPr>
              <w:t>СТ</w:t>
            </w:r>
            <w:r>
              <w:rPr>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0" w:type="dxa"/>
            </w:tcMar>
            <w:vAlign w:val="center"/>
          </w:tcPr>
          <w:p w:rsidR="007E5C0B" w:rsidRPr="002C6739" w:rsidRDefault="00D50444" w:rsidP="009B28FA">
            <w:pPr>
              <w:jc w:val="center"/>
              <w:rPr>
                <w:b/>
                <w:sz w:val="20"/>
                <w:szCs w:val="20"/>
              </w:rPr>
            </w:pPr>
            <w:r>
              <w:rPr>
                <w:b/>
                <w:sz w:val="20"/>
                <w:szCs w:val="20"/>
              </w:rPr>
              <w:t>321 410,5</w:t>
            </w:r>
          </w:p>
        </w:tc>
        <w:tc>
          <w:tcPr>
            <w:tcW w:w="992" w:type="dxa"/>
            <w:tcBorders>
              <w:top w:val="single" w:sz="4" w:space="0" w:color="auto"/>
              <w:left w:val="nil"/>
              <w:bottom w:val="single" w:sz="4" w:space="0" w:color="auto"/>
              <w:right w:val="single" w:sz="4" w:space="0" w:color="auto"/>
            </w:tcBorders>
            <w:shd w:val="clear" w:color="auto" w:fill="auto"/>
            <w:vAlign w:val="center"/>
          </w:tcPr>
          <w:p w:rsidR="007E5C0B" w:rsidRPr="002C6739" w:rsidRDefault="00D50444" w:rsidP="00505696">
            <w:pPr>
              <w:jc w:val="center"/>
              <w:rPr>
                <w:b/>
                <w:sz w:val="20"/>
                <w:szCs w:val="20"/>
              </w:rPr>
            </w:pPr>
            <w:r>
              <w:rPr>
                <w:b/>
                <w:sz w:val="20"/>
                <w:szCs w:val="20"/>
              </w:rPr>
              <w:t>49,3%</w:t>
            </w:r>
          </w:p>
        </w:tc>
        <w:tc>
          <w:tcPr>
            <w:tcW w:w="1560" w:type="dxa"/>
            <w:tcBorders>
              <w:top w:val="single" w:sz="4" w:space="0" w:color="auto"/>
              <w:left w:val="nil"/>
              <w:bottom w:val="single" w:sz="4" w:space="0" w:color="auto"/>
              <w:right w:val="single" w:sz="4" w:space="0" w:color="auto"/>
            </w:tcBorders>
            <w:shd w:val="clear" w:color="auto" w:fill="auto"/>
            <w:vAlign w:val="center"/>
          </w:tcPr>
          <w:p w:rsidR="007E5C0B" w:rsidRPr="002C6739" w:rsidRDefault="00D50444" w:rsidP="00D50444">
            <w:pPr>
              <w:jc w:val="center"/>
              <w:rPr>
                <w:b/>
                <w:sz w:val="20"/>
                <w:szCs w:val="20"/>
              </w:rPr>
            </w:pPr>
            <w:r>
              <w:rPr>
                <w:b/>
                <w:sz w:val="20"/>
                <w:szCs w:val="20"/>
              </w:rPr>
              <w:t>109</w:t>
            </w:r>
          </w:p>
        </w:tc>
        <w:tc>
          <w:tcPr>
            <w:tcW w:w="909" w:type="dxa"/>
            <w:tcBorders>
              <w:top w:val="single" w:sz="4" w:space="0" w:color="auto"/>
              <w:left w:val="nil"/>
              <w:bottom w:val="single" w:sz="4" w:space="0" w:color="auto"/>
              <w:right w:val="single" w:sz="4" w:space="0" w:color="auto"/>
            </w:tcBorders>
            <w:shd w:val="clear" w:color="auto" w:fill="auto"/>
            <w:vAlign w:val="center"/>
          </w:tcPr>
          <w:p w:rsidR="007E5C0B" w:rsidRPr="002C6739" w:rsidRDefault="00D50444" w:rsidP="00505696">
            <w:pPr>
              <w:jc w:val="center"/>
              <w:rPr>
                <w:b/>
                <w:sz w:val="20"/>
                <w:szCs w:val="20"/>
              </w:rPr>
            </w:pPr>
            <w:r>
              <w:rPr>
                <w:b/>
                <w:sz w:val="20"/>
                <w:szCs w:val="20"/>
              </w:rPr>
              <w:t>65,3%</w:t>
            </w:r>
          </w:p>
        </w:tc>
      </w:tr>
      <w:tr w:rsidR="007E5C0B" w:rsidRPr="007708C9" w:rsidTr="00D50444">
        <w:trPr>
          <w:trHeight w:val="82"/>
        </w:trPr>
        <w:tc>
          <w:tcPr>
            <w:tcW w:w="312"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5C0B" w:rsidRDefault="007E5C0B" w:rsidP="007E5C0B">
            <w:pPr>
              <w:rPr>
                <w:b/>
                <w:sz w:val="20"/>
                <w:szCs w:val="20"/>
              </w:rPr>
            </w:pPr>
            <w:r>
              <w:rPr>
                <w:b/>
                <w:sz w:val="20"/>
                <w:szCs w:val="20"/>
              </w:rPr>
              <w:t>2</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rsidR="007E5C0B" w:rsidRPr="002C6739" w:rsidRDefault="007E5C0B" w:rsidP="00B97E73">
            <w:pPr>
              <w:rPr>
                <w:sz w:val="20"/>
                <w:szCs w:val="20"/>
              </w:rPr>
            </w:pPr>
            <w:r>
              <w:rPr>
                <w:sz w:val="20"/>
                <w:szCs w:val="20"/>
              </w:rPr>
              <w:t>АО «Е</w:t>
            </w:r>
            <w:r w:rsidR="00B97E73">
              <w:rPr>
                <w:sz w:val="20"/>
                <w:szCs w:val="20"/>
              </w:rPr>
              <w:t>Э</w:t>
            </w:r>
            <w:r>
              <w:rPr>
                <w:sz w:val="20"/>
                <w:szCs w:val="20"/>
              </w:rPr>
              <w:t>ТП»</w:t>
            </w:r>
          </w:p>
        </w:tc>
        <w:tc>
          <w:tcPr>
            <w:tcW w:w="1276"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0" w:type="dxa"/>
            </w:tcMar>
            <w:vAlign w:val="center"/>
          </w:tcPr>
          <w:p w:rsidR="007E5C0B" w:rsidRPr="002C6739" w:rsidRDefault="00A02812" w:rsidP="007E5C0B">
            <w:pPr>
              <w:jc w:val="center"/>
              <w:rPr>
                <w:b/>
                <w:sz w:val="20"/>
                <w:szCs w:val="20"/>
              </w:rPr>
            </w:pPr>
            <w:r>
              <w:rPr>
                <w:b/>
                <w:sz w:val="20"/>
                <w:szCs w:val="20"/>
              </w:rPr>
              <w:t>1 241,1</w:t>
            </w:r>
          </w:p>
        </w:tc>
        <w:tc>
          <w:tcPr>
            <w:tcW w:w="992" w:type="dxa"/>
            <w:tcBorders>
              <w:top w:val="single" w:sz="4" w:space="0" w:color="auto"/>
              <w:left w:val="nil"/>
              <w:bottom w:val="single" w:sz="4" w:space="0" w:color="auto"/>
              <w:right w:val="single" w:sz="4" w:space="0" w:color="auto"/>
            </w:tcBorders>
            <w:shd w:val="clear" w:color="auto" w:fill="auto"/>
            <w:vAlign w:val="center"/>
          </w:tcPr>
          <w:p w:rsidR="007E5C0B" w:rsidRPr="002C6739" w:rsidRDefault="00D50444" w:rsidP="007E5C0B">
            <w:pPr>
              <w:jc w:val="center"/>
              <w:rPr>
                <w:b/>
                <w:sz w:val="20"/>
                <w:szCs w:val="20"/>
              </w:rPr>
            </w:pPr>
            <w:r>
              <w:rPr>
                <w:b/>
                <w:sz w:val="20"/>
                <w:szCs w:val="20"/>
              </w:rPr>
              <w:t>0,2%</w:t>
            </w:r>
          </w:p>
        </w:tc>
        <w:tc>
          <w:tcPr>
            <w:tcW w:w="1560" w:type="dxa"/>
            <w:tcBorders>
              <w:top w:val="single" w:sz="4" w:space="0" w:color="auto"/>
              <w:left w:val="nil"/>
              <w:bottom w:val="single" w:sz="4" w:space="0" w:color="auto"/>
              <w:right w:val="single" w:sz="4" w:space="0" w:color="auto"/>
            </w:tcBorders>
            <w:shd w:val="clear" w:color="auto" w:fill="auto"/>
            <w:vAlign w:val="center"/>
          </w:tcPr>
          <w:p w:rsidR="007E5C0B" w:rsidRPr="002C6739" w:rsidRDefault="00A02812" w:rsidP="007E5C0B">
            <w:pPr>
              <w:jc w:val="center"/>
              <w:rPr>
                <w:b/>
                <w:sz w:val="20"/>
                <w:szCs w:val="20"/>
              </w:rPr>
            </w:pPr>
            <w:r>
              <w:rPr>
                <w:b/>
                <w:sz w:val="20"/>
                <w:szCs w:val="20"/>
              </w:rPr>
              <w:t>1</w:t>
            </w:r>
          </w:p>
        </w:tc>
        <w:tc>
          <w:tcPr>
            <w:tcW w:w="909" w:type="dxa"/>
            <w:tcBorders>
              <w:top w:val="single" w:sz="4" w:space="0" w:color="auto"/>
              <w:left w:val="nil"/>
              <w:bottom w:val="single" w:sz="4" w:space="0" w:color="auto"/>
              <w:right w:val="single" w:sz="4" w:space="0" w:color="auto"/>
            </w:tcBorders>
            <w:shd w:val="clear" w:color="auto" w:fill="auto"/>
            <w:vAlign w:val="center"/>
          </w:tcPr>
          <w:p w:rsidR="007E5C0B" w:rsidRPr="002C6739" w:rsidRDefault="00D50444" w:rsidP="007E5C0B">
            <w:pPr>
              <w:jc w:val="center"/>
              <w:rPr>
                <w:b/>
                <w:sz w:val="20"/>
                <w:szCs w:val="20"/>
              </w:rPr>
            </w:pPr>
            <w:r>
              <w:rPr>
                <w:b/>
                <w:sz w:val="20"/>
                <w:szCs w:val="20"/>
              </w:rPr>
              <w:t>0,6%</w:t>
            </w:r>
          </w:p>
        </w:tc>
      </w:tr>
      <w:tr w:rsidR="007E5C0B" w:rsidRPr="007708C9" w:rsidTr="00D50444">
        <w:trPr>
          <w:trHeight w:val="108"/>
        </w:trPr>
        <w:tc>
          <w:tcPr>
            <w:tcW w:w="312"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5C0B" w:rsidRPr="00CF50CA" w:rsidRDefault="007E5C0B" w:rsidP="007E5C0B">
            <w:pPr>
              <w:rPr>
                <w:b/>
                <w:sz w:val="20"/>
                <w:szCs w:val="20"/>
              </w:rPr>
            </w:pPr>
            <w:r>
              <w:rPr>
                <w:b/>
                <w:sz w:val="20"/>
                <w:szCs w:val="20"/>
              </w:rPr>
              <w:t>3</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rsidR="007E5C0B" w:rsidRPr="002C6739" w:rsidRDefault="00024284" w:rsidP="00024284">
            <w:pPr>
              <w:rPr>
                <w:sz w:val="20"/>
                <w:szCs w:val="20"/>
              </w:rPr>
            </w:pPr>
            <w:r>
              <w:rPr>
                <w:sz w:val="20"/>
                <w:szCs w:val="20"/>
              </w:rPr>
              <w:t>АО «АГЗ</w:t>
            </w:r>
            <w:r w:rsidR="000C1D08">
              <w:rPr>
                <w:sz w:val="20"/>
                <w:szCs w:val="20"/>
              </w:rPr>
              <w:t xml:space="preserve"> </w:t>
            </w:r>
            <w:r>
              <w:rPr>
                <w:sz w:val="20"/>
                <w:szCs w:val="20"/>
              </w:rPr>
              <w:t>РТ»</w:t>
            </w:r>
          </w:p>
        </w:tc>
        <w:tc>
          <w:tcPr>
            <w:tcW w:w="1276"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0" w:type="dxa"/>
            </w:tcMar>
            <w:vAlign w:val="center"/>
          </w:tcPr>
          <w:p w:rsidR="007E5C0B" w:rsidRPr="002C6739" w:rsidRDefault="00D50444" w:rsidP="007E5C0B">
            <w:pPr>
              <w:jc w:val="center"/>
              <w:rPr>
                <w:b/>
                <w:sz w:val="20"/>
                <w:szCs w:val="20"/>
              </w:rPr>
            </w:pPr>
            <w:r>
              <w:rPr>
                <w:b/>
                <w:sz w:val="20"/>
                <w:szCs w:val="20"/>
              </w:rPr>
              <w:t>23 891,4</w:t>
            </w:r>
          </w:p>
        </w:tc>
        <w:tc>
          <w:tcPr>
            <w:tcW w:w="992" w:type="dxa"/>
            <w:tcBorders>
              <w:top w:val="single" w:sz="4" w:space="0" w:color="auto"/>
              <w:left w:val="nil"/>
              <w:bottom w:val="single" w:sz="4" w:space="0" w:color="auto"/>
              <w:right w:val="single" w:sz="4" w:space="0" w:color="auto"/>
            </w:tcBorders>
            <w:shd w:val="clear" w:color="auto" w:fill="auto"/>
            <w:vAlign w:val="center"/>
          </w:tcPr>
          <w:p w:rsidR="007E5C0B" w:rsidRPr="002C6739" w:rsidRDefault="00D50444" w:rsidP="00505696">
            <w:pPr>
              <w:jc w:val="center"/>
              <w:rPr>
                <w:b/>
                <w:sz w:val="20"/>
                <w:szCs w:val="20"/>
              </w:rPr>
            </w:pPr>
            <w:r>
              <w:rPr>
                <w:b/>
                <w:sz w:val="20"/>
                <w:szCs w:val="20"/>
              </w:rPr>
              <w:t>3,7%</w:t>
            </w:r>
          </w:p>
        </w:tc>
        <w:tc>
          <w:tcPr>
            <w:tcW w:w="1560" w:type="dxa"/>
            <w:tcBorders>
              <w:top w:val="single" w:sz="4" w:space="0" w:color="auto"/>
              <w:left w:val="nil"/>
              <w:bottom w:val="single" w:sz="4" w:space="0" w:color="auto"/>
              <w:right w:val="single" w:sz="4" w:space="0" w:color="auto"/>
            </w:tcBorders>
            <w:shd w:val="clear" w:color="auto" w:fill="auto"/>
            <w:vAlign w:val="center"/>
          </w:tcPr>
          <w:p w:rsidR="007E5C0B" w:rsidRPr="002C6739" w:rsidRDefault="00D50444" w:rsidP="008E3038">
            <w:pPr>
              <w:jc w:val="center"/>
              <w:rPr>
                <w:b/>
                <w:sz w:val="20"/>
                <w:szCs w:val="20"/>
              </w:rPr>
            </w:pPr>
            <w:r>
              <w:rPr>
                <w:b/>
                <w:sz w:val="20"/>
                <w:szCs w:val="20"/>
              </w:rPr>
              <w:t>2</w:t>
            </w:r>
          </w:p>
        </w:tc>
        <w:tc>
          <w:tcPr>
            <w:tcW w:w="909" w:type="dxa"/>
            <w:tcBorders>
              <w:top w:val="single" w:sz="4" w:space="0" w:color="auto"/>
              <w:left w:val="nil"/>
              <w:bottom w:val="single" w:sz="4" w:space="0" w:color="auto"/>
              <w:right w:val="single" w:sz="4" w:space="0" w:color="auto"/>
            </w:tcBorders>
            <w:shd w:val="clear" w:color="auto" w:fill="auto"/>
            <w:vAlign w:val="center"/>
          </w:tcPr>
          <w:p w:rsidR="007E5C0B" w:rsidRPr="002C6739" w:rsidRDefault="00D50444" w:rsidP="00505696">
            <w:pPr>
              <w:jc w:val="center"/>
              <w:rPr>
                <w:b/>
                <w:sz w:val="20"/>
                <w:szCs w:val="20"/>
              </w:rPr>
            </w:pPr>
            <w:r>
              <w:rPr>
                <w:b/>
                <w:sz w:val="20"/>
                <w:szCs w:val="20"/>
              </w:rPr>
              <w:t>1,2%</w:t>
            </w:r>
          </w:p>
        </w:tc>
      </w:tr>
      <w:tr w:rsidR="007E5C0B" w:rsidRPr="007708C9" w:rsidTr="00D50444">
        <w:trPr>
          <w:trHeight w:val="108"/>
        </w:trPr>
        <w:tc>
          <w:tcPr>
            <w:tcW w:w="312"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5C0B" w:rsidRPr="00CF50CA" w:rsidRDefault="007E5C0B" w:rsidP="007E5C0B">
            <w:pPr>
              <w:rPr>
                <w:b/>
                <w:sz w:val="20"/>
                <w:szCs w:val="20"/>
              </w:rPr>
            </w:pPr>
            <w:r>
              <w:rPr>
                <w:b/>
                <w:sz w:val="20"/>
                <w:szCs w:val="20"/>
              </w:rPr>
              <w:t>4</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rsidR="007E5C0B" w:rsidRPr="002C6739" w:rsidRDefault="007E5C0B" w:rsidP="00B97E73">
            <w:pPr>
              <w:rPr>
                <w:sz w:val="20"/>
                <w:szCs w:val="20"/>
              </w:rPr>
            </w:pPr>
            <w:r>
              <w:rPr>
                <w:sz w:val="20"/>
                <w:szCs w:val="20"/>
              </w:rPr>
              <w:t>АО «ТЭК-Т</w:t>
            </w:r>
            <w:r w:rsidR="00B97E73">
              <w:rPr>
                <w:sz w:val="20"/>
                <w:szCs w:val="20"/>
              </w:rPr>
              <w:t>орг</w:t>
            </w:r>
            <w:r>
              <w:rPr>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0" w:type="dxa"/>
            </w:tcMar>
            <w:vAlign w:val="center"/>
          </w:tcPr>
          <w:p w:rsidR="007E5C0B" w:rsidRPr="002C6739" w:rsidRDefault="007E5C0B" w:rsidP="007E5C0B">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E5C0B" w:rsidRPr="002C6739" w:rsidRDefault="007E5C0B" w:rsidP="007E5C0B">
            <w:pPr>
              <w:jc w:val="center"/>
              <w:rPr>
                <w:b/>
                <w:sz w:val="20"/>
                <w:szCs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7E5C0B" w:rsidRPr="002C6739" w:rsidRDefault="007E5C0B" w:rsidP="007E5C0B">
            <w:pPr>
              <w:jc w:val="center"/>
              <w:rPr>
                <w:b/>
                <w:sz w:val="20"/>
                <w:szCs w:val="20"/>
              </w:rPr>
            </w:pPr>
          </w:p>
        </w:tc>
        <w:tc>
          <w:tcPr>
            <w:tcW w:w="909" w:type="dxa"/>
            <w:tcBorders>
              <w:top w:val="single" w:sz="4" w:space="0" w:color="auto"/>
              <w:left w:val="nil"/>
              <w:bottom w:val="single" w:sz="4" w:space="0" w:color="auto"/>
              <w:right w:val="single" w:sz="4" w:space="0" w:color="auto"/>
            </w:tcBorders>
            <w:shd w:val="clear" w:color="auto" w:fill="auto"/>
            <w:vAlign w:val="center"/>
          </w:tcPr>
          <w:p w:rsidR="007E5C0B" w:rsidRPr="002C6739" w:rsidRDefault="007E5C0B" w:rsidP="007E5C0B">
            <w:pPr>
              <w:jc w:val="center"/>
              <w:rPr>
                <w:b/>
                <w:sz w:val="20"/>
                <w:szCs w:val="20"/>
              </w:rPr>
            </w:pPr>
          </w:p>
        </w:tc>
      </w:tr>
      <w:tr w:rsidR="007E5C0B" w:rsidRPr="007708C9" w:rsidTr="00D50444">
        <w:trPr>
          <w:trHeight w:val="231"/>
        </w:trPr>
        <w:tc>
          <w:tcPr>
            <w:tcW w:w="312"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5C0B" w:rsidRPr="007708C9" w:rsidRDefault="007E5C0B" w:rsidP="007E5C0B">
            <w:pPr>
              <w:rPr>
                <w:sz w:val="20"/>
                <w:szCs w:val="20"/>
              </w:rPr>
            </w:pPr>
            <w:r>
              <w:rPr>
                <w:b/>
                <w:sz w:val="20"/>
                <w:szCs w:val="20"/>
              </w:rPr>
              <w:t>5</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rsidR="007E5C0B" w:rsidRPr="002C6739" w:rsidRDefault="00024284" w:rsidP="007E5C0B">
            <w:pPr>
              <w:rPr>
                <w:sz w:val="20"/>
                <w:szCs w:val="20"/>
              </w:rPr>
            </w:pPr>
            <w:r>
              <w:rPr>
                <w:sz w:val="20"/>
                <w:szCs w:val="20"/>
              </w:rPr>
              <w:t>ООО «</w:t>
            </w:r>
            <w:r w:rsidR="00B97E73">
              <w:rPr>
                <w:sz w:val="20"/>
                <w:szCs w:val="20"/>
              </w:rPr>
              <w:t xml:space="preserve">РТС </w:t>
            </w:r>
            <w:r>
              <w:rPr>
                <w:sz w:val="20"/>
                <w:szCs w:val="20"/>
              </w:rPr>
              <w:t>–</w:t>
            </w:r>
            <w:r w:rsidR="00B97E73">
              <w:rPr>
                <w:sz w:val="20"/>
                <w:szCs w:val="20"/>
              </w:rPr>
              <w:t xml:space="preserve"> тендер</w:t>
            </w:r>
            <w:r>
              <w:rPr>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0" w:type="dxa"/>
            </w:tcMar>
            <w:vAlign w:val="center"/>
          </w:tcPr>
          <w:p w:rsidR="007E5C0B" w:rsidRPr="002C6739" w:rsidRDefault="00D50444" w:rsidP="007E5C0B">
            <w:pPr>
              <w:jc w:val="center"/>
              <w:rPr>
                <w:b/>
                <w:sz w:val="20"/>
                <w:szCs w:val="20"/>
              </w:rPr>
            </w:pPr>
            <w:r>
              <w:rPr>
                <w:b/>
                <w:sz w:val="20"/>
                <w:szCs w:val="20"/>
              </w:rPr>
              <w:t>306 062,5</w:t>
            </w:r>
          </w:p>
        </w:tc>
        <w:tc>
          <w:tcPr>
            <w:tcW w:w="992" w:type="dxa"/>
            <w:tcBorders>
              <w:top w:val="single" w:sz="4" w:space="0" w:color="auto"/>
              <w:left w:val="nil"/>
              <w:bottom w:val="single" w:sz="4" w:space="0" w:color="auto"/>
              <w:right w:val="single" w:sz="4" w:space="0" w:color="auto"/>
            </w:tcBorders>
            <w:shd w:val="clear" w:color="auto" w:fill="auto"/>
            <w:vAlign w:val="center"/>
          </w:tcPr>
          <w:p w:rsidR="007E5C0B" w:rsidRPr="002C6739" w:rsidRDefault="00D50444" w:rsidP="00505696">
            <w:pPr>
              <w:jc w:val="center"/>
              <w:rPr>
                <w:b/>
                <w:sz w:val="20"/>
                <w:szCs w:val="20"/>
              </w:rPr>
            </w:pPr>
            <w:r>
              <w:rPr>
                <w:b/>
                <w:sz w:val="20"/>
                <w:szCs w:val="20"/>
              </w:rPr>
              <w:t>46,9%</w:t>
            </w:r>
          </w:p>
        </w:tc>
        <w:tc>
          <w:tcPr>
            <w:tcW w:w="1560" w:type="dxa"/>
            <w:tcBorders>
              <w:top w:val="single" w:sz="4" w:space="0" w:color="auto"/>
              <w:left w:val="nil"/>
              <w:bottom w:val="single" w:sz="4" w:space="0" w:color="auto"/>
              <w:right w:val="single" w:sz="4" w:space="0" w:color="auto"/>
            </w:tcBorders>
            <w:shd w:val="clear" w:color="auto" w:fill="auto"/>
            <w:vAlign w:val="center"/>
          </w:tcPr>
          <w:p w:rsidR="007E5C0B" w:rsidRPr="002C6739" w:rsidRDefault="00A02812" w:rsidP="00D50444">
            <w:pPr>
              <w:jc w:val="center"/>
              <w:rPr>
                <w:b/>
                <w:sz w:val="20"/>
                <w:szCs w:val="20"/>
              </w:rPr>
            </w:pPr>
            <w:r>
              <w:rPr>
                <w:b/>
                <w:sz w:val="20"/>
                <w:szCs w:val="20"/>
              </w:rPr>
              <w:t>5</w:t>
            </w:r>
            <w:r w:rsidR="00D50444">
              <w:rPr>
                <w:b/>
                <w:sz w:val="20"/>
                <w:szCs w:val="20"/>
              </w:rPr>
              <w:t>5</w:t>
            </w:r>
          </w:p>
        </w:tc>
        <w:tc>
          <w:tcPr>
            <w:tcW w:w="909" w:type="dxa"/>
            <w:tcBorders>
              <w:top w:val="single" w:sz="4" w:space="0" w:color="auto"/>
              <w:left w:val="nil"/>
              <w:bottom w:val="single" w:sz="4" w:space="0" w:color="auto"/>
              <w:right w:val="single" w:sz="4" w:space="0" w:color="auto"/>
            </w:tcBorders>
            <w:shd w:val="clear" w:color="auto" w:fill="auto"/>
            <w:vAlign w:val="center"/>
          </w:tcPr>
          <w:p w:rsidR="007E5C0B" w:rsidRPr="002C6739" w:rsidRDefault="00D50444" w:rsidP="00D50444">
            <w:pPr>
              <w:jc w:val="center"/>
              <w:rPr>
                <w:b/>
                <w:sz w:val="20"/>
                <w:szCs w:val="20"/>
              </w:rPr>
            </w:pPr>
            <w:r>
              <w:rPr>
                <w:b/>
                <w:sz w:val="20"/>
                <w:szCs w:val="20"/>
              </w:rPr>
              <w:t>32,9%</w:t>
            </w:r>
          </w:p>
        </w:tc>
      </w:tr>
      <w:tr w:rsidR="007E5C0B" w:rsidRPr="007708C9" w:rsidTr="00D50444">
        <w:trPr>
          <w:trHeight w:val="108"/>
        </w:trPr>
        <w:tc>
          <w:tcPr>
            <w:tcW w:w="312"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5C0B" w:rsidRPr="00CF50CA" w:rsidRDefault="007E5C0B" w:rsidP="007E5C0B">
            <w:pPr>
              <w:rPr>
                <w:b/>
                <w:sz w:val="20"/>
                <w:szCs w:val="20"/>
              </w:rPr>
            </w:pPr>
            <w:r>
              <w:rPr>
                <w:b/>
                <w:sz w:val="20"/>
                <w:szCs w:val="20"/>
              </w:rPr>
              <w:t>6</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rsidR="007E5C0B" w:rsidRPr="002C6739" w:rsidRDefault="00024284" w:rsidP="00024284">
            <w:pPr>
              <w:rPr>
                <w:sz w:val="20"/>
                <w:szCs w:val="20"/>
              </w:rPr>
            </w:pPr>
            <w:r>
              <w:rPr>
                <w:sz w:val="20"/>
                <w:szCs w:val="20"/>
              </w:rPr>
              <w:t>АО</w:t>
            </w:r>
            <w:r w:rsidR="00A51381">
              <w:rPr>
                <w:sz w:val="20"/>
                <w:szCs w:val="20"/>
              </w:rPr>
              <w:t xml:space="preserve"> «РАД»</w:t>
            </w:r>
          </w:p>
        </w:tc>
        <w:tc>
          <w:tcPr>
            <w:tcW w:w="1276"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0" w:type="dxa"/>
            </w:tcMar>
            <w:vAlign w:val="center"/>
          </w:tcPr>
          <w:p w:rsidR="007E5C0B" w:rsidRPr="002C6739" w:rsidRDefault="007E5C0B" w:rsidP="007E5C0B">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E5C0B" w:rsidRPr="002C6739" w:rsidRDefault="007E5C0B" w:rsidP="007E5C0B">
            <w:pPr>
              <w:jc w:val="center"/>
              <w:rPr>
                <w:b/>
                <w:sz w:val="20"/>
                <w:szCs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7E5C0B" w:rsidRPr="002C6739" w:rsidRDefault="007E5C0B" w:rsidP="007E5C0B">
            <w:pPr>
              <w:jc w:val="center"/>
              <w:rPr>
                <w:b/>
                <w:sz w:val="20"/>
                <w:szCs w:val="20"/>
              </w:rPr>
            </w:pPr>
          </w:p>
        </w:tc>
        <w:tc>
          <w:tcPr>
            <w:tcW w:w="909" w:type="dxa"/>
            <w:tcBorders>
              <w:top w:val="single" w:sz="4" w:space="0" w:color="auto"/>
              <w:left w:val="nil"/>
              <w:bottom w:val="single" w:sz="4" w:space="0" w:color="auto"/>
              <w:right w:val="single" w:sz="4" w:space="0" w:color="auto"/>
            </w:tcBorders>
            <w:shd w:val="clear" w:color="auto" w:fill="auto"/>
            <w:vAlign w:val="center"/>
          </w:tcPr>
          <w:p w:rsidR="007E5C0B" w:rsidRPr="003335F3" w:rsidRDefault="007E5C0B" w:rsidP="007E5C0B">
            <w:pPr>
              <w:jc w:val="center"/>
              <w:rPr>
                <w:b/>
                <w:sz w:val="20"/>
                <w:szCs w:val="20"/>
              </w:rPr>
            </w:pPr>
          </w:p>
        </w:tc>
      </w:tr>
      <w:tr w:rsidR="007E5C0B" w:rsidRPr="007708C9" w:rsidTr="00D50444">
        <w:trPr>
          <w:trHeight w:val="231"/>
        </w:trPr>
        <w:tc>
          <w:tcPr>
            <w:tcW w:w="312"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5C0B" w:rsidRPr="00CF50CA" w:rsidRDefault="007E5C0B" w:rsidP="007E5C0B">
            <w:pPr>
              <w:rPr>
                <w:b/>
                <w:sz w:val="20"/>
                <w:szCs w:val="20"/>
              </w:rPr>
            </w:pPr>
            <w:r>
              <w:rPr>
                <w:b/>
                <w:sz w:val="20"/>
                <w:szCs w:val="20"/>
              </w:rPr>
              <w:t>7</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rsidR="007E5C0B" w:rsidRPr="002C6739" w:rsidRDefault="00A51381" w:rsidP="007E5C0B">
            <w:pPr>
              <w:rPr>
                <w:sz w:val="20"/>
                <w:szCs w:val="20"/>
              </w:rPr>
            </w:pPr>
            <w:r>
              <w:rPr>
                <w:sz w:val="20"/>
                <w:szCs w:val="20"/>
              </w:rPr>
              <w:t>ООО «ЭТП ГПБ»</w:t>
            </w:r>
          </w:p>
        </w:tc>
        <w:tc>
          <w:tcPr>
            <w:tcW w:w="1276"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0" w:type="dxa"/>
            </w:tcMar>
            <w:vAlign w:val="center"/>
          </w:tcPr>
          <w:p w:rsidR="007E5C0B" w:rsidRPr="002C6739" w:rsidRDefault="007E5C0B" w:rsidP="007E5C0B">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E5C0B" w:rsidRPr="002C6739" w:rsidRDefault="007E5C0B" w:rsidP="007E5C0B">
            <w:pPr>
              <w:jc w:val="center"/>
              <w:rPr>
                <w:b/>
                <w:sz w:val="20"/>
                <w:szCs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7E5C0B" w:rsidRPr="002C6739" w:rsidRDefault="007E5C0B" w:rsidP="007E5C0B">
            <w:pPr>
              <w:jc w:val="center"/>
              <w:rPr>
                <w:b/>
                <w:sz w:val="20"/>
                <w:szCs w:val="20"/>
              </w:rPr>
            </w:pPr>
          </w:p>
        </w:tc>
        <w:tc>
          <w:tcPr>
            <w:tcW w:w="909" w:type="dxa"/>
            <w:tcBorders>
              <w:top w:val="single" w:sz="4" w:space="0" w:color="auto"/>
              <w:left w:val="nil"/>
              <w:bottom w:val="single" w:sz="4" w:space="0" w:color="auto"/>
              <w:right w:val="single" w:sz="4" w:space="0" w:color="auto"/>
            </w:tcBorders>
            <w:shd w:val="clear" w:color="auto" w:fill="auto"/>
            <w:vAlign w:val="center"/>
          </w:tcPr>
          <w:p w:rsidR="007E5C0B" w:rsidRPr="002C6739" w:rsidRDefault="007E5C0B" w:rsidP="007E5C0B">
            <w:pPr>
              <w:jc w:val="center"/>
              <w:rPr>
                <w:sz w:val="20"/>
                <w:szCs w:val="20"/>
              </w:rPr>
            </w:pPr>
          </w:p>
        </w:tc>
      </w:tr>
      <w:tr w:rsidR="007E5C0B" w:rsidRPr="007708C9" w:rsidTr="00D50444">
        <w:trPr>
          <w:trHeight w:val="201"/>
        </w:trPr>
        <w:tc>
          <w:tcPr>
            <w:tcW w:w="312"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5C0B" w:rsidRPr="007708C9" w:rsidRDefault="007E5C0B" w:rsidP="007E5C0B">
            <w:pPr>
              <w:rPr>
                <w:sz w:val="20"/>
                <w:szCs w:val="20"/>
              </w:rPr>
            </w:pPr>
            <w:r>
              <w:rPr>
                <w:b/>
                <w:sz w:val="20"/>
                <w:szCs w:val="20"/>
              </w:rPr>
              <w:t>8</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rsidR="007E5C0B" w:rsidRPr="002C6739" w:rsidRDefault="00A51381" w:rsidP="007E5C0B">
            <w:pPr>
              <w:rPr>
                <w:sz w:val="20"/>
                <w:szCs w:val="20"/>
              </w:rPr>
            </w:pPr>
            <w:r>
              <w:rPr>
                <w:sz w:val="20"/>
                <w:szCs w:val="20"/>
              </w:rPr>
              <w:t>АО ЭТС</w:t>
            </w:r>
          </w:p>
        </w:tc>
        <w:tc>
          <w:tcPr>
            <w:tcW w:w="1276"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0" w:type="dxa"/>
            </w:tcMar>
            <w:vAlign w:val="center"/>
          </w:tcPr>
          <w:p w:rsidR="007E5C0B" w:rsidRPr="002C6739" w:rsidRDefault="007E5C0B" w:rsidP="007E5C0B">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E5C0B" w:rsidRPr="002C6739" w:rsidRDefault="007E5C0B" w:rsidP="007E5C0B">
            <w:pPr>
              <w:jc w:val="center"/>
              <w:rPr>
                <w:b/>
                <w:sz w:val="20"/>
                <w:szCs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7E5C0B" w:rsidRPr="002C6739" w:rsidRDefault="007E5C0B" w:rsidP="008E3038">
            <w:pPr>
              <w:jc w:val="center"/>
              <w:rPr>
                <w:b/>
                <w:sz w:val="20"/>
                <w:szCs w:val="20"/>
              </w:rPr>
            </w:pPr>
          </w:p>
        </w:tc>
        <w:tc>
          <w:tcPr>
            <w:tcW w:w="909" w:type="dxa"/>
            <w:tcBorders>
              <w:top w:val="single" w:sz="4" w:space="0" w:color="auto"/>
              <w:left w:val="nil"/>
              <w:bottom w:val="single" w:sz="4" w:space="0" w:color="auto"/>
              <w:right w:val="single" w:sz="4" w:space="0" w:color="auto"/>
            </w:tcBorders>
            <w:shd w:val="clear" w:color="auto" w:fill="auto"/>
            <w:vAlign w:val="center"/>
          </w:tcPr>
          <w:p w:rsidR="007E5C0B" w:rsidRPr="002C6739" w:rsidRDefault="007E5C0B" w:rsidP="00505696">
            <w:pPr>
              <w:jc w:val="center"/>
              <w:rPr>
                <w:b/>
                <w:sz w:val="20"/>
                <w:szCs w:val="20"/>
              </w:rPr>
            </w:pPr>
          </w:p>
        </w:tc>
      </w:tr>
      <w:tr w:rsidR="00E47F4A" w:rsidRPr="007708C9" w:rsidTr="00D50444">
        <w:trPr>
          <w:trHeight w:val="186"/>
        </w:trPr>
        <w:tc>
          <w:tcPr>
            <w:tcW w:w="312" w:type="dxa"/>
            <w:tcBorders>
              <w:top w:val="single" w:sz="4" w:space="0" w:color="auto"/>
              <w:left w:val="single" w:sz="8" w:space="0" w:color="auto"/>
              <w:bottom w:val="single" w:sz="4" w:space="0" w:color="auto"/>
              <w:right w:val="single" w:sz="4" w:space="0" w:color="auto"/>
            </w:tcBorders>
            <w:shd w:val="clear" w:color="auto" w:fill="EEECE1" w:themeFill="background2"/>
            <w:noWrap/>
            <w:vAlign w:val="bottom"/>
          </w:tcPr>
          <w:p w:rsidR="007E5C0B" w:rsidRPr="007708C9" w:rsidRDefault="007E5C0B" w:rsidP="007E5C0B">
            <w:pPr>
              <w:rPr>
                <w:b/>
                <w:sz w:val="20"/>
                <w:szCs w:val="20"/>
              </w:rPr>
            </w:pPr>
          </w:p>
          <w:p w:rsidR="007E5C0B" w:rsidRPr="007708C9" w:rsidRDefault="007E5C0B" w:rsidP="007E5C0B">
            <w:pPr>
              <w:rPr>
                <w:b/>
                <w:sz w:val="20"/>
                <w:szCs w:val="20"/>
              </w:rPr>
            </w:pPr>
          </w:p>
        </w:tc>
        <w:tc>
          <w:tcPr>
            <w:tcW w:w="4252"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7E5C0B" w:rsidRPr="002C6739" w:rsidRDefault="007E5C0B" w:rsidP="007E5C0B">
            <w:pPr>
              <w:rPr>
                <w:b/>
                <w:sz w:val="20"/>
                <w:szCs w:val="20"/>
              </w:rPr>
            </w:pPr>
            <w:r w:rsidRPr="002C6739">
              <w:rPr>
                <w:b/>
                <w:sz w:val="20"/>
                <w:szCs w:val="20"/>
              </w:rPr>
              <w:t>ИТОГО:</w:t>
            </w:r>
          </w:p>
        </w:tc>
        <w:tc>
          <w:tcPr>
            <w:tcW w:w="1276" w:type="dxa"/>
            <w:tcBorders>
              <w:top w:val="nil"/>
              <w:left w:val="nil"/>
              <w:bottom w:val="single" w:sz="4" w:space="0" w:color="auto"/>
              <w:right w:val="single" w:sz="4" w:space="0" w:color="auto"/>
            </w:tcBorders>
            <w:shd w:val="clear" w:color="auto" w:fill="EEECE1" w:themeFill="background2"/>
            <w:noWrap/>
            <w:tcMar>
              <w:top w:w="0" w:type="dxa"/>
              <w:left w:w="0" w:type="dxa"/>
              <w:bottom w:w="0" w:type="dxa"/>
              <w:right w:w="0" w:type="dxa"/>
            </w:tcMar>
            <w:vAlign w:val="center"/>
          </w:tcPr>
          <w:p w:rsidR="007E5C0B" w:rsidRPr="002C6739" w:rsidRDefault="00D50444" w:rsidP="00756248">
            <w:pPr>
              <w:jc w:val="center"/>
              <w:rPr>
                <w:b/>
                <w:sz w:val="20"/>
                <w:szCs w:val="20"/>
              </w:rPr>
            </w:pPr>
            <w:r>
              <w:rPr>
                <w:b/>
                <w:sz w:val="20"/>
                <w:szCs w:val="20"/>
              </w:rPr>
              <w:t>652 605,</w:t>
            </w:r>
            <w:r w:rsidR="00756248">
              <w:rPr>
                <w:b/>
                <w:sz w:val="20"/>
                <w:szCs w:val="20"/>
              </w:rPr>
              <w:t>3</w:t>
            </w:r>
          </w:p>
        </w:tc>
        <w:tc>
          <w:tcPr>
            <w:tcW w:w="992" w:type="dxa"/>
            <w:tcBorders>
              <w:top w:val="nil"/>
              <w:left w:val="nil"/>
              <w:bottom w:val="single" w:sz="4" w:space="0" w:color="auto"/>
              <w:right w:val="single" w:sz="4" w:space="0" w:color="auto"/>
            </w:tcBorders>
            <w:shd w:val="clear" w:color="auto" w:fill="EEECE1" w:themeFill="background2"/>
            <w:vAlign w:val="center"/>
          </w:tcPr>
          <w:p w:rsidR="007E5C0B" w:rsidRPr="00D50444" w:rsidRDefault="00D50444" w:rsidP="007E5C0B">
            <w:pPr>
              <w:jc w:val="center"/>
              <w:rPr>
                <w:b/>
                <w:sz w:val="20"/>
                <w:szCs w:val="20"/>
              </w:rPr>
            </w:pPr>
            <w:r w:rsidRPr="00D50444">
              <w:rPr>
                <w:b/>
                <w:sz w:val="20"/>
                <w:szCs w:val="20"/>
              </w:rPr>
              <w:t>100,0%</w:t>
            </w:r>
          </w:p>
        </w:tc>
        <w:tc>
          <w:tcPr>
            <w:tcW w:w="1560" w:type="dxa"/>
            <w:tcBorders>
              <w:top w:val="nil"/>
              <w:left w:val="nil"/>
              <w:bottom w:val="single" w:sz="4" w:space="0" w:color="auto"/>
              <w:right w:val="single" w:sz="4" w:space="0" w:color="auto"/>
            </w:tcBorders>
            <w:shd w:val="clear" w:color="auto" w:fill="EEECE1" w:themeFill="background2"/>
            <w:vAlign w:val="center"/>
          </w:tcPr>
          <w:p w:rsidR="007E5C0B" w:rsidRPr="002C6739" w:rsidRDefault="00D50444" w:rsidP="00505696">
            <w:pPr>
              <w:jc w:val="center"/>
              <w:rPr>
                <w:b/>
                <w:sz w:val="20"/>
                <w:szCs w:val="20"/>
              </w:rPr>
            </w:pPr>
            <w:r>
              <w:rPr>
                <w:b/>
                <w:sz w:val="20"/>
                <w:szCs w:val="20"/>
              </w:rPr>
              <w:t>167</w:t>
            </w:r>
          </w:p>
        </w:tc>
        <w:tc>
          <w:tcPr>
            <w:tcW w:w="909" w:type="dxa"/>
            <w:tcBorders>
              <w:top w:val="nil"/>
              <w:left w:val="nil"/>
              <w:bottom w:val="single" w:sz="4" w:space="0" w:color="auto"/>
              <w:right w:val="single" w:sz="4" w:space="0" w:color="auto"/>
            </w:tcBorders>
            <w:shd w:val="clear" w:color="auto" w:fill="EEECE1" w:themeFill="background2"/>
            <w:vAlign w:val="center"/>
          </w:tcPr>
          <w:p w:rsidR="007E5C0B" w:rsidRPr="003335F3" w:rsidRDefault="00D50444" w:rsidP="007E5C0B">
            <w:pPr>
              <w:jc w:val="center"/>
              <w:rPr>
                <w:b/>
                <w:sz w:val="20"/>
                <w:szCs w:val="20"/>
              </w:rPr>
            </w:pPr>
            <w:r>
              <w:rPr>
                <w:b/>
                <w:sz w:val="20"/>
                <w:szCs w:val="20"/>
              </w:rPr>
              <w:t>100,0%</w:t>
            </w:r>
          </w:p>
        </w:tc>
      </w:tr>
    </w:tbl>
    <w:p w:rsidR="00906D39" w:rsidRDefault="00906D39" w:rsidP="000D0E51">
      <w:pPr>
        <w:ind w:firstLine="425"/>
        <w:jc w:val="both"/>
      </w:pPr>
    </w:p>
    <w:p w:rsidR="00433D37" w:rsidRDefault="00D7315B" w:rsidP="000D0E51">
      <w:pPr>
        <w:ind w:firstLine="425"/>
        <w:jc w:val="both"/>
      </w:pPr>
      <w:r>
        <w:t>Как видно из выше приведенных данных п</w:t>
      </w:r>
      <w:r w:rsidR="00433D37">
        <w:t>ри проведении электронных процедур в 20</w:t>
      </w:r>
      <w:r w:rsidR="00FA3FA7">
        <w:t>2</w:t>
      </w:r>
      <w:r w:rsidR="00BB5C05">
        <w:t>2</w:t>
      </w:r>
      <w:r w:rsidR="00433D37">
        <w:t xml:space="preserve"> году наибольшее количество процедур закупок проведено на</w:t>
      </w:r>
      <w:r>
        <w:t xml:space="preserve"> следующих </w:t>
      </w:r>
      <w:r w:rsidR="00433D37">
        <w:t xml:space="preserve"> эл</w:t>
      </w:r>
      <w:r>
        <w:t>ектронных площадках:</w:t>
      </w:r>
    </w:p>
    <w:p w:rsidR="00D7315B" w:rsidRPr="00505696" w:rsidRDefault="0082767B" w:rsidP="004C3FDB">
      <w:pPr>
        <w:numPr>
          <w:ilvl w:val="0"/>
          <w:numId w:val="6"/>
        </w:numPr>
        <w:autoSpaceDE w:val="0"/>
        <w:autoSpaceDN w:val="0"/>
        <w:adjustRightInd w:val="0"/>
        <w:ind w:left="0" w:firstLine="426"/>
        <w:jc w:val="both"/>
        <w:rPr>
          <w:rFonts w:eastAsia="Calibri"/>
          <w:b/>
          <w:bCs/>
        </w:rPr>
      </w:pPr>
      <w:r>
        <w:rPr>
          <w:rFonts w:eastAsia="Calibri"/>
          <w:bCs/>
        </w:rPr>
        <w:t>А</w:t>
      </w:r>
      <w:r w:rsidR="00D7315B" w:rsidRPr="00D7315B">
        <w:rPr>
          <w:rFonts w:eastAsia="Calibri"/>
          <w:bCs/>
        </w:rPr>
        <w:t>кционерное общество "Сбербанк - Автоматизированная система торгов"</w:t>
      </w:r>
      <w:r w:rsidR="00D7315B">
        <w:rPr>
          <w:rFonts w:eastAsia="Calibri"/>
          <w:b/>
          <w:bCs/>
        </w:rPr>
        <w:t xml:space="preserve">  </w:t>
      </w:r>
      <w:r w:rsidR="00BB5C05">
        <w:rPr>
          <w:rFonts w:eastAsia="Calibri"/>
          <w:b/>
          <w:bCs/>
        </w:rPr>
        <w:t>- 65,3</w:t>
      </w:r>
      <w:r w:rsidR="00D7315B" w:rsidRPr="00D7315B">
        <w:rPr>
          <w:rFonts w:eastAsia="Calibri"/>
          <w:b/>
          <w:bCs/>
        </w:rPr>
        <w:t>%</w:t>
      </w:r>
      <w:r w:rsidR="00CD7914">
        <w:rPr>
          <w:rFonts w:eastAsia="Calibri"/>
          <w:b/>
          <w:bCs/>
        </w:rPr>
        <w:t xml:space="preserve"> </w:t>
      </w:r>
      <w:r w:rsidR="00CD7914" w:rsidRPr="00CD7914">
        <w:rPr>
          <w:rFonts w:eastAsia="Calibri"/>
          <w:bCs/>
        </w:rPr>
        <w:t>и составляет</w:t>
      </w:r>
      <w:r w:rsidR="00CD7914">
        <w:rPr>
          <w:rFonts w:eastAsia="Calibri"/>
          <w:b/>
          <w:bCs/>
        </w:rPr>
        <w:t xml:space="preserve"> </w:t>
      </w:r>
      <w:r w:rsidR="007C0D02">
        <w:rPr>
          <w:rFonts w:eastAsia="Calibri"/>
          <w:b/>
          <w:bCs/>
        </w:rPr>
        <w:t>109 извещений</w:t>
      </w:r>
      <w:r>
        <w:rPr>
          <w:rFonts w:eastAsia="Calibri"/>
          <w:b/>
          <w:bCs/>
        </w:rPr>
        <w:t xml:space="preserve"> </w:t>
      </w:r>
      <w:r>
        <w:rPr>
          <w:rFonts w:eastAsia="Calibri"/>
          <w:bCs/>
        </w:rPr>
        <w:t>(за 20</w:t>
      </w:r>
      <w:r w:rsidR="00BB5C05">
        <w:rPr>
          <w:rFonts w:eastAsia="Calibri"/>
          <w:bCs/>
        </w:rPr>
        <w:t>21</w:t>
      </w:r>
      <w:r>
        <w:rPr>
          <w:rFonts w:eastAsia="Calibri"/>
          <w:bCs/>
        </w:rPr>
        <w:t xml:space="preserve"> год – </w:t>
      </w:r>
      <w:r w:rsidR="00BB5C05">
        <w:rPr>
          <w:rFonts w:eastAsia="Calibri"/>
          <w:bCs/>
        </w:rPr>
        <w:t>77,4</w:t>
      </w:r>
      <w:r>
        <w:rPr>
          <w:rFonts w:eastAsia="Calibri"/>
          <w:bCs/>
        </w:rPr>
        <w:t>%</w:t>
      </w:r>
      <w:r w:rsidR="007C0D02">
        <w:rPr>
          <w:rFonts w:eastAsia="Calibri"/>
          <w:bCs/>
        </w:rPr>
        <w:t xml:space="preserve"> (89 извещений)</w:t>
      </w:r>
      <w:r>
        <w:rPr>
          <w:rFonts w:eastAsia="Calibri"/>
          <w:bCs/>
        </w:rPr>
        <w:t xml:space="preserve">, снижение на </w:t>
      </w:r>
      <w:r w:rsidR="00BB5C05">
        <w:rPr>
          <w:rFonts w:eastAsia="Calibri"/>
          <w:bCs/>
        </w:rPr>
        <w:t>12,1</w:t>
      </w:r>
      <w:r>
        <w:rPr>
          <w:rFonts w:eastAsia="Calibri"/>
          <w:bCs/>
        </w:rPr>
        <w:t xml:space="preserve"> процентных пунктов</w:t>
      </w:r>
      <w:r w:rsidR="006B18C8">
        <w:rPr>
          <w:rFonts w:eastAsia="Calibri"/>
          <w:bCs/>
        </w:rPr>
        <w:t>)</w:t>
      </w:r>
      <w:r>
        <w:rPr>
          <w:rFonts w:eastAsia="Calibri"/>
          <w:bCs/>
        </w:rPr>
        <w:t>;</w:t>
      </w:r>
    </w:p>
    <w:p w:rsidR="00505696" w:rsidRPr="006F2816" w:rsidRDefault="00505696" w:rsidP="004C3FDB">
      <w:pPr>
        <w:numPr>
          <w:ilvl w:val="0"/>
          <w:numId w:val="6"/>
        </w:numPr>
        <w:autoSpaceDE w:val="0"/>
        <w:autoSpaceDN w:val="0"/>
        <w:adjustRightInd w:val="0"/>
        <w:ind w:left="0" w:firstLine="426"/>
        <w:jc w:val="both"/>
      </w:pPr>
      <w:r>
        <w:rPr>
          <w:rFonts w:eastAsia="Calibri"/>
          <w:bCs/>
        </w:rPr>
        <w:t xml:space="preserve">Общество с ограниченной ответственностью «РТС – тендер» - </w:t>
      </w:r>
      <w:r w:rsidR="002A19A4">
        <w:rPr>
          <w:rFonts w:eastAsia="Calibri"/>
          <w:b/>
          <w:bCs/>
        </w:rPr>
        <w:t>32,9%</w:t>
      </w:r>
      <w:r w:rsidR="007C0D02">
        <w:rPr>
          <w:rFonts w:eastAsia="Calibri"/>
          <w:b/>
          <w:bCs/>
        </w:rPr>
        <w:t xml:space="preserve"> </w:t>
      </w:r>
      <w:r w:rsidR="007C0D02" w:rsidRPr="007C0D02">
        <w:rPr>
          <w:rFonts w:eastAsia="Calibri"/>
          <w:bCs/>
        </w:rPr>
        <w:t>и составляет</w:t>
      </w:r>
      <w:r w:rsidR="007C0D02">
        <w:rPr>
          <w:rFonts w:eastAsia="Calibri"/>
          <w:bCs/>
        </w:rPr>
        <w:t xml:space="preserve"> </w:t>
      </w:r>
      <w:r w:rsidR="007C0D02" w:rsidRPr="007C0D02">
        <w:rPr>
          <w:rFonts w:eastAsia="Calibri"/>
          <w:b/>
          <w:bCs/>
        </w:rPr>
        <w:t>55 извещений</w:t>
      </w:r>
      <w:r>
        <w:rPr>
          <w:rFonts w:eastAsia="Calibri"/>
          <w:bCs/>
        </w:rPr>
        <w:t xml:space="preserve"> (</w:t>
      </w:r>
      <w:r w:rsidR="003160F1">
        <w:rPr>
          <w:rFonts w:eastAsia="Calibri"/>
          <w:bCs/>
        </w:rPr>
        <w:t>з</w:t>
      </w:r>
      <w:r>
        <w:rPr>
          <w:rFonts w:eastAsia="Calibri"/>
          <w:bCs/>
        </w:rPr>
        <w:t>а 20</w:t>
      </w:r>
      <w:r w:rsidR="002A19A4">
        <w:rPr>
          <w:rFonts w:eastAsia="Calibri"/>
          <w:bCs/>
        </w:rPr>
        <w:t>21</w:t>
      </w:r>
      <w:r>
        <w:rPr>
          <w:rFonts w:eastAsia="Calibri"/>
          <w:bCs/>
        </w:rPr>
        <w:t xml:space="preserve"> год – </w:t>
      </w:r>
      <w:r w:rsidR="002A19A4">
        <w:rPr>
          <w:rFonts w:eastAsia="Calibri"/>
          <w:bCs/>
        </w:rPr>
        <w:t>7,0</w:t>
      </w:r>
      <w:r>
        <w:rPr>
          <w:rFonts w:eastAsia="Calibri"/>
          <w:bCs/>
        </w:rPr>
        <w:t>%</w:t>
      </w:r>
      <w:r w:rsidR="007C0D02">
        <w:rPr>
          <w:rFonts w:eastAsia="Calibri"/>
          <w:bCs/>
        </w:rPr>
        <w:t xml:space="preserve"> (8 извещений)</w:t>
      </w:r>
      <w:r>
        <w:rPr>
          <w:rFonts w:eastAsia="Calibri"/>
          <w:bCs/>
        </w:rPr>
        <w:t xml:space="preserve">, </w:t>
      </w:r>
      <w:r w:rsidR="007C0D02">
        <w:rPr>
          <w:rFonts w:eastAsia="Calibri"/>
          <w:bCs/>
        </w:rPr>
        <w:t>рост</w:t>
      </w:r>
      <w:r w:rsidR="002A19A4">
        <w:rPr>
          <w:rFonts w:eastAsia="Calibri"/>
          <w:bCs/>
        </w:rPr>
        <w:t xml:space="preserve"> </w:t>
      </w:r>
      <w:r>
        <w:rPr>
          <w:rFonts w:eastAsia="Calibri"/>
          <w:bCs/>
        </w:rPr>
        <w:t xml:space="preserve">на  </w:t>
      </w:r>
      <w:r w:rsidR="002A19A4">
        <w:rPr>
          <w:rFonts w:eastAsia="Calibri"/>
          <w:bCs/>
        </w:rPr>
        <w:t xml:space="preserve">25,9 </w:t>
      </w:r>
      <w:r>
        <w:rPr>
          <w:rFonts w:eastAsia="Calibri"/>
          <w:bCs/>
        </w:rPr>
        <w:t>процентных пунктов).</w:t>
      </w:r>
    </w:p>
    <w:p w:rsidR="007C0D02" w:rsidRDefault="007C0D02" w:rsidP="003160F1">
      <w:pPr>
        <w:autoSpaceDE w:val="0"/>
        <w:autoSpaceDN w:val="0"/>
        <w:adjustRightInd w:val="0"/>
        <w:ind w:firstLine="426"/>
        <w:jc w:val="both"/>
        <w:rPr>
          <w:rFonts w:eastAsia="Calibri"/>
          <w:bCs/>
        </w:rPr>
      </w:pPr>
      <w:r>
        <w:rPr>
          <w:rFonts w:eastAsia="Calibri"/>
          <w:bCs/>
        </w:rPr>
        <w:t>В</w:t>
      </w:r>
      <w:r w:rsidR="003160F1">
        <w:rPr>
          <w:rFonts w:eastAsia="Calibri"/>
          <w:bCs/>
        </w:rPr>
        <w:t xml:space="preserve"> сравнении с 2021  годом наблюдается уменьшение доли опубликованных извещений на электронной площадке АО «Сбербанк – АТС» - на 12,1 процентных пунктов.</w:t>
      </w:r>
    </w:p>
    <w:p w:rsidR="003160F1" w:rsidRDefault="003160F1" w:rsidP="00440DA6">
      <w:pPr>
        <w:autoSpaceDE w:val="0"/>
        <w:autoSpaceDN w:val="0"/>
        <w:adjustRightInd w:val="0"/>
        <w:ind w:firstLine="426"/>
        <w:jc w:val="both"/>
      </w:pPr>
      <w:r>
        <w:rPr>
          <w:rFonts w:eastAsia="Calibri"/>
          <w:bCs/>
        </w:rPr>
        <w:t>Наибольшее увеличение доли публикации извещений зафиксировано на электронной площадке АО «РТС – тендер» – на 25,9 процентных пунктов.</w:t>
      </w:r>
    </w:p>
    <w:p w:rsidR="003160F1" w:rsidRPr="00CD7914" w:rsidRDefault="003160F1" w:rsidP="003160F1">
      <w:pPr>
        <w:jc w:val="both"/>
      </w:pPr>
      <w:r>
        <w:rPr>
          <w:i/>
        </w:rPr>
        <w:t xml:space="preserve">      </w:t>
      </w:r>
      <w:r w:rsidRPr="00CD7914">
        <w:rPr>
          <w:i/>
        </w:rPr>
        <w:t>Для сравнения</w:t>
      </w:r>
      <w:r w:rsidRPr="00CD7914">
        <w:t>: В аналогичном периоде 20</w:t>
      </w:r>
      <w:r>
        <w:t>21</w:t>
      </w:r>
      <w:r w:rsidRPr="00CD7914">
        <w:t xml:space="preserve"> года Заказчик</w:t>
      </w:r>
      <w:r>
        <w:t>и</w:t>
      </w:r>
      <w:r w:rsidRPr="00CD7914">
        <w:t xml:space="preserve"> для размещения закупок использовал</w:t>
      </w:r>
      <w:r>
        <w:t>и</w:t>
      </w:r>
      <w:r w:rsidRPr="00CD7914">
        <w:t xml:space="preserve"> </w:t>
      </w:r>
      <w:r>
        <w:t>5</w:t>
      </w:r>
      <w:r w:rsidRPr="00CD7914">
        <w:t xml:space="preserve"> электронны</w:t>
      </w:r>
      <w:r>
        <w:t>х</w:t>
      </w:r>
      <w:r w:rsidRPr="00CD7914">
        <w:t xml:space="preserve"> площад</w:t>
      </w:r>
      <w:r>
        <w:t>ок</w:t>
      </w:r>
      <w:r w:rsidRPr="00CD7914">
        <w:t xml:space="preserve"> (АО «Сбербанк - АСТ»; АО «ЕЭТП»; АО «АГЗ РТ»; ООО «РТС – тендер»</w:t>
      </w:r>
      <w:r>
        <w:t>; АО «ЭТС»</w:t>
      </w:r>
      <w:r w:rsidRPr="00CD7914">
        <w:t>).</w:t>
      </w:r>
    </w:p>
    <w:p w:rsidR="00440DA6" w:rsidRDefault="006B18C8" w:rsidP="00440DA6">
      <w:pPr>
        <w:autoSpaceDE w:val="0"/>
        <w:autoSpaceDN w:val="0"/>
        <w:adjustRightInd w:val="0"/>
        <w:ind w:firstLine="426"/>
        <w:jc w:val="both"/>
      </w:pPr>
      <w:r>
        <w:t xml:space="preserve">Изменение предпочтений в выборе электронных площадок для проведения закупок обусловлено, в том числе, предоставлением заказчикам дополнительных сервисов, таких как подготовка аналитических отчетов о закупках заказчика, функционал для расчета НМЦК, приглашение потенциальных </w:t>
      </w:r>
      <w:r w:rsidR="00440DA6">
        <w:t>участников на закупки заказчика, проведение обучающих семинаров.</w:t>
      </w:r>
    </w:p>
    <w:p w:rsidR="00D06352" w:rsidRDefault="00D06352" w:rsidP="00D06352">
      <w:pPr>
        <w:pStyle w:val="ad"/>
        <w:spacing w:before="0" w:beforeAutospacing="0" w:after="0" w:afterAutospacing="0"/>
        <w:ind w:firstLine="426"/>
        <w:jc w:val="both"/>
      </w:pPr>
      <w:r>
        <w:rPr>
          <w:b/>
        </w:rPr>
        <w:lastRenderedPageBreak/>
        <w:t>Необходимо отметить, что с</w:t>
      </w:r>
      <w:r w:rsidRPr="004727F3">
        <w:rPr>
          <w:b/>
        </w:rPr>
        <w:t xml:space="preserve"> 1 января 2023 года</w:t>
      </w:r>
      <w:r>
        <w:t xml:space="preserve"> на год продлены </w:t>
      </w:r>
      <w:proofErr w:type="spellStart"/>
      <w:r>
        <w:t>антисанкционные</w:t>
      </w:r>
      <w:proofErr w:type="spellEnd"/>
      <w:r>
        <w:t xml:space="preserve">  закупочные правила, в связи с этим Заказчикам приходится решать, оставаться ли в новом году на </w:t>
      </w:r>
      <w:proofErr w:type="gramStart"/>
      <w:r>
        <w:t>привычной площадке</w:t>
      </w:r>
      <w:proofErr w:type="gramEnd"/>
      <w:r>
        <w:t>, сменить ее или работать на двух-трех площадках сразу. Если придется проводить  несвойственные ранее закупки, можно пересмотреть какие площадки для этого будут больше подходить.</w:t>
      </w:r>
    </w:p>
    <w:p w:rsidR="00D06352" w:rsidRDefault="00D06352" w:rsidP="00D06352">
      <w:pPr>
        <w:autoSpaceDE w:val="0"/>
        <w:autoSpaceDN w:val="0"/>
        <w:adjustRightInd w:val="0"/>
        <w:ind w:firstLine="425"/>
        <w:jc w:val="both"/>
        <w:outlineLvl w:val="0"/>
      </w:pPr>
      <w:r>
        <w:t xml:space="preserve">Базовые сервисы у площадок пересекаются — расчетчики цен и шаблоны протоколов.  </w:t>
      </w:r>
    </w:p>
    <w:p w:rsidR="00D06352" w:rsidRDefault="00D06352" w:rsidP="00D06352">
      <w:pPr>
        <w:autoSpaceDE w:val="0"/>
        <w:autoSpaceDN w:val="0"/>
        <w:adjustRightInd w:val="0"/>
        <w:ind w:firstLine="425"/>
        <w:jc w:val="both"/>
        <w:outlineLvl w:val="0"/>
      </w:pPr>
      <w:r>
        <w:t>Современные средства оповещения — боты и мобильные приложения, ввели пока не все. В 2022 году  у многих появились сервисы по </w:t>
      </w:r>
      <w:proofErr w:type="spellStart"/>
      <w:r>
        <w:t>импортозамещению</w:t>
      </w:r>
      <w:proofErr w:type="spellEnd"/>
      <w:r>
        <w:t xml:space="preserve">. Доработаны калькуляторы пеней, ими теперь чаще пользуются при постоянной смене ставки ЦБ. </w:t>
      </w:r>
    </w:p>
    <w:p w:rsidR="00D06352" w:rsidRDefault="00D06352" w:rsidP="00D06352">
      <w:pPr>
        <w:autoSpaceDE w:val="0"/>
        <w:autoSpaceDN w:val="0"/>
        <w:adjustRightInd w:val="0"/>
        <w:ind w:firstLine="425"/>
        <w:jc w:val="both"/>
        <w:outlineLvl w:val="0"/>
        <w:rPr>
          <w:rFonts w:eastAsia="Calibri"/>
          <w:bCs/>
        </w:rPr>
      </w:pPr>
      <w:r>
        <w:t xml:space="preserve">Снова на площадках стал актуален </w:t>
      </w:r>
      <w:proofErr w:type="spellStart"/>
      <w:r>
        <w:t>автоторг</w:t>
      </w:r>
      <w:proofErr w:type="spellEnd"/>
      <w:r>
        <w:t xml:space="preserve">: число заявок на торги падает со времен пандемии. </w:t>
      </w:r>
      <w:proofErr w:type="spellStart"/>
      <w:r>
        <w:t>Автоторг</w:t>
      </w:r>
      <w:proofErr w:type="spellEnd"/>
      <w:r>
        <w:t xml:space="preserve"> позволяет участвовать в аукционах разных часовых поясов.</w:t>
      </w:r>
    </w:p>
    <w:p w:rsidR="00D06352" w:rsidRDefault="00D06352" w:rsidP="00440DA6">
      <w:pPr>
        <w:ind w:firstLine="425"/>
        <w:jc w:val="both"/>
      </w:pPr>
    </w:p>
    <w:tbl>
      <w:tblPr>
        <w:tblW w:w="4917" w:type="pct"/>
        <w:tblInd w:w="108" w:type="dxa"/>
        <w:tblLayout w:type="fixed"/>
        <w:tblLook w:val="0000" w:firstRow="0" w:lastRow="0" w:firstColumn="0" w:lastColumn="0" w:noHBand="0" w:noVBand="0"/>
      </w:tblPr>
      <w:tblGrid>
        <w:gridCol w:w="9411"/>
      </w:tblGrid>
      <w:tr w:rsidR="000D0E51" w:rsidRPr="00C12933" w:rsidTr="000D0E51">
        <w:trPr>
          <w:trHeight w:val="70"/>
        </w:trPr>
        <w:tc>
          <w:tcPr>
            <w:tcW w:w="5000" w:type="pct"/>
            <w:tcBorders>
              <w:top w:val="single" w:sz="4" w:space="0" w:color="FFFFFF"/>
              <w:left w:val="single" w:sz="4" w:space="0" w:color="FFFFFF"/>
              <w:bottom w:val="single" w:sz="4" w:space="0" w:color="FFFFFF"/>
              <w:right w:val="single" w:sz="4" w:space="0" w:color="FFFFFF"/>
            </w:tcBorders>
          </w:tcPr>
          <w:p w:rsidR="000D0E51" w:rsidRPr="00C12933" w:rsidRDefault="00BA41A7" w:rsidP="000D0E51">
            <w:r w:rsidRPr="00C12933">
              <w:rPr>
                <w:b/>
              </w:rPr>
              <w:t>5.</w:t>
            </w:r>
            <w:r w:rsidR="00614C60" w:rsidRPr="00C12933">
              <w:rPr>
                <w:b/>
              </w:rPr>
              <w:t xml:space="preserve"> Реестр контрактов, заключенных заказчиками.</w:t>
            </w:r>
          </w:p>
        </w:tc>
      </w:tr>
    </w:tbl>
    <w:p w:rsidR="006421D8" w:rsidRPr="00C12933" w:rsidRDefault="006421D8" w:rsidP="00687395">
      <w:pPr>
        <w:spacing w:line="120" w:lineRule="auto"/>
        <w:ind w:right="142" w:firstLine="851"/>
        <w:jc w:val="both"/>
        <w:rPr>
          <w:noProof/>
        </w:rPr>
      </w:pPr>
    </w:p>
    <w:p w:rsidR="00687395" w:rsidRPr="00274A92" w:rsidRDefault="00687395" w:rsidP="00687395">
      <w:pPr>
        <w:tabs>
          <w:tab w:val="left" w:pos="5798"/>
        </w:tabs>
        <w:ind w:firstLine="425"/>
        <w:jc w:val="both"/>
      </w:pPr>
      <w:r w:rsidRPr="00274A92">
        <w:t xml:space="preserve">Ведение реестра контрактов, заключенных заказчиками, регламентируется </w:t>
      </w:r>
      <w:r w:rsidR="009A33C2">
        <w:t xml:space="preserve">       </w:t>
      </w:r>
      <w:r w:rsidRPr="00274A92">
        <w:rPr>
          <w:rStyle w:val="af"/>
          <w:rFonts w:cs="Times New Roman CYR"/>
          <w:b/>
          <w:color w:val="auto"/>
        </w:rPr>
        <w:t>статьей</w:t>
      </w:r>
      <w:r w:rsidRPr="00274A92">
        <w:rPr>
          <w:rStyle w:val="a5"/>
          <w:color w:val="auto"/>
          <w:u w:val="none"/>
        </w:rPr>
        <w:t xml:space="preserve"> </w:t>
      </w:r>
      <w:r w:rsidRPr="00274A92">
        <w:rPr>
          <w:rStyle w:val="af"/>
          <w:rFonts w:cs="Times New Roman CYR"/>
          <w:b/>
          <w:color w:val="auto"/>
        </w:rPr>
        <w:t>103</w:t>
      </w:r>
      <w:r w:rsidRPr="00274A92">
        <w:rPr>
          <w:rStyle w:val="a5"/>
          <w:color w:val="auto"/>
          <w:u w:val="none"/>
        </w:rPr>
        <w:t xml:space="preserve"> </w:t>
      </w:r>
      <w:r w:rsidRPr="00274A92">
        <w:t>Закона №44-ФЗ. Часть 2 статьи 103 содержит перечень документов и информации, подлежащих включению в реестр контрактов.</w:t>
      </w:r>
    </w:p>
    <w:p w:rsidR="00BD083F" w:rsidRDefault="00687395" w:rsidP="009A33C2">
      <w:pPr>
        <w:jc w:val="both"/>
      </w:pPr>
      <w:r w:rsidRPr="00274A92">
        <w:t xml:space="preserve">       </w:t>
      </w:r>
      <w:r w:rsidR="00BD083F" w:rsidRPr="00C41A10">
        <w:t xml:space="preserve">В 2022 году правила ведения </w:t>
      </w:r>
      <w:r w:rsidR="009A33C2">
        <w:t>реестра</w:t>
      </w:r>
      <w:r w:rsidR="00BD083F" w:rsidRPr="00C41A10">
        <w:t xml:space="preserve"> контрактов изменили. </w:t>
      </w:r>
      <w:r w:rsidR="009A33C2">
        <w:t xml:space="preserve">Правительство РФ в соответствии </w:t>
      </w:r>
      <w:r w:rsidR="009A33C2" w:rsidRPr="009A33C2">
        <w:t>с</w:t>
      </w:r>
      <w:r w:rsidR="009A33C2">
        <w:t xml:space="preserve"> </w:t>
      </w:r>
      <w:r w:rsidR="009A33C2" w:rsidRPr="009A33C2">
        <w:t xml:space="preserve"> </w:t>
      </w:r>
      <w:hyperlink r:id="rId102" w:history="1">
        <w:r w:rsidR="009A33C2" w:rsidRPr="009A33C2">
          <w:rPr>
            <w:rStyle w:val="af"/>
            <w:rFonts w:cs="Times New Roman CYR"/>
            <w:b/>
            <w:color w:val="auto"/>
          </w:rPr>
          <w:t>ч. 6 статьи  103</w:t>
        </w:r>
      </w:hyperlink>
      <w:r w:rsidR="009A33C2" w:rsidRPr="009A33C2">
        <w:rPr>
          <w:b/>
        </w:rPr>
        <w:t xml:space="preserve"> </w:t>
      </w:r>
      <w:r w:rsidR="009A33C2" w:rsidRPr="009A33C2">
        <w:t xml:space="preserve">Закона </w:t>
      </w:r>
      <w:r w:rsidR="009A33C2">
        <w:t xml:space="preserve">N 44-ФЗ утвердило Правила ведения реестра контрактов, заключенных заказчиками. </w:t>
      </w:r>
      <w:r w:rsidR="00BD083F" w:rsidRPr="00C41A10">
        <w:t xml:space="preserve">Новый порядок закреплен в Постановлении </w:t>
      </w:r>
      <w:r w:rsidR="009A33C2">
        <w:t xml:space="preserve"> </w:t>
      </w:r>
      <w:r w:rsidR="00BD083F" w:rsidRPr="00C41A10">
        <w:t xml:space="preserve">Правительства </w:t>
      </w:r>
      <w:r w:rsidR="00BD083F" w:rsidRPr="00C41A10">
        <w:rPr>
          <w:b/>
        </w:rPr>
        <w:t>№ 60 от 27.01.2022</w:t>
      </w:r>
      <w:r w:rsidR="009A33C2">
        <w:t xml:space="preserve"> (далее – </w:t>
      </w:r>
      <w:r w:rsidR="009A33C2" w:rsidRPr="009A33C2">
        <w:rPr>
          <w:b/>
        </w:rPr>
        <w:t>Правила</w:t>
      </w:r>
      <w:r w:rsidR="009A33C2">
        <w:t xml:space="preserve">). </w:t>
      </w:r>
    </w:p>
    <w:p w:rsidR="009A33C2" w:rsidRDefault="009A33C2" w:rsidP="009A33C2">
      <w:pPr>
        <w:jc w:val="both"/>
      </w:pPr>
      <w:r>
        <w:t xml:space="preserve">       Правила содержат перечень информации и документов, подлежащих включению в реестр контрактов, устанавливают порядок формирования и размещения в реестре соответствующих информации и документов, осуществления контроля при ведении реестра.</w:t>
      </w:r>
    </w:p>
    <w:p w:rsidR="009A33C2" w:rsidRDefault="009A33C2" w:rsidP="009A33C2">
      <w:pPr>
        <w:jc w:val="both"/>
      </w:pPr>
      <w:r>
        <w:t xml:space="preserve">      Согласно документу, ведение реестра контрактов обеспечивается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Реестр ведется в электронном виде путем формирования и изменения реестровых записей. Реестр является частью ЕИС.</w:t>
      </w:r>
    </w:p>
    <w:p w:rsidR="009A33C2" w:rsidRDefault="009A33C2" w:rsidP="009A33C2">
      <w:pPr>
        <w:jc w:val="both"/>
      </w:pPr>
      <w:r>
        <w:t xml:space="preserve">       Формирование информации и документов в реестре осуществляются заказчиками, юридическими лицами, указанными в </w:t>
      </w:r>
      <w:hyperlink r:id="rId103" w:history="1">
        <w:r w:rsidRPr="009A33C2">
          <w:rPr>
            <w:rStyle w:val="af"/>
            <w:rFonts w:cs="Times New Roman CYR"/>
            <w:color w:val="auto"/>
          </w:rPr>
          <w:t>статье 15</w:t>
        </w:r>
      </w:hyperlink>
      <w:r>
        <w:t xml:space="preserve"> Закона N 44-ФЗ, а также соответствующим уполномоченным органом.</w:t>
      </w:r>
    </w:p>
    <w:p w:rsidR="009A33C2" w:rsidRDefault="009A33C2" w:rsidP="00652B9F">
      <w:pPr>
        <w:autoSpaceDE w:val="0"/>
        <w:autoSpaceDN w:val="0"/>
        <w:adjustRightInd w:val="0"/>
        <w:jc w:val="both"/>
      </w:pPr>
      <w:r>
        <w:t xml:space="preserve">        </w:t>
      </w:r>
      <w:r>
        <w:rPr>
          <w:color w:val="000000"/>
        </w:rPr>
        <w:t>Сведения, которые заказчик должен включить в реестр, когда заключает контракт, перечислены в </w:t>
      </w:r>
      <w:hyperlink r:id="rId104" w:anchor="/document/99/728056518/XA00M2Q2M9/" w:tgtFrame="_self" w:history="1">
        <w:r w:rsidRPr="009A33C2">
          <w:rPr>
            <w:rStyle w:val="a5"/>
            <w:b/>
            <w:color w:val="auto"/>
            <w:u w:val="none"/>
          </w:rPr>
          <w:t>пункте 10</w:t>
        </w:r>
      </w:hyperlink>
      <w:r>
        <w:rPr>
          <w:color w:val="000000"/>
        </w:rPr>
        <w:t xml:space="preserve"> Правил ведения реестра контрактов из  </w:t>
      </w:r>
      <w:proofErr w:type="gramStart"/>
      <w:r w:rsidR="00652B9F">
        <w:rPr>
          <w:color w:val="000000"/>
        </w:rPr>
        <w:t>п</w:t>
      </w:r>
      <w:proofErr w:type="gramEnd"/>
      <w:r w:rsidR="00A6037A">
        <w:fldChar w:fldCharType="begin"/>
      </w:r>
      <w:r w:rsidR="00A6037A">
        <w:instrText xml:space="preserve"> HYPERLINK "https://vip.1gzakaz.ru/" \l "/document/99/728056518/" \t "_self" </w:instrText>
      </w:r>
      <w:r w:rsidR="00A6037A">
        <w:fldChar w:fldCharType="separate"/>
      </w:r>
      <w:r w:rsidRPr="009A33C2">
        <w:rPr>
          <w:rStyle w:val="a5"/>
          <w:color w:val="auto"/>
          <w:u w:val="none"/>
        </w:rPr>
        <w:t>остановления</w:t>
      </w:r>
      <w:r w:rsidR="00652B9F">
        <w:rPr>
          <w:rStyle w:val="a5"/>
          <w:color w:val="auto"/>
          <w:u w:val="none"/>
        </w:rPr>
        <w:t xml:space="preserve"> Правительства </w:t>
      </w:r>
      <w:r w:rsidRPr="009A33C2">
        <w:rPr>
          <w:rStyle w:val="a5"/>
          <w:color w:val="auto"/>
          <w:u w:val="none"/>
        </w:rPr>
        <w:t xml:space="preserve"> № 60</w:t>
      </w:r>
      <w:r w:rsidR="00A6037A">
        <w:rPr>
          <w:rStyle w:val="a5"/>
          <w:color w:val="auto"/>
          <w:u w:val="none"/>
        </w:rPr>
        <w:fldChar w:fldCharType="end"/>
      </w:r>
      <w:r>
        <w:rPr>
          <w:color w:val="000000"/>
        </w:rPr>
        <w:t>. При этом часть сведений нужно будет включать в реестр позже, но они уже перечислены в постановлении как отложенные. </w:t>
      </w:r>
    </w:p>
    <w:p w:rsidR="00652B9F" w:rsidRDefault="00652B9F" w:rsidP="00652B9F">
      <w:pPr>
        <w:jc w:val="both"/>
      </w:pPr>
      <w:r w:rsidRPr="00652B9F">
        <w:t xml:space="preserve">        Напомним</w:t>
      </w:r>
      <w:proofErr w:type="gramStart"/>
      <w:r>
        <w:t xml:space="preserve"> </w:t>
      </w:r>
      <w:r w:rsidRPr="00652B9F">
        <w:t>,</w:t>
      </w:r>
      <w:proofErr w:type="gramEnd"/>
      <w:r w:rsidRPr="00652B9F">
        <w:t xml:space="preserve"> </w:t>
      </w:r>
      <w:r>
        <w:t xml:space="preserve">что </w:t>
      </w:r>
      <w:r w:rsidRPr="00652B9F">
        <w:t xml:space="preserve">в силу </w:t>
      </w:r>
      <w:hyperlink r:id="rId105" w:history="1">
        <w:r w:rsidRPr="00652B9F">
          <w:rPr>
            <w:rStyle w:val="af"/>
            <w:rFonts w:cs="Times New Roman CYR"/>
            <w:color w:val="auto"/>
          </w:rPr>
          <w:t>ч. 1 ст</w:t>
        </w:r>
        <w:r>
          <w:rPr>
            <w:rStyle w:val="af"/>
            <w:rFonts w:cs="Times New Roman CYR"/>
            <w:color w:val="auto"/>
          </w:rPr>
          <w:t xml:space="preserve">атьи </w:t>
        </w:r>
        <w:r w:rsidRPr="00652B9F">
          <w:rPr>
            <w:rStyle w:val="af"/>
            <w:rFonts w:cs="Times New Roman CYR"/>
            <w:color w:val="auto"/>
          </w:rPr>
          <w:t>103</w:t>
        </w:r>
      </w:hyperlink>
      <w:r w:rsidRPr="00652B9F">
        <w:t xml:space="preserve"> Закона N 44-ФЗ в реестр контрактов включается информация обо всех контрактах, за исключением</w:t>
      </w:r>
      <w:r w:rsidR="005937E0">
        <w:t xml:space="preserve"> </w:t>
      </w:r>
      <w:r w:rsidRPr="00652B9F">
        <w:t xml:space="preserve"> </w:t>
      </w:r>
      <w:r w:rsidR="005937E0">
        <w:t>контрактов, информация о которых  не подлежит  размещению в ЕИС.</w:t>
      </w:r>
    </w:p>
    <w:p w:rsidR="00652B9F" w:rsidRPr="00652B9F" w:rsidRDefault="00652B9F" w:rsidP="00652B9F">
      <w:pPr>
        <w:jc w:val="both"/>
      </w:pPr>
      <w:r>
        <w:t xml:space="preserve">       </w:t>
      </w:r>
      <w:r w:rsidRPr="00652B9F">
        <w:t xml:space="preserve">Информация и документы, относящиеся к заключенным заказчиками контрактам, которые включаются в указанный реестр, перечислены в </w:t>
      </w:r>
      <w:hyperlink r:id="rId106" w:history="1">
        <w:r w:rsidRPr="00652B9F">
          <w:rPr>
            <w:rStyle w:val="af"/>
            <w:rFonts w:cs="Times New Roman CYR"/>
            <w:color w:val="auto"/>
          </w:rPr>
          <w:t>ч. 2 ст</w:t>
        </w:r>
        <w:r>
          <w:rPr>
            <w:rStyle w:val="af"/>
            <w:rFonts w:cs="Times New Roman CYR"/>
            <w:color w:val="auto"/>
          </w:rPr>
          <w:t xml:space="preserve">атьи </w:t>
        </w:r>
        <w:r w:rsidRPr="00652B9F">
          <w:rPr>
            <w:rStyle w:val="af"/>
            <w:rFonts w:cs="Times New Roman CYR"/>
            <w:color w:val="auto"/>
          </w:rPr>
          <w:t>103</w:t>
        </w:r>
      </w:hyperlink>
      <w:r w:rsidRPr="00652B9F">
        <w:t xml:space="preserve"> Закона N 44-ФЗ, </w:t>
      </w:r>
      <w:hyperlink r:id="rId107" w:history="1">
        <w:r w:rsidRPr="00652B9F">
          <w:rPr>
            <w:rStyle w:val="af"/>
            <w:rFonts w:cs="Times New Roman CYR"/>
            <w:color w:val="auto"/>
          </w:rPr>
          <w:t>п. 10 - 14</w:t>
        </w:r>
      </w:hyperlink>
      <w:r w:rsidRPr="00652B9F">
        <w:t xml:space="preserve"> Правил ведения реестра контрактов, заключенных заказчиками, утвержденных </w:t>
      </w:r>
      <w:hyperlink r:id="rId108" w:history="1">
        <w:r w:rsidRPr="00652B9F">
          <w:rPr>
            <w:rStyle w:val="af"/>
            <w:rFonts w:cs="Times New Roman CYR"/>
            <w:color w:val="auto"/>
          </w:rPr>
          <w:t>постановлением</w:t>
        </w:r>
      </w:hyperlink>
      <w:r w:rsidRPr="00652B9F">
        <w:t xml:space="preserve"> Правительства РФ от 27.01.2022 N 60.</w:t>
      </w:r>
    </w:p>
    <w:p w:rsidR="009A33C2" w:rsidRDefault="0003258A" w:rsidP="009A33C2">
      <w:pPr>
        <w:jc w:val="both"/>
      </w:pPr>
      <w:r>
        <w:t xml:space="preserve">       </w:t>
      </w:r>
      <w:r w:rsidR="009A33C2">
        <w:t>В реестр не включается информация о контрактах, которые не подлежат размещению в ЕИС, в частности информация о контрактах, заключенных в соответствии:</w:t>
      </w:r>
    </w:p>
    <w:p w:rsidR="009A33C2" w:rsidRPr="009A33C2" w:rsidRDefault="009A33C2" w:rsidP="009A33C2">
      <w:pPr>
        <w:jc w:val="both"/>
      </w:pPr>
      <w:r>
        <w:t xml:space="preserve">        - с пунктами 4, 5 (за исключением контрактов, заключенных в соответствии </w:t>
      </w:r>
      <w:r w:rsidRPr="009A33C2">
        <w:t xml:space="preserve">с </w:t>
      </w:r>
      <w:hyperlink r:id="rId109" w:history="1">
        <w:r w:rsidRPr="009A33C2">
          <w:rPr>
            <w:rStyle w:val="af"/>
            <w:rFonts w:cs="Times New Roman CYR"/>
            <w:color w:val="auto"/>
          </w:rPr>
          <w:t>ч. 12 ст. 93</w:t>
        </w:r>
      </w:hyperlink>
      <w:r w:rsidRPr="009A33C2">
        <w:t xml:space="preserve"> Закона N 44-ФЗ), 23, 42, 44 и пунктом 46 (в части контрактов, заключаемых с физическими лицами) </w:t>
      </w:r>
      <w:hyperlink r:id="rId110" w:history="1">
        <w:r w:rsidRPr="009A33C2">
          <w:rPr>
            <w:rStyle w:val="af"/>
            <w:rFonts w:cs="Times New Roman CYR"/>
            <w:color w:val="auto"/>
          </w:rPr>
          <w:t>ч. 1 ст. 93</w:t>
        </w:r>
      </w:hyperlink>
      <w:r w:rsidRPr="009A33C2">
        <w:t xml:space="preserve"> Закона N 44-ФЗ;</w:t>
      </w:r>
    </w:p>
    <w:p w:rsidR="009A33C2" w:rsidRPr="009A33C2" w:rsidRDefault="009A33C2" w:rsidP="009A33C2">
      <w:pPr>
        <w:jc w:val="both"/>
      </w:pPr>
      <w:r>
        <w:t xml:space="preserve">        </w:t>
      </w:r>
      <w:r w:rsidRPr="009A33C2">
        <w:t xml:space="preserve">- с особенностями, определенными Правительством РФ в соответствии с </w:t>
      </w:r>
      <w:hyperlink r:id="rId111" w:history="1">
        <w:r w:rsidRPr="009A33C2">
          <w:rPr>
            <w:rStyle w:val="af"/>
            <w:rFonts w:cs="Times New Roman CYR"/>
            <w:color w:val="auto"/>
          </w:rPr>
          <w:t>ч. 1 ст. 111</w:t>
        </w:r>
      </w:hyperlink>
      <w:r w:rsidRPr="009A33C2">
        <w:t xml:space="preserve"> Закона N 44-ФЗ и предусматривающими </w:t>
      </w:r>
      <w:proofErr w:type="spellStart"/>
      <w:r w:rsidRPr="009A33C2">
        <w:t>неразмещение</w:t>
      </w:r>
      <w:proofErr w:type="spellEnd"/>
      <w:r w:rsidRPr="009A33C2">
        <w:t xml:space="preserve"> информации о контракте в ЕИС;</w:t>
      </w:r>
    </w:p>
    <w:p w:rsidR="009A33C2" w:rsidRPr="009A33C2" w:rsidRDefault="0005131D" w:rsidP="009A33C2">
      <w:pPr>
        <w:jc w:val="both"/>
      </w:pPr>
      <w:r>
        <w:lastRenderedPageBreak/>
        <w:t xml:space="preserve"> </w:t>
      </w:r>
      <w:r w:rsidR="009A33C2">
        <w:t xml:space="preserve">     </w:t>
      </w:r>
      <w:r w:rsidR="0003258A">
        <w:t xml:space="preserve"> </w:t>
      </w:r>
      <w:r w:rsidR="009A33C2">
        <w:t xml:space="preserve"> </w:t>
      </w:r>
      <w:r w:rsidR="009A33C2" w:rsidRPr="009A33C2">
        <w:t xml:space="preserve">Правила вступили в силу </w:t>
      </w:r>
      <w:r w:rsidR="009A33C2">
        <w:t xml:space="preserve"> </w:t>
      </w:r>
      <w:r w:rsidR="009A33C2" w:rsidRPr="009A33C2">
        <w:rPr>
          <w:b/>
        </w:rPr>
        <w:t>3 февраля 2022 года</w:t>
      </w:r>
      <w:r w:rsidR="009A33C2" w:rsidRPr="009A33C2">
        <w:t>, за исключением отдельных положений, для которых предусмотрен иной срок введения в действие.</w:t>
      </w:r>
    </w:p>
    <w:p w:rsidR="0003258A" w:rsidRPr="0003258A" w:rsidRDefault="0003258A" w:rsidP="0003258A">
      <w:pPr>
        <w:autoSpaceDE w:val="0"/>
        <w:autoSpaceDN w:val="0"/>
        <w:adjustRightInd w:val="0"/>
        <w:ind w:firstLine="426"/>
        <w:jc w:val="both"/>
        <w:rPr>
          <w:rFonts w:eastAsia="Calibri"/>
          <w:bCs/>
        </w:rPr>
      </w:pPr>
      <w:r>
        <w:rPr>
          <w:rFonts w:eastAsia="Calibri"/>
          <w:bCs/>
        </w:rPr>
        <w:t xml:space="preserve"> </w:t>
      </w:r>
      <w:r w:rsidRPr="0003258A">
        <w:rPr>
          <w:rFonts w:eastAsia="Calibri"/>
          <w:bCs/>
        </w:rPr>
        <w:t xml:space="preserve">Все действия </w:t>
      </w:r>
      <w:r w:rsidRPr="0003258A">
        <w:rPr>
          <w:rFonts w:eastAsia="Calibri"/>
          <w:b/>
          <w:bCs/>
        </w:rPr>
        <w:t>по заключению контракта</w:t>
      </w:r>
      <w:r w:rsidRPr="0003258A">
        <w:rPr>
          <w:rFonts w:eastAsia="Calibri"/>
          <w:bCs/>
        </w:rPr>
        <w:t xml:space="preserve"> (размещение в ЕИС, получение и направление участнику) совершаются с использованием ЕИС и электронной площадки (</w:t>
      </w:r>
      <w:hyperlink r:id="rId112" w:history="1">
        <w:r w:rsidRPr="0003258A">
          <w:rPr>
            <w:rFonts w:eastAsia="Calibri"/>
            <w:b/>
            <w:bCs/>
          </w:rPr>
          <w:t>статья  51</w:t>
        </w:r>
      </w:hyperlink>
      <w:r w:rsidRPr="0003258A">
        <w:rPr>
          <w:rFonts w:eastAsia="Calibri"/>
          <w:bCs/>
        </w:rPr>
        <w:t xml:space="preserve"> Закона N 44-ФЗ).</w:t>
      </w:r>
    </w:p>
    <w:p w:rsidR="0003258A" w:rsidRPr="0003258A" w:rsidRDefault="0003258A" w:rsidP="0003258A">
      <w:pPr>
        <w:autoSpaceDE w:val="0"/>
        <w:autoSpaceDN w:val="0"/>
        <w:adjustRightInd w:val="0"/>
        <w:ind w:firstLine="426"/>
        <w:jc w:val="both"/>
        <w:rPr>
          <w:rFonts w:eastAsia="Calibri"/>
        </w:rPr>
      </w:pPr>
      <w:r w:rsidRPr="0003258A">
        <w:rPr>
          <w:rFonts w:eastAsia="Calibri"/>
        </w:rPr>
        <w:t>По результатам электронной процедуры контракт заключается с победителем закупки</w:t>
      </w:r>
      <w:proofErr w:type="gramStart"/>
      <w:r w:rsidR="00D105D2">
        <w:rPr>
          <w:rFonts w:eastAsia="Calibri"/>
        </w:rPr>
        <w:t xml:space="preserve"> </w:t>
      </w:r>
      <w:r w:rsidRPr="0003258A">
        <w:rPr>
          <w:rFonts w:eastAsia="Calibri"/>
        </w:rPr>
        <w:t>,</w:t>
      </w:r>
      <w:proofErr w:type="gramEnd"/>
      <w:r w:rsidRPr="0003258A">
        <w:rPr>
          <w:rFonts w:eastAsia="Calibri"/>
        </w:rPr>
        <w:t xml:space="preserve"> а в случаях, предусмотренных Законом N 44-ФЗ, - с иным участником закупки </w:t>
      </w:r>
      <w:r>
        <w:rPr>
          <w:rFonts w:eastAsia="Calibri"/>
        </w:rPr>
        <w:t xml:space="preserve">                 </w:t>
      </w:r>
      <w:r w:rsidR="00D105D2" w:rsidRPr="00D105D2">
        <w:rPr>
          <w:rFonts w:eastAsia="Calibri"/>
          <w:b/>
        </w:rPr>
        <w:t>не ранее чем через десять дней</w:t>
      </w:r>
      <w:r w:rsidR="00D105D2" w:rsidRPr="00D105D2">
        <w:rPr>
          <w:rFonts w:eastAsia="Calibri"/>
        </w:rPr>
        <w:t xml:space="preserve">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r:id="rId113" w:history="1">
        <w:r w:rsidR="00D105D2" w:rsidRPr="00D105D2">
          <w:rPr>
            <w:rFonts w:eastAsia="Calibri"/>
          </w:rPr>
          <w:t>подпунктом "а" пункта 2 части 6</w:t>
        </w:r>
      </w:hyperlink>
      <w:r w:rsidR="00D105D2" w:rsidRPr="00D105D2">
        <w:rPr>
          <w:rFonts w:eastAsia="Calibri"/>
        </w:rPr>
        <w:t xml:space="preserve"> </w:t>
      </w:r>
      <w:r w:rsidR="00D105D2">
        <w:rPr>
          <w:rFonts w:eastAsia="Calibri"/>
        </w:rPr>
        <w:t>статьи 51</w:t>
      </w:r>
      <w:r w:rsidR="00D105D2" w:rsidRPr="00D105D2">
        <w:rPr>
          <w:rFonts w:eastAsia="Calibri"/>
        </w:rPr>
        <w:t xml:space="preserve">,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w:t>
      </w:r>
      <w:r w:rsidRPr="0003258A">
        <w:rPr>
          <w:rFonts w:eastAsia="Calibri"/>
        </w:rPr>
        <w:t>(</w:t>
      </w:r>
      <w:hyperlink r:id="rId114" w:history="1">
        <w:r w:rsidRPr="0003258A">
          <w:rPr>
            <w:rFonts w:eastAsia="Calibri"/>
            <w:b/>
          </w:rPr>
          <w:t>ч. 1 статьи 51</w:t>
        </w:r>
      </w:hyperlink>
      <w:r w:rsidRPr="0003258A">
        <w:rPr>
          <w:rFonts w:eastAsia="Calibri"/>
        </w:rPr>
        <w:t xml:space="preserve"> Закона N 44-ФЗ)</w:t>
      </w:r>
    </w:p>
    <w:p w:rsidR="00E556CD" w:rsidRPr="0003258A" w:rsidRDefault="0003258A" w:rsidP="0003258A">
      <w:pPr>
        <w:autoSpaceDE w:val="0"/>
        <w:autoSpaceDN w:val="0"/>
        <w:adjustRightInd w:val="0"/>
        <w:jc w:val="both"/>
        <w:rPr>
          <w:rFonts w:eastAsia="Calibri"/>
          <w:bCs/>
        </w:rPr>
      </w:pPr>
      <w:r>
        <w:rPr>
          <w:rFonts w:eastAsia="Calibri"/>
          <w:b/>
          <w:bCs/>
        </w:rPr>
        <w:t xml:space="preserve">       </w:t>
      </w:r>
      <w:r w:rsidR="00E556CD" w:rsidRPr="0003258A">
        <w:rPr>
          <w:rFonts w:eastAsia="Calibri"/>
          <w:bCs/>
        </w:rPr>
        <w:t xml:space="preserve">Срок заключения контракта по результатам открытых конкурентных электронных процедур (конкурс, аукцион, запрос котировок) состоит из сроков для каждого действия заказчика и участника. </w:t>
      </w:r>
      <w:r>
        <w:rPr>
          <w:rFonts w:eastAsia="Calibri"/>
          <w:bCs/>
        </w:rPr>
        <w:t>Необходимо в</w:t>
      </w:r>
      <w:r w:rsidR="00E556CD" w:rsidRPr="0003258A">
        <w:rPr>
          <w:rFonts w:eastAsia="Calibri"/>
          <w:bCs/>
        </w:rPr>
        <w:t>нимательно изучи</w:t>
      </w:r>
      <w:r>
        <w:rPr>
          <w:rFonts w:eastAsia="Calibri"/>
          <w:bCs/>
        </w:rPr>
        <w:t>ть</w:t>
      </w:r>
      <w:r w:rsidR="00E556CD" w:rsidRPr="0003258A">
        <w:rPr>
          <w:rFonts w:eastAsia="Calibri"/>
          <w:bCs/>
        </w:rPr>
        <w:t xml:space="preserve"> эти сроки, за их несоблюдение могут оштрафовать на 50 тыс. руб. по </w:t>
      </w:r>
      <w:hyperlink r:id="rId115" w:history="1">
        <w:r w:rsidR="00E556CD" w:rsidRPr="0003258A">
          <w:rPr>
            <w:rFonts w:eastAsia="Calibri"/>
            <w:bCs/>
          </w:rPr>
          <w:t>ч. 3 ст. 7.32</w:t>
        </w:r>
      </w:hyperlink>
      <w:r w:rsidR="00E556CD" w:rsidRPr="0003258A">
        <w:rPr>
          <w:rFonts w:eastAsia="Calibri"/>
          <w:bCs/>
        </w:rPr>
        <w:t xml:space="preserve"> КоАП РФ.</w:t>
      </w:r>
    </w:p>
    <w:p w:rsidR="00E556CD" w:rsidRDefault="0003258A" w:rsidP="0003258A">
      <w:pPr>
        <w:autoSpaceDE w:val="0"/>
        <w:autoSpaceDN w:val="0"/>
        <w:adjustRightInd w:val="0"/>
        <w:jc w:val="both"/>
        <w:rPr>
          <w:rFonts w:eastAsia="Calibri"/>
          <w:bCs/>
        </w:rPr>
      </w:pPr>
      <w:r>
        <w:rPr>
          <w:rFonts w:eastAsia="Calibri"/>
          <w:bCs/>
        </w:rPr>
        <w:t xml:space="preserve">      </w:t>
      </w:r>
      <w:r w:rsidR="00E556CD" w:rsidRPr="0003258A">
        <w:rPr>
          <w:rFonts w:eastAsia="Calibri"/>
          <w:b/>
          <w:bCs/>
        </w:rPr>
        <w:t>Датой заключения контракта</w:t>
      </w:r>
      <w:r w:rsidR="00E556CD" w:rsidRPr="0003258A">
        <w:rPr>
          <w:rFonts w:eastAsia="Calibri"/>
          <w:bCs/>
        </w:rPr>
        <w:t xml:space="preserve"> для электронной процедуры считается дата размещения подписанного заказчиком контракта в ЕИС (</w:t>
      </w:r>
      <w:hyperlink r:id="rId116" w:history="1">
        <w:r w:rsidR="00E556CD" w:rsidRPr="0003258A">
          <w:rPr>
            <w:rFonts w:eastAsia="Calibri"/>
            <w:b/>
            <w:bCs/>
          </w:rPr>
          <w:t>ч. 5 ст</w:t>
        </w:r>
        <w:r w:rsidRPr="0003258A">
          <w:rPr>
            <w:rFonts w:eastAsia="Calibri"/>
            <w:b/>
            <w:bCs/>
          </w:rPr>
          <w:t>атьи</w:t>
        </w:r>
        <w:r w:rsidR="00E556CD" w:rsidRPr="0003258A">
          <w:rPr>
            <w:rFonts w:eastAsia="Calibri"/>
            <w:b/>
            <w:bCs/>
          </w:rPr>
          <w:t xml:space="preserve"> 51</w:t>
        </w:r>
      </w:hyperlink>
      <w:r w:rsidR="00E556CD" w:rsidRPr="0003258A">
        <w:rPr>
          <w:rFonts w:eastAsia="Calibri"/>
          <w:b/>
          <w:bCs/>
        </w:rPr>
        <w:t xml:space="preserve"> </w:t>
      </w:r>
      <w:r w:rsidR="00E556CD" w:rsidRPr="0003258A">
        <w:rPr>
          <w:rFonts w:eastAsia="Calibri"/>
          <w:bCs/>
        </w:rPr>
        <w:t>Закона N 44-ФЗ).</w:t>
      </w:r>
    </w:p>
    <w:p w:rsidR="000F1BEC" w:rsidRPr="00D105D2" w:rsidRDefault="00D105D2" w:rsidP="00D105D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F1BEC" w:rsidRPr="00D105D2">
        <w:rPr>
          <w:rFonts w:ascii="Times New Roman" w:hAnsi="Times New Roman" w:cs="Times New Roman"/>
          <w:sz w:val="24"/>
          <w:szCs w:val="24"/>
        </w:rPr>
        <w:t>Контрольный орган вправе приостановить (с использованием ЕИС) заключение контракта заказчиком. В этом случае его нельзя заключить, пока не рассмотрят жалобу. Срок его заключения продлевается на срок рассмотрения жалобы по существу (</w:t>
      </w:r>
      <w:hyperlink r:id="rId117">
        <w:r w:rsidR="000F1BEC" w:rsidRPr="00D105D2">
          <w:rPr>
            <w:rFonts w:ascii="Times New Roman" w:hAnsi="Times New Roman" w:cs="Times New Roman"/>
            <w:sz w:val="24"/>
            <w:szCs w:val="24"/>
          </w:rPr>
          <w:t>ч. 7 ст. 106</w:t>
        </w:r>
      </w:hyperlink>
      <w:r w:rsidR="000F1BEC" w:rsidRPr="00D105D2">
        <w:rPr>
          <w:rFonts w:ascii="Times New Roman" w:hAnsi="Times New Roman" w:cs="Times New Roman"/>
          <w:sz w:val="24"/>
          <w:szCs w:val="24"/>
        </w:rPr>
        <w:t xml:space="preserve"> Закона N 44-ФЗ).</w:t>
      </w:r>
    </w:p>
    <w:p w:rsidR="008A62C6" w:rsidRDefault="008A62C6" w:rsidP="009734B9">
      <w:pPr>
        <w:spacing w:line="120" w:lineRule="auto"/>
        <w:ind w:firstLine="425"/>
        <w:jc w:val="both"/>
      </w:pPr>
    </w:p>
    <w:p w:rsidR="006D38BB" w:rsidRPr="00C7430B" w:rsidRDefault="00C7430B" w:rsidP="00314826">
      <w:pPr>
        <w:ind w:firstLine="426"/>
        <w:jc w:val="both"/>
        <w:rPr>
          <w:b/>
        </w:rPr>
      </w:pPr>
      <w:r>
        <w:t xml:space="preserve">Согласно информации, размещенной в ЕИС  по результатам закупок, проведенных </w:t>
      </w:r>
      <w:r w:rsidR="004E7A7B">
        <w:t xml:space="preserve"> </w:t>
      </w:r>
      <w:r w:rsidR="00D105D2" w:rsidRPr="001A60F9">
        <w:t xml:space="preserve">администрациями </w:t>
      </w:r>
      <w:r w:rsidR="004E7A7B" w:rsidRPr="001A60F9">
        <w:t>городски</w:t>
      </w:r>
      <w:r w:rsidR="00D105D2" w:rsidRPr="001A60F9">
        <w:t xml:space="preserve">х  и сельских </w:t>
      </w:r>
      <w:r w:rsidR="004E7A7B" w:rsidRPr="001A60F9">
        <w:t xml:space="preserve"> поселени</w:t>
      </w:r>
      <w:r w:rsidR="00D105D2" w:rsidRPr="001A60F9">
        <w:t xml:space="preserve">й </w:t>
      </w:r>
      <w:r w:rsidR="004E7A7B" w:rsidRPr="001A60F9">
        <w:t>Приозерск</w:t>
      </w:r>
      <w:r w:rsidR="00D105D2" w:rsidRPr="001A60F9">
        <w:t xml:space="preserve">ого </w:t>
      </w:r>
      <w:r w:rsidR="004E7A7B" w:rsidRPr="001A60F9">
        <w:t xml:space="preserve"> муниципальн</w:t>
      </w:r>
      <w:r w:rsidR="00D105D2" w:rsidRPr="001A60F9">
        <w:t>ого</w:t>
      </w:r>
      <w:r w:rsidR="004E7A7B" w:rsidRPr="001A60F9">
        <w:t xml:space="preserve"> район</w:t>
      </w:r>
      <w:r w:rsidR="00D105D2" w:rsidRPr="001A60F9">
        <w:t>а</w:t>
      </w:r>
      <w:r w:rsidR="004E7A7B" w:rsidRPr="001A60F9">
        <w:t xml:space="preserve"> </w:t>
      </w:r>
      <w:r w:rsidR="00D105D2" w:rsidRPr="001A60F9">
        <w:t xml:space="preserve"> </w:t>
      </w:r>
      <w:r w:rsidR="000E580D" w:rsidRPr="001A60F9">
        <w:t>по итогам</w:t>
      </w:r>
      <w:r w:rsidR="000E580D">
        <w:t xml:space="preserve"> </w:t>
      </w:r>
      <w:r w:rsidR="00D105D2">
        <w:t xml:space="preserve"> </w:t>
      </w:r>
      <w:r w:rsidR="000E580D" w:rsidRPr="00D105D2">
        <w:rPr>
          <w:b/>
        </w:rPr>
        <w:t>202</w:t>
      </w:r>
      <w:r w:rsidR="00D105D2">
        <w:rPr>
          <w:b/>
        </w:rPr>
        <w:t>2</w:t>
      </w:r>
      <w:r w:rsidR="000E580D" w:rsidRPr="00D105D2">
        <w:rPr>
          <w:b/>
        </w:rPr>
        <w:t xml:space="preserve"> года</w:t>
      </w:r>
      <w:r w:rsidR="000E580D">
        <w:t xml:space="preserve"> </w:t>
      </w:r>
      <w:r w:rsidR="004E7A7B">
        <w:t xml:space="preserve"> </w:t>
      </w:r>
      <w:r>
        <w:t xml:space="preserve">в соответствии с планами – графиками </w:t>
      </w:r>
      <w:r w:rsidR="000E580D">
        <w:t>отчетного года</w:t>
      </w:r>
      <w:r>
        <w:t xml:space="preserve"> </w:t>
      </w:r>
      <w:r w:rsidR="008D738D">
        <w:t>был</w:t>
      </w:r>
      <w:r w:rsidR="003326F2">
        <w:t>о</w:t>
      </w:r>
      <w:r w:rsidR="00C0218E">
        <w:t xml:space="preserve"> </w:t>
      </w:r>
      <w:r w:rsidR="008D738D">
        <w:t xml:space="preserve"> заключен</w:t>
      </w:r>
      <w:r w:rsidR="00C0218E">
        <w:t>о</w:t>
      </w:r>
      <w:r w:rsidR="008D738D">
        <w:t xml:space="preserve"> </w:t>
      </w:r>
      <w:r w:rsidR="00E206C0">
        <w:t xml:space="preserve">и  размещено в реестре контрактов </w:t>
      </w:r>
      <w:r>
        <w:t xml:space="preserve"> </w:t>
      </w:r>
      <w:r w:rsidR="001A60F9">
        <w:rPr>
          <w:b/>
        </w:rPr>
        <w:t xml:space="preserve">235 </w:t>
      </w:r>
      <w:r w:rsidR="00ED61CA" w:rsidRPr="009D56E6">
        <w:rPr>
          <w:b/>
        </w:rPr>
        <w:t>к</w:t>
      </w:r>
      <w:r w:rsidR="00ED61CA" w:rsidRPr="00A77180">
        <w:rPr>
          <w:b/>
        </w:rPr>
        <w:t>онтракт</w:t>
      </w:r>
      <w:r w:rsidR="00B258E0">
        <w:rPr>
          <w:b/>
        </w:rPr>
        <w:t xml:space="preserve">ов </w:t>
      </w:r>
      <w:r w:rsidR="00ED61CA" w:rsidRPr="005F245D">
        <w:t xml:space="preserve"> на общую сумму </w:t>
      </w:r>
      <w:r w:rsidR="00A77180">
        <w:t xml:space="preserve"> </w:t>
      </w:r>
      <w:r w:rsidR="001A60F9">
        <w:rPr>
          <w:b/>
        </w:rPr>
        <w:t>920 230,1</w:t>
      </w:r>
      <w:r w:rsidR="00ED61CA" w:rsidRPr="00C7430B">
        <w:rPr>
          <w:b/>
        </w:rPr>
        <w:t xml:space="preserve"> тыс. руб.</w:t>
      </w:r>
      <w:r w:rsidR="008D738D" w:rsidRPr="00C7430B">
        <w:rPr>
          <w:b/>
        </w:rPr>
        <w:t xml:space="preserve"> </w:t>
      </w:r>
    </w:p>
    <w:p w:rsidR="00397C41" w:rsidRDefault="00DB6145" w:rsidP="00397C41">
      <w:pPr>
        <w:ind w:firstLine="426"/>
        <w:jc w:val="both"/>
      </w:pPr>
      <w:r w:rsidRPr="006D38BB">
        <w:t>Общий объем заключенных контрактов в 20</w:t>
      </w:r>
      <w:r w:rsidR="001A60F9">
        <w:t>22</w:t>
      </w:r>
      <w:r w:rsidRPr="006D38BB">
        <w:t xml:space="preserve"> году </w:t>
      </w:r>
      <w:r w:rsidR="001A60F9" w:rsidRPr="009F1653">
        <w:rPr>
          <w:b/>
        </w:rPr>
        <w:t>выше</w:t>
      </w:r>
      <w:r>
        <w:t xml:space="preserve"> </w:t>
      </w:r>
      <w:r w:rsidRPr="006D38BB">
        <w:t>уровня 20</w:t>
      </w:r>
      <w:r w:rsidR="001A60F9">
        <w:t>21</w:t>
      </w:r>
      <w:r w:rsidRPr="006D38BB">
        <w:t xml:space="preserve"> года </w:t>
      </w:r>
      <w:r w:rsidR="00156D70">
        <w:t xml:space="preserve">по количественному показателю </w:t>
      </w:r>
      <w:r w:rsidRPr="006D38BB">
        <w:t xml:space="preserve">на </w:t>
      </w:r>
      <w:r w:rsidR="009F1653" w:rsidRPr="009F1653">
        <w:rPr>
          <w:b/>
        </w:rPr>
        <w:t>42</w:t>
      </w:r>
      <w:r w:rsidRPr="009F1653">
        <w:rPr>
          <w:b/>
        </w:rPr>
        <w:t xml:space="preserve"> муниципальных контракта</w:t>
      </w:r>
      <w:r w:rsidRPr="006D38BB">
        <w:t xml:space="preserve">  </w:t>
      </w:r>
      <w:r w:rsidR="00397C41">
        <w:t xml:space="preserve">при значительном </w:t>
      </w:r>
      <w:r w:rsidR="009F1653" w:rsidRPr="009F1653">
        <w:rPr>
          <w:b/>
        </w:rPr>
        <w:t>увеличении</w:t>
      </w:r>
      <w:r w:rsidR="00397C41">
        <w:t xml:space="preserve">  стоимостного показателя на </w:t>
      </w:r>
      <w:r w:rsidR="009F1653" w:rsidRPr="009F1653">
        <w:rPr>
          <w:b/>
        </w:rPr>
        <w:t>619 457,0</w:t>
      </w:r>
      <w:r w:rsidR="00397C41" w:rsidRPr="009F1653">
        <w:rPr>
          <w:b/>
        </w:rPr>
        <w:t xml:space="preserve">  тыс. руб</w:t>
      </w:r>
      <w:r w:rsidR="00397C41">
        <w:t>.</w:t>
      </w:r>
      <w:r w:rsidR="00397C41" w:rsidRPr="006D38BB">
        <w:t xml:space="preserve">  </w:t>
      </w:r>
      <w:r w:rsidR="00397C41">
        <w:t>(Для сравнения – в 20</w:t>
      </w:r>
      <w:r w:rsidR="009F1653">
        <w:t>21 году</w:t>
      </w:r>
      <w:r w:rsidR="00397C41">
        <w:t xml:space="preserve"> заключено  </w:t>
      </w:r>
      <w:r w:rsidR="009F1653">
        <w:t>193</w:t>
      </w:r>
      <w:r w:rsidR="00397C41">
        <w:t xml:space="preserve"> контрактов общей  стоимостью  </w:t>
      </w:r>
      <w:r w:rsidR="009F1653">
        <w:t>300 773,1</w:t>
      </w:r>
      <w:r w:rsidR="00397C41">
        <w:t xml:space="preserve"> тыс. руб.)</w:t>
      </w:r>
    </w:p>
    <w:p w:rsidR="009F1653" w:rsidRPr="009F1653" w:rsidRDefault="009F1653" w:rsidP="009F1653">
      <w:pPr>
        <w:autoSpaceDE w:val="0"/>
        <w:autoSpaceDN w:val="0"/>
        <w:adjustRightInd w:val="0"/>
        <w:ind w:firstLine="426"/>
        <w:jc w:val="both"/>
      </w:pPr>
      <w:r w:rsidRPr="009F1653">
        <w:rPr>
          <w:rFonts w:eastAsia="CIDFont+F1"/>
        </w:rPr>
        <w:t xml:space="preserve">По итогам отчетного периода сохраняется тенденция по </w:t>
      </w:r>
      <w:r>
        <w:rPr>
          <w:rFonts w:eastAsia="CIDFont+F1"/>
        </w:rPr>
        <w:t xml:space="preserve">увеличению  </w:t>
      </w:r>
      <w:r w:rsidRPr="009F1653">
        <w:rPr>
          <w:rFonts w:eastAsia="CIDFont+F1"/>
        </w:rPr>
        <w:t xml:space="preserve">количества и стоимостного объема </w:t>
      </w:r>
      <w:r>
        <w:rPr>
          <w:rFonts w:eastAsia="CIDFont+F1"/>
        </w:rPr>
        <w:t>контрактов</w:t>
      </w:r>
      <w:r w:rsidRPr="009F1653">
        <w:rPr>
          <w:rFonts w:eastAsia="CIDFont+F1"/>
        </w:rPr>
        <w:t xml:space="preserve">, что в целом сопоставимо с </w:t>
      </w:r>
      <w:r>
        <w:rPr>
          <w:rFonts w:eastAsia="CIDFont+F1"/>
        </w:rPr>
        <w:t xml:space="preserve">увеличением </w:t>
      </w:r>
      <w:r w:rsidRPr="009F1653">
        <w:rPr>
          <w:rFonts w:eastAsia="CIDFont+F1"/>
        </w:rPr>
        <w:t>общего количества опубликованных извещений</w:t>
      </w:r>
      <w:r>
        <w:rPr>
          <w:rFonts w:eastAsia="CIDFont+F1"/>
        </w:rPr>
        <w:t xml:space="preserve"> об осуществлении закупок, а также иных взаимосвязанных показателей.</w:t>
      </w:r>
    </w:p>
    <w:p w:rsidR="00397C41" w:rsidRDefault="00397C41" w:rsidP="00397C41">
      <w:pPr>
        <w:ind w:firstLine="426"/>
        <w:jc w:val="both"/>
      </w:pPr>
      <w:r>
        <w:t>Таким образом, количество заключенных контрактов по сравнению с 20</w:t>
      </w:r>
      <w:r w:rsidR="009F1653">
        <w:t>21</w:t>
      </w:r>
      <w:r>
        <w:t xml:space="preserve"> годом   </w:t>
      </w:r>
      <w:r w:rsidR="009F1653">
        <w:t xml:space="preserve">выросло </w:t>
      </w:r>
      <w:r>
        <w:t xml:space="preserve"> на  </w:t>
      </w:r>
      <w:r w:rsidR="009F1653">
        <w:t>21,8 процентных пунктов</w:t>
      </w:r>
      <w:r>
        <w:t xml:space="preserve"> при </w:t>
      </w:r>
      <w:proofErr w:type="gramStart"/>
      <w:r>
        <w:t>значительном</w:t>
      </w:r>
      <w:proofErr w:type="gramEnd"/>
      <w:r>
        <w:t xml:space="preserve"> </w:t>
      </w:r>
      <w:r w:rsidR="009F1653">
        <w:t>увеличение стоимостного объема на  206,0%.</w:t>
      </w:r>
      <w:r>
        <w:t xml:space="preserve"> </w:t>
      </w:r>
    </w:p>
    <w:p w:rsidR="007131A5" w:rsidRPr="007131A5" w:rsidRDefault="00397C41" w:rsidP="00456F59">
      <w:pPr>
        <w:pStyle w:val="ab"/>
        <w:numPr>
          <w:ilvl w:val="0"/>
          <w:numId w:val="13"/>
        </w:numPr>
        <w:spacing w:after="120" w:line="300" w:lineRule="exact"/>
        <w:ind w:left="0" w:firstLine="426"/>
        <w:rPr>
          <w:rFonts w:ascii="Times New Roman" w:eastAsia="Calibri" w:hAnsi="Times New Roman" w:cs="Times New Roman"/>
          <w:i/>
        </w:rPr>
      </w:pPr>
      <w:r w:rsidRPr="007131A5">
        <w:rPr>
          <w:rFonts w:ascii="Times New Roman" w:eastAsia="Calibri" w:hAnsi="Times New Roman" w:cs="Times New Roman"/>
          <w:i/>
        </w:rPr>
        <w:t xml:space="preserve">Причины  </w:t>
      </w:r>
      <w:r w:rsidR="0044206E">
        <w:rPr>
          <w:rFonts w:ascii="Times New Roman" w:eastAsia="Calibri" w:hAnsi="Times New Roman" w:cs="Times New Roman"/>
          <w:i/>
        </w:rPr>
        <w:t xml:space="preserve">увеличения </w:t>
      </w:r>
      <w:r w:rsidRPr="007131A5">
        <w:rPr>
          <w:rFonts w:ascii="Times New Roman" w:eastAsia="Calibri" w:hAnsi="Times New Roman" w:cs="Times New Roman"/>
          <w:i/>
        </w:rPr>
        <w:t xml:space="preserve"> количественного и  стоимостного объема закупок в 20</w:t>
      </w:r>
      <w:r w:rsidR="0044206E">
        <w:rPr>
          <w:rFonts w:ascii="Times New Roman" w:eastAsia="Calibri" w:hAnsi="Times New Roman" w:cs="Times New Roman"/>
          <w:i/>
        </w:rPr>
        <w:t xml:space="preserve">22 </w:t>
      </w:r>
      <w:r w:rsidRPr="007131A5">
        <w:rPr>
          <w:rFonts w:ascii="Times New Roman" w:eastAsia="Calibri" w:hAnsi="Times New Roman" w:cs="Times New Roman"/>
          <w:i/>
        </w:rPr>
        <w:t xml:space="preserve">году связаны с началом </w:t>
      </w:r>
      <w:r w:rsidRPr="007131A5">
        <w:rPr>
          <w:rFonts w:ascii="Times New Roman" w:hAnsi="Times New Roman" w:cs="Times New Roman"/>
          <w:i/>
        </w:rPr>
        <w:t xml:space="preserve">осуществления </w:t>
      </w:r>
      <w:r w:rsidR="00C2228F" w:rsidRPr="007131A5">
        <w:rPr>
          <w:rFonts w:ascii="Times New Roman" w:hAnsi="Times New Roman" w:cs="Times New Roman"/>
          <w:i/>
        </w:rPr>
        <w:t>капиталоемких</w:t>
      </w:r>
      <w:r w:rsidR="007131A5" w:rsidRPr="007131A5">
        <w:rPr>
          <w:rFonts w:ascii="Times New Roman" w:hAnsi="Times New Roman" w:cs="Times New Roman"/>
          <w:i/>
        </w:rPr>
        <w:t xml:space="preserve"> закупок </w:t>
      </w:r>
      <w:r w:rsidR="007131A5" w:rsidRPr="007131A5">
        <w:rPr>
          <w:rFonts w:ascii="Times New Roman" w:eastAsia="Calibri" w:hAnsi="Times New Roman" w:cs="Times New Roman"/>
          <w:i/>
          <w:color w:val="000000"/>
        </w:rPr>
        <w:t>в рамках текущей деятельности заказчиков для решения стратегических задач, важнейших вопросов социально-экономического развития</w:t>
      </w:r>
      <w:r w:rsidR="007131A5" w:rsidRPr="007131A5">
        <w:rPr>
          <w:rFonts w:ascii="Times New Roman" w:hAnsi="Times New Roman" w:cs="Times New Roman"/>
          <w:i/>
        </w:rPr>
        <w:t xml:space="preserve">, а  также  с активной фазой реализации национальных и федеральных проектов в </w:t>
      </w:r>
      <w:r w:rsidR="00894821">
        <w:rPr>
          <w:rFonts w:ascii="Times New Roman" w:hAnsi="Times New Roman" w:cs="Times New Roman"/>
          <w:i/>
        </w:rPr>
        <w:t>отчетном</w:t>
      </w:r>
      <w:r w:rsidR="007131A5" w:rsidRPr="007131A5">
        <w:rPr>
          <w:rFonts w:ascii="Times New Roman" w:hAnsi="Times New Roman" w:cs="Times New Roman"/>
          <w:i/>
        </w:rPr>
        <w:t xml:space="preserve"> периоде.</w:t>
      </w:r>
      <w:r w:rsidR="007131A5" w:rsidRPr="007131A5">
        <w:rPr>
          <w:rFonts w:ascii="Times New Roman" w:eastAsia="Calibri" w:hAnsi="Times New Roman" w:cs="Times New Roman"/>
          <w:i/>
        </w:rPr>
        <w:t xml:space="preserve"> </w:t>
      </w:r>
    </w:p>
    <w:p w:rsidR="00C2228F" w:rsidRPr="00C2228F" w:rsidRDefault="00133EF8" w:rsidP="00C2228F">
      <w:pPr>
        <w:autoSpaceDE w:val="0"/>
        <w:autoSpaceDN w:val="0"/>
        <w:adjustRightInd w:val="0"/>
        <w:ind w:firstLine="426"/>
        <w:jc w:val="both"/>
        <w:rPr>
          <w:rFonts w:eastAsia="Calibri"/>
          <w:color w:val="000000"/>
        </w:rPr>
      </w:pPr>
      <w:r>
        <w:rPr>
          <w:rFonts w:eastAsia="Calibri"/>
          <w:color w:val="000000"/>
        </w:rPr>
        <w:t>Увеличение</w:t>
      </w:r>
      <w:r w:rsidR="00C2228F" w:rsidRPr="00C2228F">
        <w:rPr>
          <w:rFonts w:eastAsia="Calibri"/>
          <w:color w:val="000000"/>
        </w:rPr>
        <w:t xml:space="preserve"> количества заключенных контрактов при </w:t>
      </w:r>
      <w:r>
        <w:rPr>
          <w:rFonts w:eastAsia="Calibri"/>
          <w:color w:val="000000"/>
        </w:rPr>
        <w:t>росте</w:t>
      </w:r>
      <w:r w:rsidR="00C2228F" w:rsidRPr="00C2228F">
        <w:rPr>
          <w:rFonts w:eastAsia="Calibri"/>
          <w:color w:val="000000"/>
        </w:rPr>
        <w:t xml:space="preserve"> объема заключенных контрактов в стоимостном выражении свидетельствует </w:t>
      </w:r>
      <w:r w:rsidR="00C2228F">
        <w:rPr>
          <w:rFonts w:eastAsia="Calibri"/>
          <w:color w:val="000000"/>
        </w:rPr>
        <w:t xml:space="preserve"> </w:t>
      </w:r>
      <w:r w:rsidR="00C2228F" w:rsidRPr="00C2228F">
        <w:rPr>
          <w:rFonts w:eastAsia="Calibri"/>
          <w:b/>
          <w:color w:val="000000"/>
        </w:rPr>
        <w:t>о</w:t>
      </w:r>
      <w:r>
        <w:rPr>
          <w:rFonts w:eastAsia="Calibri"/>
          <w:b/>
          <w:color w:val="000000"/>
        </w:rPr>
        <w:t>б</w:t>
      </w:r>
      <w:r w:rsidR="00C2228F" w:rsidRPr="00C2228F">
        <w:rPr>
          <w:rFonts w:eastAsia="Calibri"/>
          <w:b/>
          <w:color w:val="000000"/>
        </w:rPr>
        <w:t xml:space="preserve"> </w:t>
      </w:r>
      <w:r>
        <w:rPr>
          <w:rFonts w:eastAsia="Calibri"/>
          <w:b/>
          <w:color w:val="000000"/>
        </w:rPr>
        <w:t>увеличении</w:t>
      </w:r>
      <w:r w:rsidR="00C2228F" w:rsidRPr="00C2228F">
        <w:rPr>
          <w:rFonts w:eastAsia="Calibri"/>
          <w:b/>
          <w:color w:val="000000"/>
        </w:rPr>
        <w:t xml:space="preserve"> средней стоимости</w:t>
      </w:r>
      <w:r w:rsidR="00C2228F" w:rsidRPr="00C2228F">
        <w:rPr>
          <w:rFonts w:eastAsia="Calibri"/>
          <w:color w:val="000000"/>
        </w:rPr>
        <w:t xml:space="preserve"> заключенного контракта </w:t>
      </w:r>
      <w:r w:rsidR="00C2228F">
        <w:rPr>
          <w:rFonts w:eastAsia="Calibri"/>
          <w:color w:val="000000"/>
        </w:rPr>
        <w:t xml:space="preserve"> </w:t>
      </w:r>
      <w:r w:rsidR="00C2228F" w:rsidRPr="00C2228F">
        <w:rPr>
          <w:rFonts w:eastAsia="Calibri"/>
          <w:color w:val="000000"/>
        </w:rPr>
        <w:t xml:space="preserve">с </w:t>
      </w:r>
      <w:r>
        <w:rPr>
          <w:rFonts w:eastAsia="Calibri"/>
          <w:color w:val="000000"/>
        </w:rPr>
        <w:t xml:space="preserve"> 1 558,4 тыс</w:t>
      </w:r>
      <w:r w:rsidRPr="00C2228F">
        <w:rPr>
          <w:rFonts w:eastAsia="Calibri"/>
          <w:color w:val="000000"/>
        </w:rPr>
        <w:t xml:space="preserve">. руб. на </w:t>
      </w:r>
      <w:r>
        <w:rPr>
          <w:rFonts w:eastAsia="Calibri"/>
          <w:color w:val="000000"/>
        </w:rPr>
        <w:t>01</w:t>
      </w:r>
      <w:r w:rsidRPr="00C2228F">
        <w:rPr>
          <w:rFonts w:eastAsia="Calibri"/>
          <w:color w:val="000000"/>
        </w:rPr>
        <w:t>.</w:t>
      </w:r>
      <w:r>
        <w:rPr>
          <w:rFonts w:eastAsia="Calibri"/>
          <w:color w:val="000000"/>
        </w:rPr>
        <w:t>01</w:t>
      </w:r>
      <w:r w:rsidRPr="00C2228F">
        <w:rPr>
          <w:rFonts w:eastAsia="Calibri"/>
          <w:color w:val="000000"/>
        </w:rPr>
        <w:t>.20</w:t>
      </w:r>
      <w:r>
        <w:rPr>
          <w:rFonts w:eastAsia="Calibri"/>
          <w:color w:val="000000"/>
        </w:rPr>
        <w:t>22</w:t>
      </w:r>
      <w:r w:rsidRPr="00C2228F">
        <w:rPr>
          <w:rFonts w:eastAsia="Calibri"/>
          <w:color w:val="000000"/>
        </w:rPr>
        <w:t xml:space="preserve"> года</w:t>
      </w:r>
      <w:r>
        <w:rPr>
          <w:rFonts w:eastAsia="Calibri"/>
          <w:color w:val="000000"/>
        </w:rPr>
        <w:t xml:space="preserve"> </w:t>
      </w:r>
      <w:r w:rsidR="00C2228F" w:rsidRPr="00C2228F">
        <w:rPr>
          <w:rFonts w:eastAsia="Calibri"/>
          <w:color w:val="000000"/>
        </w:rPr>
        <w:t xml:space="preserve">до </w:t>
      </w:r>
      <w:r>
        <w:rPr>
          <w:rFonts w:eastAsia="Calibri"/>
          <w:color w:val="000000"/>
        </w:rPr>
        <w:t xml:space="preserve">             3 915,9</w:t>
      </w:r>
      <w:r w:rsidR="00C2228F">
        <w:rPr>
          <w:rFonts w:eastAsia="Calibri"/>
          <w:color w:val="000000"/>
        </w:rPr>
        <w:t xml:space="preserve"> тыс</w:t>
      </w:r>
      <w:r w:rsidR="00C2228F" w:rsidRPr="00C2228F">
        <w:rPr>
          <w:rFonts w:eastAsia="Calibri"/>
          <w:color w:val="000000"/>
        </w:rPr>
        <w:t xml:space="preserve">. руб. на </w:t>
      </w:r>
      <w:r w:rsidR="00C2228F">
        <w:rPr>
          <w:rFonts w:eastAsia="Calibri"/>
          <w:color w:val="000000"/>
        </w:rPr>
        <w:t>01</w:t>
      </w:r>
      <w:r w:rsidR="00C2228F" w:rsidRPr="00C2228F">
        <w:rPr>
          <w:rFonts w:eastAsia="Calibri"/>
          <w:color w:val="000000"/>
        </w:rPr>
        <w:t>.</w:t>
      </w:r>
      <w:r w:rsidR="00C2228F">
        <w:rPr>
          <w:rFonts w:eastAsia="Calibri"/>
          <w:color w:val="000000"/>
        </w:rPr>
        <w:t>01</w:t>
      </w:r>
      <w:r w:rsidR="00C2228F" w:rsidRPr="00C2228F">
        <w:rPr>
          <w:rFonts w:eastAsia="Calibri"/>
          <w:color w:val="000000"/>
        </w:rPr>
        <w:t>.20</w:t>
      </w:r>
      <w:r>
        <w:rPr>
          <w:rFonts w:eastAsia="Calibri"/>
          <w:color w:val="000000"/>
        </w:rPr>
        <w:t>23</w:t>
      </w:r>
      <w:r w:rsidR="00C2228F" w:rsidRPr="00C2228F">
        <w:rPr>
          <w:rFonts w:eastAsia="Calibri"/>
          <w:color w:val="000000"/>
        </w:rPr>
        <w:t xml:space="preserve"> года. </w:t>
      </w:r>
    </w:p>
    <w:p w:rsidR="003326F2" w:rsidRDefault="0016437A" w:rsidP="00F96375">
      <w:pPr>
        <w:ind w:firstLine="425"/>
        <w:jc w:val="both"/>
      </w:pPr>
      <w:r w:rsidRPr="0016437A">
        <w:rPr>
          <w:b/>
        </w:rPr>
        <w:lastRenderedPageBreak/>
        <w:t>1</w:t>
      </w:r>
      <w:r>
        <w:t xml:space="preserve">. </w:t>
      </w:r>
      <w:r w:rsidR="00B258E0" w:rsidRPr="0093643C">
        <w:t xml:space="preserve">По результатам определения поставщика путем проведения </w:t>
      </w:r>
      <w:r w:rsidR="00B258E0" w:rsidRPr="002E1EF5">
        <w:rPr>
          <w:b/>
          <w:i/>
        </w:rPr>
        <w:t>конкурентных способов</w:t>
      </w:r>
      <w:r w:rsidR="00B258E0">
        <w:t xml:space="preserve"> определения поставщика (подрядчика, исполнителя) было заключено в 20</w:t>
      </w:r>
      <w:r w:rsidR="00F96375">
        <w:t>22</w:t>
      </w:r>
      <w:r w:rsidR="00B258E0">
        <w:t xml:space="preserve"> году </w:t>
      </w:r>
      <w:r w:rsidR="00BF06B8">
        <w:t xml:space="preserve"> </w:t>
      </w:r>
      <w:r w:rsidR="008E472D">
        <w:rPr>
          <w:b/>
        </w:rPr>
        <w:t>47</w:t>
      </w:r>
      <w:r w:rsidR="00C2228F">
        <w:rPr>
          <w:b/>
        </w:rPr>
        <w:t xml:space="preserve"> </w:t>
      </w:r>
      <w:r w:rsidR="00B258E0">
        <w:rPr>
          <w:b/>
        </w:rPr>
        <w:t xml:space="preserve">контрактов </w:t>
      </w:r>
      <w:r w:rsidR="00B258E0" w:rsidRPr="00A95C6D">
        <w:t>на общую сумму</w:t>
      </w:r>
      <w:r w:rsidR="00B258E0" w:rsidRPr="008D738D">
        <w:rPr>
          <w:b/>
        </w:rPr>
        <w:t xml:space="preserve"> </w:t>
      </w:r>
      <w:r w:rsidR="008D546C">
        <w:rPr>
          <w:b/>
        </w:rPr>
        <w:t xml:space="preserve"> </w:t>
      </w:r>
      <w:r w:rsidR="00C2228F">
        <w:rPr>
          <w:b/>
        </w:rPr>
        <w:t>1</w:t>
      </w:r>
      <w:r w:rsidR="008E472D">
        <w:rPr>
          <w:b/>
        </w:rPr>
        <w:t>28 223,2</w:t>
      </w:r>
      <w:r w:rsidR="00B258E0" w:rsidRPr="008D738D">
        <w:rPr>
          <w:b/>
        </w:rPr>
        <w:t xml:space="preserve"> тыс. руб.</w:t>
      </w:r>
      <w:r w:rsidR="003A5CB4">
        <w:rPr>
          <w:b/>
        </w:rPr>
        <w:t xml:space="preserve">, </w:t>
      </w:r>
      <w:r w:rsidR="003A5CB4" w:rsidRPr="003A5CB4">
        <w:t>из них:</w:t>
      </w:r>
    </w:p>
    <w:p w:rsidR="003326F2" w:rsidRDefault="003326F2" w:rsidP="003326F2">
      <w:pPr>
        <w:numPr>
          <w:ilvl w:val="0"/>
          <w:numId w:val="1"/>
        </w:numPr>
        <w:autoSpaceDE w:val="0"/>
        <w:autoSpaceDN w:val="0"/>
        <w:adjustRightInd w:val="0"/>
        <w:spacing w:line="23" w:lineRule="atLeast"/>
        <w:ind w:left="0" w:firstLine="426"/>
        <w:jc w:val="both"/>
      </w:pPr>
      <w:r w:rsidRPr="0093643C">
        <w:t xml:space="preserve">По результатам определения поставщика  путем проведения </w:t>
      </w:r>
      <w:r w:rsidR="00975F3E" w:rsidRPr="00975F3E">
        <w:rPr>
          <w:b/>
          <w:u w:val="single"/>
        </w:rPr>
        <w:t>Э</w:t>
      </w:r>
      <w:r w:rsidR="003A5CB4" w:rsidRPr="00975F3E">
        <w:rPr>
          <w:b/>
          <w:u w:val="single"/>
        </w:rPr>
        <w:t>лектронного аукциона</w:t>
      </w:r>
      <w:r w:rsidR="003A5CB4">
        <w:t xml:space="preserve"> </w:t>
      </w:r>
      <w:r>
        <w:t xml:space="preserve"> </w:t>
      </w:r>
      <w:r w:rsidRPr="0093643C">
        <w:t>заключен</w:t>
      </w:r>
      <w:r w:rsidR="00D40BA5">
        <w:t>о</w:t>
      </w:r>
      <w:r w:rsidRPr="0093643C">
        <w:t xml:space="preserve"> </w:t>
      </w:r>
      <w:r w:rsidR="00FA5081">
        <w:t xml:space="preserve"> </w:t>
      </w:r>
      <w:r w:rsidR="008E472D">
        <w:rPr>
          <w:b/>
        </w:rPr>
        <w:t xml:space="preserve">46 </w:t>
      </w:r>
      <w:r w:rsidRPr="00C2228F">
        <w:rPr>
          <w:b/>
        </w:rPr>
        <w:t>к</w:t>
      </w:r>
      <w:r w:rsidRPr="0093643C">
        <w:rPr>
          <w:b/>
        </w:rPr>
        <w:t>онтракт</w:t>
      </w:r>
      <w:r w:rsidR="00190301">
        <w:rPr>
          <w:b/>
        </w:rPr>
        <w:t>ов</w:t>
      </w:r>
      <w:r>
        <w:rPr>
          <w:b/>
        </w:rPr>
        <w:t xml:space="preserve"> </w:t>
      </w:r>
      <w:r w:rsidRPr="0093643C">
        <w:t>с победител</w:t>
      </w:r>
      <w:r w:rsidR="00190301">
        <w:t xml:space="preserve">ями </w:t>
      </w:r>
      <w:r w:rsidRPr="0093643C">
        <w:t xml:space="preserve"> </w:t>
      </w:r>
      <w:r w:rsidR="00D40BA5">
        <w:t>электронн</w:t>
      </w:r>
      <w:r w:rsidR="00190301">
        <w:t>ых</w:t>
      </w:r>
      <w:r w:rsidR="00D40BA5">
        <w:t xml:space="preserve">  процедур</w:t>
      </w:r>
      <w:r w:rsidRPr="0093643C">
        <w:t xml:space="preserve"> на </w:t>
      </w:r>
      <w:r w:rsidR="00190301">
        <w:t xml:space="preserve">общую сумму </w:t>
      </w:r>
      <w:r w:rsidR="001F1661">
        <w:t xml:space="preserve"> </w:t>
      </w:r>
      <w:r w:rsidR="008E472D">
        <w:rPr>
          <w:b/>
        </w:rPr>
        <w:t>128 066,2</w:t>
      </w:r>
      <w:r w:rsidRPr="00FA5081">
        <w:rPr>
          <w:b/>
        </w:rPr>
        <w:t xml:space="preserve"> тыс</w:t>
      </w:r>
      <w:r w:rsidRPr="00734036">
        <w:rPr>
          <w:b/>
        </w:rPr>
        <w:t>. руб.</w:t>
      </w:r>
    </w:p>
    <w:p w:rsidR="003326F2" w:rsidRPr="0093643C" w:rsidRDefault="003326F2" w:rsidP="003326F2">
      <w:pPr>
        <w:autoSpaceDE w:val="0"/>
        <w:autoSpaceDN w:val="0"/>
        <w:adjustRightInd w:val="0"/>
        <w:spacing w:line="120" w:lineRule="auto"/>
        <w:ind w:firstLine="426"/>
        <w:jc w:val="both"/>
      </w:pPr>
    </w:p>
    <w:p w:rsidR="00B05242" w:rsidRPr="00FA5081" w:rsidRDefault="00B05242" w:rsidP="00B05242">
      <w:pPr>
        <w:numPr>
          <w:ilvl w:val="0"/>
          <w:numId w:val="1"/>
        </w:numPr>
        <w:autoSpaceDE w:val="0"/>
        <w:autoSpaceDN w:val="0"/>
        <w:adjustRightInd w:val="0"/>
        <w:spacing w:line="23" w:lineRule="atLeast"/>
        <w:ind w:left="0" w:firstLine="426"/>
        <w:jc w:val="both"/>
      </w:pPr>
      <w:r w:rsidRPr="0093643C">
        <w:t xml:space="preserve">По результатам определения поставщика  путем проведения </w:t>
      </w:r>
      <w:r>
        <w:t xml:space="preserve"> </w:t>
      </w:r>
      <w:r w:rsidR="00832682" w:rsidRPr="00832682">
        <w:rPr>
          <w:b/>
          <w:u w:val="single"/>
        </w:rPr>
        <w:t>Электронного</w:t>
      </w:r>
      <w:r w:rsidR="00832682">
        <w:t xml:space="preserve"> </w:t>
      </w:r>
      <w:r w:rsidR="00832682" w:rsidRPr="00832682">
        <w:rPr>
          <w:b/>
          <w:u w:val="single"/>
        </w:rPr>
        <w:t>к</w:t>
      </w:r>
      <w:r w:rsidRPr="00832682">
        <w:rPr>
          <w:b/>
          <w:u w:val="single"/>
        </w:rPr>
        <w:t>он</w:t>
      </w:r>
      <w:r w:rsidRPr="00B05242">
        <w:rPr>
          <w:b/>
          <w:u w:val="single"/>
        </w:rPr>
        <w:t>курса</w:t>
      </w:r>
      <w:r>
        <w:t xml:space="preserve"> </w:t>
      </w:r>
      <w:r w:rsidRPr="00407209">
        <w:t xml:space="preserve"> заключен  </w:t>
      </w:r>
      <w:r w:rsidR="00832682">
        <w:rPr>
          <w:b/>
        </w:rPr>
        <w:t>1</w:t>
      </w:r>
      <w:r w:rsidR="00FA5081" w:rsidRPr="00407209">
        <w:rPr>
          <w:b/>
        </w:rPr>
        <w:t xml:space="preserve"> </w:t>
      </w:r>
      <w:r w:rsidRPr="00407209">
        <w:rPr>
          <w:b/>
        </w:rPr>
        <w:t xml:space="preserve"> контра</w:t>
      </w:r>
      <w:r w:rsidRPr="0093643C">
        <w:rPr>
          <w:b/>
        </w:rPr>
        <w:t>кт</w:t>
      </w:r>
      <w:r>
        <w:rPr>
          <w:b/>
        </w:rPr>
        <w:t xml:space="preserve"> </w:t>
      </w:r>
      <w:r w:rsidRPr="0093643C">
        <w:t>с победител</w:t>
      </w:r>
      <w:r>
        <w:t xml:space="preserve">ями </w:t>
      </w:r>
      <w:r w:rsidRPr="0093643C">
        <w:t xml:space="preserve"> </w:t>
      </w:r>
      <w:r>
        <w:t>электронных  процедур</w:t>
      </w:r>
      <w:r w:rsidRPr="0093643C">
        <w:t xml:space="preserve"> на </w:t>
      </w:r>
      <w:r>
        <w:t xml:space="preserve">общую сумму  </w:t>
      </w:r>
      <w:r w:rsidR="00832682">
        <w:rPr>
          <w:b/>
        </w:rPr>
        <w:t>157,0</w:t>
      </w:r>
      <w:r w:rsidRPr="00407209">
        <w:rPr>
          <w:b/>
        </w:rPr>
        <w:t xml:space="preserve"> тыс</w:t>
      </w:r>
      <w:r w:rsidRPr="00B05242">
        <w:rPr>
          <w:b/>
        </w:rPr>
        <w:t>. руб</w:t>
      </w:r>
      <w:r w:rsidRPr="00734036">
        <w:rPr>
          <w:b/>
        </w:rPr>
        <w:t>.</w:t>
      </w:r>
    </w:p>
    <w:p w:rsidR="00FA5081" w:rsidRPr="00FA5081" w:rsidRDefault="00832682" w:rsidP="00FA5081">
      <w:pPr>
        <w:numPr>
          <w:ilvl w:val="0"/>
          <w:numId w:val="1"/>
        </w:numPr>
        <w:autoSpaceDE w:val="0"/>
        <w:autoSpaceDN w:val="0"/>
        <w:adjustRightInd w:val="0"/>
        <w:spacing w:line="23" w:lineRule="atLeast"/>
        <w:ind w:left="0" w:firstLine="426"/>
        <w:jc w:val="both"/>
      </w:pPr>
      <w:r>
        <w:t>О</w:t>
      </w:r>
      <w:r w:rsidRPr="0093643C">
        <w:t>пределени</w:t>
      </w:r>
      <w:r>
        <w:t>е</w:t>
      </w:r>
      <w:r w:rsidRPr="0093643C">
        <w:t xml:space="preserve"> поставщика  путем проведения </w:t>
      </w:r>
      <w:r>
        <w:t xml:space="preserve"> </w:t>
      </w:r>
      <w:r w:rsidRPr="00832682">
        <w:rPr>
          <w:b/>
          <w:u w:val="single"/>
        </w:rPr>
        <w:t>Электронного запроса котировок</w:t>
      </w:r>
      <w:r w:rsidRPr="008B2122">
        <w:rPr>
          <w:b/>
          <w:u w:val="single"/>
        </w:rPr>
        <w:t xml:space="preserve"> </w:t>
      </w:r>
      <w:r>
        <w:t xml:space="preserve">в электронной форме  в отчетном периоде 2022 года </w:t>
      </w:r>
      <w:r w:rsidRPr="00536CE3">
        <w:rPr>
          <w:b/>
        </w:rPr>
        <w:t>не осуществлялось</w:t>
      </w:r>
      <w:r w:rsidR="00536CE3">
        <w:t>.</w:t>
      </w:r>
    </w:p>
    <w:p w:rsidR="00FA5081" w:rsidRDefault="00FA5081" w:rsidP="008B2122">
      <w:pPr>
        <w:autoSpaceDE w:val="0"/>
        <w:autoSpaceDN w:val="0"/>
        <w:adjustRightInd w:val="0"/>
        <w:spacing w:line="120" w:lineRule="auto"/>
        <w:ind w:left="425"/>
        <w:jc w:val="both"/>
      </w:pPr>
    </w:p>
    <w:p w:rsidR="00536CE3" w:rsidRDefault="00536CE3" w:rsidP="00536CE3">
      <w:pPr>
        <w:autoSpaceDE w:val="0"/>
        <w:autoSpaceDN w:val="0"/>
        <w:adjustRightInd w:val="0"/>
        <w:ind w:firstLine="425"/>
        <w:jc w:val="both"/>
      </w:pPr>
      <w:r>
        <w:t>В 20</w:t>
      </w:r>
      <w:r w:rsidR="00F96375">
        <w:t>22</w:t>
      </w:r>
      <w:r>
        <w:t xml:space="preserve"> году конкурентными способами заключено </w:t>
      </w:r>
      <w:r w:rsidR="00F02579" w:rsidRPr="00F02579">
        <w:rPr>
          <w:b/>
        </w:rPr>
        <w:t>20,0</w:t>
      </w:r>
      <w:r w:rsidRPr="00F02579">
        <w:rPr>
          <w:b/>
        </w:rPr>
        <w:t>%</w:t>
      </w:r>
      <w:r w:rsidRPr="00131969">
        <w:rPr>
          <w:b/>
        </w:rPr>
        <w:t xml:space="preserve"> </w:t>
      </w:r>
      <w:r>
        <w:t>количественного объема контрактов (по итогам 20</w:t>
      </w:r>
      <w:r w:rsidR="00F02579">
        <w:t>21</w:t>
      </w:r>
      <w:r>
        <w:t xml:space="preserve"> года – </w:t>
      </w:r>
      <w:r w:rsidR="00F02579" w:rsidRPr="00F02579">
        <w:rPr>
          <w:b/>
        </w:rPr>
        <w:t>33,2</w:t>
      </w:r>
      <w:r w:rsidRPr="00F02579">
        <w:rPr>
          <w:b/>
        </w:rPr>
        <w:t>%</w:t>
      </w:r>
      <w:r>
        <w:t>).</w:t>
      </w:r>
    </w:p>
    <w:p w:rsidR="00F06C7D" w:rsidRDefault="00FA5081" w:rsidP="00FA5081">
      <w:pPr>
        <w:autoSpaceDE w:val="0"/>
        <w:autoSpaceDN w:val="0"/>
        <w:adjustRightInd w:val="0"/>
        <w:ind w:firstLine="425"/>
        <w:jc w:val="both"/>
      </w:pPr>
      <w:r>
        <w:t>Удельный вес контрактов (по сумме), заключенных конкурентными способами в 20</w:t>
      </w:r>
      <w:r w:rsidR="0003068B">
        <w:t>22</w:t>
      </w:r>
      <w:r>
        <w:t xml:space="preserve"> году, составляет </w:t>
      </w:r>
      <w:r w:rsidR="008B2122">
        <w:t xml:space="preserve">– </w:t>
      </w:r>
      <w:r w:rsidR="0003068B">
        <w:rPr>
          <w:b/>
        </w:rPr>
        <w:t>13,9</w:t>
      </w:r>
      <w:r w:rsidRPr="00536CE3">
        <w:rPr>
          <w:b/>
        </w:rPr>
        <w:t>%,</w:t>
      </w:r>
      <w:r>
        <w:t xml:space="preserve"> </w:t>
      </w:r>
      <w:r w:rsidR="008B2122">
        <w:t xml:space="preserve"> </w:t>
      </w:r>
      <w:r>
        <w:t xml:space="preserve">что на </w:t>
      </w:r>
      <w:r w:rsidR="0003068B">
        <w:t>32,5</w:t>
      </w:r>
      <w:r w:rsidR="008B2122">
        <w:t xml:space="preserve"> процентных пункта </w:t>
      </w:r>
      <w:r>
        <w:t xml:space="preserve"> </w:t>
      </w:r>
      <w:r w:rsidR="0003068B">
        <w:t>меньше</w:t>
      </w:r>
      <w:r>
        <w:t>, чем в 20</w:t>
      </w:r>
      <w:r w:rsidR="0003068B">
        <w:t>21</w:t>
      </w:r>
      <w:r>
        <w:t xml:space="preserve"> году</w:t>
      </w:r>
      <w:r w:rsidR="003125B3">
        <w:t>.</w:t>
      </w:r>
    </w:p>
    <w:p w:rsidR="00536CE3" w:rsidRPr="00536CE3" w:rsidRDefault="00F40652" w:rsidP="00F40652">
      <w:pPr>
        <w:autoSpaceDE w:val="0"/>
        <w:autoSpaceDN w:val="0"/>
        <w:adjustRightInd w:val="0"/>
        <w:ind w:firstLine="426"/>
        <w:jc w:val="both"/>
        <w:rPr>
          <w:rFonts w:eastAsia="Calibri"/>
        </w:rPr>
      </w:pPr>
      <w:r>
        <w:rPr>
          <w:rFonts w:eastAsia="Calibri"/>
          <w:color w:val="000000"/>
        </w:rPr>
        <w:t>По итогам 20</w:t>
      </w:r>
      <w:r w:rsidR="0003068B">
        <w:rPr>
          <w:rFonts w:eastAsia="Calibri"/>
          <w:color w:val="000000"/>
        </w:rPr>
        <w:t>22</w:t>
      </w:r>
      <w:r>
        <w:rPr>
          <w:rFonts w:eastAsia="Calibri"/>
          <w:color w:val="000000"/>
        </w:rPr>
        <w:t xml:space="preserve"> года п</w:t>
      </w:r>
      <w:r w:rsidR="00536CE3" w:rsidRPr="00536CE3">
        <w:rPr>
          <w:rFonts w:eastAsia="Calibri"/>
          <w:color w:val="000000"/>
        </w:rPr>
        <w:t>роизошло снижение общего стоимостного объема контрактов, заключенных заказчиками по итогам конкурентных процедур, на</w:t>
      </w:r>
      <w:r w:rsidR="008D3B43">
        <w:rPr>
          <w:rFonts w:eastAsia="Calibri"/>
          <w:color w:val="000000"/>
        </w:rPr>
        <w:t xml:space="preserve"> </w:t>
      </w:r>
      <w:r w:rsidR="00536CE3" w:rsidRPr="00536CE3">
        <w:rPr>
          <w:rFonts w:eastAsia="Calibri"/>
          <w:color w:val="000000"/>
        </w:rPr>
        <w:t xml:space="preserve"> </w:t>
      </w:r>
      <w:r w:rsidR="00F44BB4">
        <w:rPr>
          <w:rFonts w:eastAsia="Calibri"/>
          <w:b/>
          <w:color w:val="000000"/>
        </w:rPr>
        <w:t>11 480,4</w:t>
      </w:r>
      <w:r w:rsidRPr="00F40652">
        <w:rPr>
          <w:rFonts w:eastAsia="Calibri"/>
          <w:b/>
          <w:color w:val="000000"/>
        </w:rPr>
        <w:t xml:space="preserve"> тыс</w:t>
      </w:r>
      <w:r w:rsidR="00536CE3" w:rsidRPr="00536CE3">
        <w:rPr>
          <w:rFonts w:eastAsia="Calibri"/>
          <w:b/>
          <w:color w:val="000000"/>
        </w:rPr>
        <w:t>. руб</w:t>
      </w:r>
      <w:r w:rsidR="00536CE3" w:rsidRPr="00536CE3">
        <w:rPr>
          <w:rFonts w:eastAsia="Calibri"/>
          <w:color w:val="000000"/>
        </w:rPr>
        <w:t>. и, при снижении количества таких контрактов</w:t>
      </w:r>
      <w:r w:rsidR="00BC06F2">
        <w:rPr>
          <w:rFonts w:eastAsia="Calibri"/>
          <w:color w:val="000000"/>
        </w:rPr>
        <w:t xml:space="preserve"> </w:t>
      </w:r>
      <w:r w:rsidR="007E4FC6">
        <w:rPr>
          <w:rFonts w:eastAsia="Calibri"/>
          <w:color w:val="000000"/>
        </w:rPr>
        <w:t xml:space="preserve">  </w:t>
      </w:r>
      <w:r w:rsidR="002F37DC">
        <w:rPr>
          <w:rFonts w:eastAsia="Calibri"/>
          <w:color w:val="000000"/>
        </w:rPr>
        <w:t xml:space="preserve"> </w:t>
      </w:r>
      <w:r w:rsidR="00BC06F2">
        <w:rPr>
          <w:rFonts w:eastAsia="Calibri"/>
          <w:color w:val="000000"/>
        </w:rPr>
        <w:t xml:space="preserve">на </w:t>
      </w:r>
      <w:r w:rsidR="007E4FC6">
        <w:rPr>
          <w:rFonts w:eastAsia="Calibri"/>
          <w:color w:val="000000"/>
        </w:rPr>
        <w:t xml:space="preserve"> </w:t>
      </w:r>
      <w:r w:rsidR="00BC06F2" w:rsidRPr="00BC06F2">
        <w:rPr>
          <w:rFonts w:eastAsia="Calibri"/>
          <w:b/>
          <w:color w:val="000000"/>
        </w:rPr>
        <w:t>1</w:t>
      </w:r>
      <w:r w:rsidR="00F44BB4">
        <w:rPr>
          <w:rFonts w:eastAsia="Calibri"/>
          <w:b/>
          <w:color w:val="000000"/>
        </w:rPr>
        <w:t>7</w:t>
      </w:r>
      <w:r w:rsidR="00BC06F2" w:rsidRPr="00BC06F2">
        <w:rPr>
          <w:rFonts w:eastAsia="Calibri"/>
          <w:b/>
          <w:color w:val="000000"/>
        </w:rPr>
        <w:t xml:space="preserve"> единиц</w:t>
      </w:r>
      <w:proofErr w:type="gramStart"/>
      <w:r w:rsidR="00BC06F2">
        <w:rPr>
          <w:rFonts w:eastAsia="Calibri"/>
          <w:b/>
          <w:color w:val="000000"/>
        </w:rPr>
        <w:t xml:space="preserve"> </w:t>
      </w:r>
      <w:r w:rsidR="00536CE3" w:rsidRPr="00536CE3">
        <w:rPr>
          <w:rFonts w:eastAsia="Calibri"/>
          <w:color w:val="000000"/>
        </w:rPr>
        <w:t>,</w:t>
      </w:r>
      <w:proofErr w:type="gramEnd"/>
      <w:r w:rsidR="00536CE3" w:rsidRPr="00536CE3">
        <w:rPr>
          <w:rFonts w:eastAsia="Calibri"/>
          <w:color w:val="000000"/>
        </w:rPr>
        <w:t xml:space="preserve"> </w:t>
      </w:r>
      <w:r w:rsidR="000764D6">
        <w:rPr>
          <w:rFonts w:eastAsia="Calibri"/>
          <w:color w:val="000000"/>
        </w:rPr>
        <w:t xml:space="preserve">в то же время наблюдается увеличение </w:t>
      </w:r>
      <w:r w:rsidR="00536CE3" w:rsidRPr="00536CE3">
        <w:rPr>
          <w:rFonts w:eastAsia="Calibri"/>
          <w:color w:val="000000"/>
        </w:rPr>
        <w:t>средн</w:t>
      </w:r>
      <w:r w:rsidR="000764D6">
        <w:rPr>
          <w:rFonts w:eastAsia="Calibri"/>
          <w:color w:val="000000"/>
        </w:rPr>
        <w:t>ей</w:t>
      </w:r>
      <w:r w:rsidR="00536CE3" w:rsidRPr="00536CE3">
        <w:rPr>
          <w:rFonts w:eastAsia="Calibri"/>
          <w:color w:val="000000"/>
        </w:rPr>
        <w:t xml:space="preserve"> стоимост</w:t>
      </w:r>
      <w:r w:rsidR="000764D6">
        <w:rPr>
          <w:rFonts w:eastAsia="Calibri"/>
          <w:color w:val="000000"/>
        </w:rPr>
        <w:t>и</w:t>
      </w:r>
      <w:r w:rsidR="00536CE3" w:rsidRPr="00536CE3">
        <w:rPr>
          <w:rFonts w:eastAsia="Calibri"/>
          <w:color w:val="000000"/>
        </w:rPr>
        <w:t xml:space="preserve"> контрактов </w:t>
      </w:r>
      <w:r w:rsidR="00536CE3" w:rsidRPr="00536CE3">
        <w:rPr>
          <w:rFonts w:eastAsia="Calibri"/>
        </w:rPr>
        <w:t xml:space="preserve">заказчиков, заключенных по итогам конкурентных процедур: с </w:t>
      </w:r>
      <w:r w:rsidR="000764D6">
        <w:rPr>
          <w:rFonts w:eastAsia="Calibri"/>
        </w:rPr>
        <w:t>2 182,9</w:t>
      </w:r>
      <w:r w:rsidR="00BC06F2">
        <w:rPr>
          <w:rFonts w:eastAsia="Calibri"/>
        </w:rPr>
        <w:t xml:space="preserve"> тыс.</w:t>
      </w:r>
      <w:r w:rsidR="00536CE3" w:rsidRPr="00536CE3">
        <w:rPr>
          <w:rFonts w:eastAsia="Calibri"/>
        </w:rPr>
        <w:t xml:space="preserve"> руб. на </w:t>
      </w:r>
      <w:r w:rsidR="00BC06F2">
        <w:rPr>
          <w:rFonts w:eastAsia="Calibri"/>
        </w:rPr>
        <w:t>01.01.20</w:t>
      </w:r>
      <w:r w:rsidR="000764D6">
        <w:rPr>
          <w:rFonts w:eastAsia="Calibri"/>
        </w:rPr>
        <w:t>22</w:t>
      </w:r>
      <w:r w:rsidR="00536CE3" w:rsidRPr="00536CE3">
        <w:rPr>
          <w:rFonts w:eastAsia="Calibri"/>
        </w:rPr>
        <w:t xml:space="preserve"> до </w:t>
      </w:r>
      <w:r w:rsidR="000764D6">
        <w:rPr>
          <w:rFonts w:eastAsia="Calibri"/>
        </w:rPr>
        <w:t>2 728,2</w:t>
      </w:r>
      <w:r w:rsidR="00BC06F2">
        <w:rPr>
          <w:rFonts w:eastAsia="Calibri"/>
        </w:rPr>
        <w:t xml:space="preserve"> тыс.</w:t>
      </w:r>
      <w:r w:rsidR="00536CE3" w:rsidRPr="00536CE3">
        <w:rPr>
          <w:rFonts w:eastAsia="Calibri"/>
        </w:rPr>
        <w:t xml:space="preserve"> руб. на </w:t>
      </w:r>
      <w:r w:rsidR="00BC06F2">
        <w:rPr>
          <w:rFonts w:eastAsia="Calibri"/>
        </w:rPr>
        <w:t>01.01.20</w:t>
      </w:r>
      <w:r w:rsidR="000764D6">
        <w:rPr>
          <w:rFonts w:eastAsia="Calibri"/>
        </w:rPr>
        <w:t>23</w:t>
      </w:r>
      <w:r w:rsidR="00457A23">
        <w:rPr>
          <w:rFonts w:eastAsia="Calibri"/>
        </w:rPr>
        <w:t>г</w:t>
      </w:r>
      <w:r w:rsidR="00536CE3" w:rsidRPr="00536CE3">
        <w:rPr>
          <w:rFonts w:eastAsia="Calibri"/>
        </w:rPr>
        <w:t xml:space="preserve">. </w:t>
      </w:r>
    </w:p>
    <w:p w:rsidR="00975F3E" w:rsidRDefault="0016437A" w:rsidP="00F232C5">
      <w:pPr>
        <w:autoSpaceDE w:val="0"/>
        <w:autoSpaceDN w:val="0"/>
        <w:adjustRightInd w:val="0"/>
        <w:spacing w:after="120" w:line="280" w:lineRule="exact"/>
        <w:ind w:firstLine="425"/>
        <w:jc w:val="both"/>
      </w:pPr>
      <w:r w:rsidRPr="0016437A">
        <w:rPr>
          <w:b/>
        </w:rPr>
        <w:t>2.</w:t>
      </w:r>
      <w:r>
        <w:t xml:space="preserve"> </w:t>
      </w:r>
      <w:r w:rsidR="00F232C5" w:rsidRPr="0093643C">
        <w:t xml:space="preserve">По результатам определения поставщика путем проведения </w:t>
      </w:r>
      <w:r w:rsidR="00F232C5" w:rsidRPr="00F232C5">
        <w:rPr>
          <w:b/>
          <w:i/>
        </w:rPr>
        <w:t>неко</w:t>
      </w:r>
      <w:r w:rsidR="00F232C5" w:rsidRPr="002E1EF5">
        <w:rPr>
          <w:b/>
          <w:i/>
        </w:rPr>
        <w:t>нкурентных способов</w:t>
      </w:r>
      <w:r w:rsidR="00F232C5">
        <w:t xml:space="preserve"> определения поставщика (подрядчика, исполнителя) было заключено в 20</w:t>
      </w:r>
      <w:r w:rsidR="003752A8">
        <w:t>22</w:t>
      </w:r>
      <w:r w:rsidR="00F232C5">
        <w:t xml:space="preserve"> году  </w:t>
      </w:r>
      <w:r w:rsidR="00765195">
        <w:rPr>
          <w:b/>
        </w:rPr>
        <w:t xml:space="preserve">188 </w:t>
      </w:r>
      <w:r w:rsidR="00F232C5" w:rsidRPr="001B7125">
        <w:rPr>
          <w:b/>
        </w:rPr>
        <w:t>контрактов</w:t>
      </w:r>
      <w:r w:rsidR="00F232C5">
        <w:rPr>
          <w:b/>
        </w:rPr>
        <w:t xml:space="preserve"> </w:t>
      </w:r>
      <w:r w:rsidR="001B7125">
        <w:t xml:space="preserve"> </w:t>
      </w:r>
      <w:r w:rsidR="00F232C5" w:rsidRPr="00A95C6D">
        <w:t>на общую сумму</w:t>
      </w:r>
      <w:r w:rsidR="00F232C5" w:rsidRPr="008D738D">
        <w:rPr>
          <w:b/>
        </w:rPr>
        <w:t xml:space="preserve"> </w:t>
      </w:r>
      <w:r w:rsidR="00F232C5">
        <w:rPr>
          <w:b/>
        </w:rPr>
        <w:t xml:space="preserve"> </w:t>
      </w:r>
      <w:r w:rsidR="00765195">
        <w:rPr>
          <w:b/>
        </w:rPr>
        <w:t>792 006,9</w:t>
      </w:r>
      <w:r w:rsidR="00F232C5">
        <w:rPr>
          <w:b/>
        </w:rPr>
        <w:t xml:space="preserve"> </w:t>
      </w:r>
      <w:r w:rsidR="00F232C5" w:rsidRPr="008D738D">
        <w:rPr>
          <w:b/>
        </w:rPr>
        <w:t xml:space="preserve"> тыс. руб.</w:t>
      </w:r>
      <w:r w:rsidR="00F232C5">
        <w:rPr>
          <w:b/>
        </w:rPr>
        <w:t xml:space="preserve">, </w:t>
      </w:r>
      <w:r w:rsidR="00F232C5" w:rsidRPr="003A5CB4">
        <w:t>из них</w:t>
      </w:r>
    </w:p>
    <w:p w:rsidR="003326F2" w:rsidRDefault="008D546C" w:rsidP="003326F2">
      <w:pPr>
        <w:numPr>
          <w:ilvl w:val="0"/>
          <w:numId w:val="1"/>
        </w:numPr>
        <w:autoSpaceDE w:val="0"/>
        <w:autoSpaceDN w:val="0"/>
        <w:adjustRightInd w:val="0"/>
        <w:spacing w:after="120" w:line="280" w:lineRule="exact"/>
        <w:ind w:left="0" w:firstLine="425"/>
        <w:jc w:val="both"/>
      </w:pPr>
      <w:r>
        <w:t>П</w:t>
      </w:r>
      <w:r w:rsidR="003326F2" w:rsidRPr="00AF44FD">
        <w:t xml:space="preserve">о результатам </w:t>
      </w:r>
      <w:r w:rsidR="003326F2" w:rsidRPr="00AF44FD">
        <w:rPr>
          <w:u w:val="single"/>
        </w:rPr>
        <w:t xml:space="preserve">несостоявшегося </w:t>
      </w:r>
      <w:r>
        <w:rPr>
          <w:u w:val="single"/>
        </w:rPr>
        <w:t>Электронного аукциона</w:t>
      </w:r>
      <w:r w:rsidRPr="008D546C">
        <w:t xml:space="preserve"> </w:t>
      </w:r>
      <w:r w:rsidR="00765195">
        <w:t xml:space="preserve"> З</w:t>
      </w:r>
      <w:r w:rsidR="003326F2" w:rsidRPr="00AF44FD">
        <w:t>аказчик</w:t>
      </w:r>
      <w:r>
        <w:t>ами</w:t>
      </w:r>
      <w:r w:rsidR="003326F2" w:rsidRPr="00AF44FD">
        <w:t xml:space="preserve"> заключен</w:t>
      </w:r>
      <w:r>
        <w:t xml:space="preserve">о </w:t>
      </w:r>
      <w:r w:rsidR="00765195">
        <w:rPr>
          <w:b/>
        </w:rPr>
        <w:t>95</w:t>
      </w:r>
      <w:r w:rsidRPr="001B7125">
        <w:rPr>
          <w:b/>
        </w:rPr>
        <w:t xml:space="preserve"> </w:t>
      </w:r>
      <w:r w:rsidR="003326F2" w:rsidRPr="001B7125">
        <w:rPr>
          <w:b/>
        </w:rPr>
        <w:t>к</w:t>
      </w:r>
      <w:r w:rsidR="003326F2" w:rsidRPr="008D546C">
        <w:rPr>
          <w:b/>
        </w:rPr>
        <w:t>онтракт</w:t>
      </w:r>
      <w:r w:rsidRPr="008D546C">
        <w:rPr>
          <w:b/>
        </w:rPr>
        <w:t>ов</w:t>
      </w:r>
      <w:r w:rsidR="003326F2" w:rsidRPr="00AF44FD">
        <w:t xml:space="preserve"> с единственным поставщиком </w:t>
      </w:r>
      <w:r w:rsidR="003326F2" w:rsidRPr="001B7125">
        <w:t>(</w:t>
      </w:r>
      <w:r w:rsidR="003326F2" w:rsidRPr="001B7125">
        <w:rPr>
          <w:rStyle w:val="af"/>
          <w:rFonts w:cs="Times New Roman CYR"/>
          <w:color w:val="auto"/>
        </w:rPr>
        <w:t>п. 25 ст.93 Закона 44-ФЗ</w:t>
      </w:r>
      <w:r w:rsidR="003326F2" w:rsidRPr="001B7125">
        <w:t>)</w:t>
      </w:r>
      <w:r w:rsidR="003326F2" w:rsidRPr="00AF44FD">
        <w:t xml:space="preserve"> на сумму </w:t>
      </w:r>
      <w:r w:rsidR="00765195">
        <w:rPr>
          <w:b/>
        </w:rPr>
        <w:t>326 642,8</w:t>
      </w:r>
      <w:r w:rsidR="003326F2" w:rsidRPr="00E00919">
        <w:rPr>
          <w:b/>
        </w:rPr>
        <w:t xml:space="preserve"> тыс.</w:t>
      </w:r>
      <w:r w:rsidR="003326F2" w:rsidRPr="00AF44FD">
        <w:rPr>
          <w:b/>
        </w:rPr>
        <w:t xml:space="preserve"> руб</w:t>
      </w:r>
      <w:r w:rsidR="003326F2" w:rsidRPr="00AF44FD">
        <w:t>.</w:t>
      </w:r>
    </w:p>
    <w:p w:rsidR="004F5AC5" w:rsidRPr="00357A4B" w:rsidRDefault="004F5AC5" w:rsidP="004F5AC5">
      <w:pPr>
        <w:numPr>
          <w:ilvl w:val="0"/>
          <w:numId w:val="1"/>
        </w:numPr>
        <w:autoSpaceDE w:val="0"/>
        <w:autoSpaceDN w:val="0"/>
        <w:adjustRightInd w:val="0"/>
        <w:spacing w:after="120" w:line="280" w:lineRule="exact"/>
        <w:ind w:left="0" w:firstLine="425"/>
        <w:jc w:val="both"/>
        <w:rPr>
          <w:b/>
        </w:rPr>
      </w:pPr>
      <w:r>
        <w:t>П</w:t>
      </w:r>
      <w:r w:rsidRPr="00AF44FD">
        <w:t xml:space="preserve">о результатам </w:t>
      </w:r>
      <w:r w:rsidRPr="00AF44FD">
        <w:rPr>
          <w:u w:val="single"/>
        </w:rPr>
        <w:t xml:space="preserve">несостоявшегося </w:t>
      </w:r>
      <w:r w:rsidR="00E00919">
        <w:rPr>
          <w:u w:val="single"/>
        </w:rPr>
        <w:t xml:space="preserve"> </w:t>
      </w:r>
      <w:r w:rsidR="00765195">
        <w:rPr>
          <w:u w:val="single"/>
        </w:rPr>
        <w:t>Электронного к</w:t>
      </w:r>
      <w:r w:rsidR="00EB67AD">
        <w:rPr>
          <w:u w:val="single"/>
        </w:rPr>
        <w:t>онкурса</w:t>
      </w:r>
      <w:r w:rsidR="00E00919">
        <w:t xml:space="preserve"> </w:t>
      </w:r>
      <w:r w:rsidR="00765195">
        <w:t xml:space="preserve"> З</w:t>
      </w:r>
      <w:r w:rsidRPr="00AF44FD">
        <w:t>аказчик</w:t>
      </w:r>
      <w:r>
        <w:t>ами</w:t>
      </w:r>
      <w:r w:rsidRPr="00AF44FD">
        <w:t xml:space="preserve"> заключен</w:t>
      </w:r>
      <w:r w:rsidR="00EB67AD">
        <w:t>о</w:t>
      </w:r>
      <w:r w:rsidRPr="00AF44FD">
        <w:t xml:space="preserve"> </w:t>
      </w:r>
      <w:r w:rsidR="00765195">
        <w:rPr>
          <w:b/>
        </w:rPr>
        <w:t>6</w:t>
      </w:r>
      <w:r w:rsidRPr="00EB67AD">
        <w:rPr>
          <w:b/>
        </w:rPr>
        <w:t xml:space="preserve"> </w:t>
      </w:r>
      <w:r w:rsidRPr="00AF44FD">
        <w:rPr>
          <w:b/>
        </w:rPr>
        <w:t>контракт</w:t>
      </w:r>
      <w:r w:rsidR="00E00919">
        <w:rPr>
          <w:b/>
        </w:rPr>
        <w:t>ов</w:t>
      </w:r>
      <w:r>
        <w:rPr>
          <w:b/>
        </w:rPr>
        <w:t xml:space="preserve"> </w:t>
      </w:r>
      <w:r w:rsidRPr="00AF44FD">
        <w:t xml:space="preserve"> с единственным поставщиком </w:t>
      </w:r>
      <w:r w:rsidRPr="004F5AC5">
        <w:t>(</w:t>
      </w:r>
      <w:r w:rsidRPr="004F5AC5">
        <w:rPr>
          <w:rStyle w:val="af"/>
          <w:rFonts w:cs="Times New Roman CYR"/>
          <w:color w:val="auto"/>
        </w:rPr>
        <w:t>п. 25</w:t>
      </w:r>
      <w:r>
        <w:rPr>
          <w:rStyle w:val="af"/>
          <w:rFonts w:cs="Times New Roman CYR"/>
          <w:color w:val="auto"/>
        </w:rPr>
        <w:t xml:space="preserve"> </w:t>
      </w:r>
      <w:r w:rsidRPr="004F5AC5">
        <w:rPr>
          <w:rStyle w:val="af"/>
          <w:rFonts w:cs="Times New Roman CYR"/>
          <w:color w:val="auto"/>
        </w:rPr>
        <w:t xml:space="preserve"> ст.93 Закона 44-ФЗ</w:t>
      </w:r>
      <w:r w:rsidRPr="004F5AC5">
        <w:t>)</w:t>
      </w:r>
      <w:r w:rsidRPr="00AF44FD">
        <w:t xml:space="preserve"> на сумму </w:t>
      </w:r>
      <w:r>
        <w:t xml:space="preserve"> </w:t>
      </w:r>
      <w:r w:rsidR="00765195">
        <w:rPr>
          <w:b/>
        </w:rPr>
        <w:t>108 900,7</w:t>
      </w:r>
      <w:r w:rsidR="00E00919">
        <w:rPr>
          <w:b/>
        </w:rPr>
        <w:t xml:space="preserve"> </w:t>
      </w:r>
      <w:r w:rsidRPr="004F5AC5">
        <w:rPr>
          <w:b/>
        </w:rPr>
        <w:t>тыс</w:t>
      </w:r>
      <w:r w:rsidRPr="00357A4B">
        <w:rPr>
          <w:b/>
        </w:rPr>
        <w:t>. руб.</w:t>
      </w:r>
    </w:p>
    <w:p w:rsidR="003326F2" w:rsidRPr="00BA090B" w:rsidRDefault="003326F2" w:rsidP="003326F2">
      <w:pPr>
        <w:numPr>
          <w:ilvl w:val="0"/>
          <w:numId w:val="1"/>
        </w:numPr>
        <w:autoSpaceDE w:val="0"/>
        <w:autoSpaceDN w:val="0"/>
        <w:adjustRightInd w:val="0"/>
        <w:spacing w:after="120" w:line="280" w:lineRule="exact"/>
        <w:ind w:left="0" w:firstLine="425"/>
        <w:jc w:val="both"/>
        <w:rPr>
          <w:b/>
        </w:rPr>
      </w:pPr>
      <w:r w:rsidRPr="008E5AF7">
        <w:t xml:space="preserve">По неконкурентным способам определения поставщика с единственным поставщиком на основании </w:t>
      </w:r>
      <w:r w:rsidR="00EB67AD">
        <w:t xml:space="preserve"> </w:t>
      </w:r>
      <w:r w:rsidRPr="00EB67AD">
        <w:rPr>
          <w:rStyle w:val="af"/>
          <w:rFonts w:cs="Times New Roman CYR"/>
          <w:color w:val="auto"/>
        </w:rPr>
        <w:t>пункт</w:t>
      </w:r>
      <w:r w:rsidR="00BF3966" w:rsidRPr="00EB67AD">
        <w:rPr>
          <w:rStyle w:val="af"/>
          <w:rFonts w:cs="Times New Roman CYR"/>
          <w:color w:val="auto"/>
        </w:rPr>
        <w:t>ов</w:t>
      </w:r>
      <w:r w:rsidRPr="00EB67AD">
        <w:rPr>
          <w:rStyle w:val="af"/>
          <w:rFonts w:cs="Times New Roman CYR"/>
          <w:color w:val="auto"/>
        </w:rPr>
        <w:t xml:space="preserve">  </w:t>
      </w:r>
      <w:r w:rsidR="00BF3966" w:rsidRPr="00EB67AD">
        <w:rPr>
          <w:rStyle w:val="af"/>
          <w:rFonts w:cs="Times New Roman CYR"/>
          <w:color w:val="auto"/>
        </w:rPr>
        <w:t>1,</w:t>
      </w:r>
      <w:r w:rsidR="00765195">
        <w:rPr>
          <w:rStyle w:val="af"/>
          <w:rFonts w:cs="Times New Roman CYR"/>
          <w:color w:val="auto"/>
        </w:rPr>
        <w:t xml:space="preserve"> 2,</w:t>
      </w:r>
      <w:r w:rsidR="00BF3966" w:rsidRPr="00EB67AD">
        <w:rPr>
          <w:rStyle w:val="af"/>
          <w:rFonts w:cs="Times New Roman CYR"/>
          <w:color w:val="auto"/>
        </w:rPr>
        <w:t xml:space="preserve"> </w:t>
      </w:r>
      <w:r w:rsidR="00E00919">
        <w:rPr>
          <w:rStyle w:val="af"/>
          <w:rFonts w:cs="Times New Roman CYR"/>
          <w:color w:val="auto"/>
        </w:rPr>
        <w:t xml:space="preserve">6, </w:t>
      </w:r>
      <w:r w:rsidRPr="00EB67AD">
        <w:rPr>
          <w:rStyle w:val="af"/>
          <w:rFonts w:cs="Times New Roman CYR"/>
          <w:color w:val="auto"/>
        </w:rPr>
        <w:t>8,</w:t>
      </w:r>
      <w:r w:rsidR="00BA090B" w:rsidRPr="00EB67AD">
        <w:rPr>
          <w:rStyle w:val="af"/>
          <w:rFonts w:cs="Times New Roman CYR"/>
          <w:color w:val="auto"/>
        </w:rPr>
        <w:t xml:space="preserve"> </w:t>
      </w:r>
      <w:r w:rsidR="00931149" w:rsidRPr="00EB67AD">
        <w:rPr>
          <w:rStyle w:val="af"/>
          <w:rFonts w:cs="Times New Roman CYR"/>
          <w:color w:val="auto"/>
        </w:rPr>
        <w:t>22,</w:t>
      </w:r>
      <w:r w:rsidR="00765195">
        <w:rPr>
          <w:rStyle w:val="af"/>
          <w:rFonts w:cs="Times New Roman CYR"/>
          <w:color w:val="auto"/>
        </w:rPr>
        <w:t>23,</w:t>
      </w:r>
      <w:r w:rsidR="00931149" w:rsidRPr="00EB67AD">
        <w:rPr>
          <w:rStyle w:val="af"/>
          <w:rFonts w:cs="Times New Roman CYR"/>
          <w:color w:val="auto"/>
        </w:rPr>
        <w:t xml:space="preserve"> </w:t>
      </w:r>
      <w:r w:rsidRPr="00EB67AD">
        <w:rPr>
          <w:rStyle w:val="af"/>
          <w:rFonts w:cs="Times New Roman CYR"/>
          <w:color w:val="auto"/>
        </w:rPr>
        <w:t>29 части 1 статьи 93</w:t>
      </w:r>
      <w:r w:rsidRPr="008E5AF7">
        <w:t xml:space="preserve"> Закона №44-ФЗ заключено </w:t>
      </w:r>
      <w:r w:rsidR="00A5783B">
        <w:t xml:space="preserve"> </w:t>
      </w:r>
      <w:r w:rsidR="00765195">
        <w:rPr>
          <w:b/>
        </w:rPr>
        <w:t>87</w:t>
      </w:r>
      <w:r w:rsidR="00E00919">
        <w:rPr>
          <w:b/>
        </w:rPr>
        <w:t xml:space="preserve"> </w:t>
      </w:r>
      <w:r w:rsidRPr="00931149">
        <w:rPr>
          <w:b/>
        </w:rPr>
        <w:t>контрактов</w:t>
      </w:r>
      <w:r w:rsidRPr="008E5AF7">
        <w:t xml:space="preserve"> на сумму  </w:t>
      </w:r>
      <w:r w:rsidR="00765195">
        <w:rPr>
          <w:b/>
        </w:rPr>
        <w:t>356 463,4</w:t>
      </w:r>
      <w:r w:rsidRPr="00E00919">
        <w:rPr>
          <w:b/>
        </w:rPr>
        <w:t xml:space="preserve"> тыс</w:t>
      </w:r>
      <w:r w:rsidRPr="00BA090B">
        <w:rPr>
          <w:b/>
        </w:rPr>
        <w:t>. руб.</w:t>
      </w:r>
    </w:p>
    <w:p w:rsidR="003326F2" w:rsidRDefault="003326F2" w:rsidP="003326F2">
      <w:pPr>
        <w:autoSpaceDE w:val="0"/>
        <w:spacing w:line="23" w:lineRule="atLeast"/>
        <w:jc w:val="center"/>
        <w:rPr>
          <w:i/>
        </w:rPr>
      </w:pPr>
      <w:r>
        <w:rPr>
          <w:i/>
        </w:rPr>
        <w:t xml:space="preserve">Распределение закупок по способам определения </w:t>
      </w:r>
      <w:r w:rsidRPr="00A8699D">
        <w:rPr>
          <w:i/>
        </w:rPr>
        <w:t>поставщик</w:t>
      </w:r>
      <w:r>
        <w:rPr>
          <w:i/>
        </w:rPr>
        <w:t>ов в 20</w:t>
      </w:r>
      <w:r w:rsidR="00640994">
        <w:rPr>
          <w:i/>
        </w:rPr>
        <w:t>22</w:t>
      </w:r>
      <w:r>
        <w:rPr>
          <w:i/>
        </w:rPr>
        <w:t xml:space="preserve"> году выглядит следующим образом:</w:t>
      </w:r>
    </w:p>
    <w:p w:rsidR="00DB7A64" w:rsidRPr="00315346" w:rsidRDefault="00DB7A64" w:rsidP="00447A75">
      <w:pPr>
        <w:rPr>
          <w:b/>
          <w:sz w:val="20"/>
          <w:szCs w:val="20"/>
        </w:rPr>
      </w:pPr>
      <w:r>
        <w:rPr>
          <w:b/>
          <w:sz w:val="20"/>
          <w:szCs w:val="20"/>
        </w:rPr>
        <w:t>Таблица 10</w:t>
      </w:r>
      <w:r w:rsidR="00447A75">
        <w:rPr>
          <w:b/>
          <w:sz w:val="20"/>
          <w:szCs w:val="20"/>
        </w:rPr>
        <w:t xml:space="preserve">                                                                                                                                                     тыс. руб.</w:t>
      </w:r>
    </w:p>
    <w:tbl>
      <w:tblPr>
        <w:tblW w:w="9356" w:type="dxa"/>
        <w:tblInd w:w="108" w:type="dxa"/>
        <w:tblLayout w:type="fixed"/>
        <w:tblLook w:val="0000" w:firstRow="0" w:lastRow="0" w:firstColumn="0" w:lastColumn="0" w:noHBand="0" w:noVBand="0"/>
      </w:tblPr>
      <w:tblGrid>
        <w:gridCol w:w="426"/>
        <w:gridCol w:w="3969"/>
        <w:gridCol w:w="1417"/>
        <w:gridCol w:w="1134"/>
        <w:gridCol w:w="1276"/>
        <w:gridCol w:w="1134"/>
      </w:tblGrid>
      <w:tr w:rsidR="00322383" w:rsidRPr="004625D6" w:rsidTr="00640994">
        <w:trPr>
          <w:trHeight w:val="697"/>
        </w:trPr>
        <w:tc>
          <w:tcPr>
            <w:tcW w:w="426" w:type="dxa"/>
            <w:tcBorders>
              <w:top w:val="single" w:sz="4" w:space="0" w:color="000000"/>
              <w:left w:val="single" w:sz="4" w:space="0" w:color="000000"/>
              <w:bottom w:val="single" w:sz="4" w:space="0" w:color="000000"/>
            </w:tcBorders>
            <w:shd w:val="clear" w:color="auto" w:fill="EEECE1" w:themeFill="background2"/>
            <w:vAlign w:val="center"/>
          </w:tcPr>
          <w:p w:rsidR="00322383" w:rsidRPr="008E5AF7" w:rsidRDefault="00322383" w:rsidP="00E673B9">
            <w:pPr>
              <w:spacing w:line="23" w:lineRule="atLeast"/>
              <w:jc w:val="center"/>
              <w:rPr>
                <w:b/>
                <w:sz w:val="20"/>
                <w:szCs w:val="20"/>
              </w:rPr>
            </w:pPr>
            <w:r w:rsidRPr="008E5AF7">
              <w:rPr>
                <w:b/>
                <w:sz w:val="20"/>
                <w:szCs w:val="20"/>
              </w:rPr>
              <w:t xml:space="preserve">№ </w:t>
            </w:r>
            <w:proofErr w:type="gramStart"/>
            <w:r w:rsidRPr="008E5AF7">
              <w:rPr>
                <w:b/>
                <w:sz w:val="20"/>
                <w:szCs w:val="20"/>
              </w:rPr>
              <w:t>п</w:t>
            </w:r>
            <w:proofErr w:type="gramEnd"/>
            <w:r w:rsidRPr="008E5AF7">
              <w:rPr>
                <w:b/>
                <w:sz w:val="20"/>
                <w:szCs w:val="20"/>
              </w:rPr>
              <w:t>/п</w:t>
            </w:r>
          </w:p>
        </w:tc>
        <w:tc>
          <w:tcPr>
            <w:tcW w:w="3969" w:type="dxa"/>
            <w:tcBorders>
              <w:top w:val="single" w:sz="4" w:space="0" w:color="000000"/>
              <w:left w:val="single" w:sz="4" w:space="0" w:color="000000"/>
              <w:bottom w:val="single" w:sz="4" w:space="0" w:color="000000"/>
            </w:tcBorders>
            <w:shd w:val="clear" w:color="auto" w:fill="EEECE1" w:themeFill="background2"/>
            <w:vAlign w:val="center"/>
          </w:tcPr>
          <w:p w:rsidR="00322383" w:rsidRPr="008E5AF7" w:rsidRDefault="00322383" w:rsidP="00E673B9">
            <w:pPr>
              <w:spacing w:line="23" w:lineRule="atLeast"/>
              <w:jc w:val="center"/>
              <w:rPr>
                <w:b/>
                <w:sz w:val="20"/>
                <w:szCs w:val="20"/>
              </w:rPr>
            </w:pPr>
            <w:r>
              <w:rPr>
                <w:b/>
                <w:sz w:val="20"/>
                <w:szCs w:val="20"/>
              </w:rPr>
              <w:t>Способ определения поставщика</w:t>
            </w:r>
          </w:p>
        </w:tc>
        <w:tc>
          <w:tcPr>
            <w:tcW w:w="1417" w:type="dxa"/>
            <w:tcBorders>
              <w:top w:val="single" w:sz="4" w:space="0" w:color="000000"/>
              <w:left w:val="single" w:sz="4" w:space="0" w:color="000000"/>
              <w:bottom w:val="single" w:sz="4" w:space="0" w:color="000000"/>
            </w:tcBorders>
            <w:shd w:val="clear" w:color="auto" w:fill="EEECE1" w:themeFill="background2"/>
            <w:vAlign w:val="center"/>
          </w:tcPr>
          <w:p w:rsidR="00322383" w:rsidRPr="008E5AF7" w:rsidRDefault="00322383" w:rsidP="00E673B9">
            <w:pPr>
              <w:jc w:val="center"/>
              <w:rPr>
                <w:b/>
                <w:sz w:val="20"/>
                <w:szCs w:val="20"/>
              </w:rPr>
            </w:pPr>
            <w:r w:rsidRPr="008E5AF7">
              <w:rPr>
                <w:b/>
                <w:sz w:val="20"/>
                <w:szCs w:val="20"/>
              </w:rPr>
              <w:t>Цена контракта</w:t>
            </w:r>
          </w:p>
          <w:p w:rsidR="00322383" w:rsidRPr="008E5AF7" w:rsidRDefault="00322383" w:rsidP="00E673B9">
            <w:pPr>
              <w:spacing w:line="23" w:lineRule="atLeast"/>
              <w:jc w:val="center"/>
              <w:rPr>
                <w:b/>
                <w:sz w:val="20"/>
                <w:szCs w:val="20"/>
              </w:rPr>
            </w:pPr>
            <w:r w:rsidRPr="008E5AF7">
              <w:rPr>
                <w:b/>
                <w:sz w:val="20"/>
                <w:szCs w:val="20"/>
              </w:rPr>
              <w:t>(тыс. руб</w:t>
            </w:r>
            <w:r>
              <w:rPr>
                <w:b/>
                <w:sz w:val="20"/>
                <w:szCs w:val="20"/>
              </w:rPr>
              <w:t>.)</w:t>
            </w:r>
          </w:p>
        </w:tc>
        <w:tc>
          <w:tcPr>
            <w:tcW w:w="1134" w:type="dxa"/>
            <w:tcBorders>
              <w:top w:val="single" w:sz="4" w:space="0" w:color="000000"/>
              <w:left w:val="single" w:sz="4" w:space="0" w:color="000000"/>
              <w:bottom w:val="single" w:sz="4" w:space="0" w:color="000000"/>
              <w:right w:val="single" w:sz="4" w:space="0" w:color="auto"/>
            </w:tcBorders>
            <w:shd w:val="clear" w:color="auto" w:fill="EEECE1" w:themeFill="background2"/>
            <w:vAlign w:val="center"/>
          </w:tcPr>
          <w:p w:rsidR="00322383" w:rsidRPr="00207B08" w:rsidRDefault="00322383" w:rsidP="00322383">
            <w:pPr>
              <w:spacing w:line="23" w:lineRule="atLeast"/>
              <w:jc w:val="center"/>
              <w:rPr>
                <w:b/>
                <w:sz w:val="16"/>
                <w:szCs w:val="16"/>
              </w:rPr>
            </w:pPr>
            <w:r w:rsidRPr="00207B08">
              <w:rPr>
                <w:b/>
                <w:sz w:val="16"/>
                <w:szCs w:val="16"/>
              </w:rPr>
              <w:t>Доля в общей стоимости контрактов</w:t>
            </w:r>
            <w:r w:rsidR="00207B08" w:rsidRPr="00207B08">
              <w:rPr>
                <w:b/>
                <w:sz w:val="16"/>
                <w:szCs w:val="16"/>
              </w:rPr>
              <w:t xml:space="preserve">               </w:t>
            </w:r>
            <w:r w:rsidRPr="00207B08">
              <w:rPr>
                <w:b/>
                <w:sz w:val="16"/>
                <w:szCs w:val="16"/>
              </w:rPr>
              <w:t>%</w:t>
            </w:r>
          </w:p>
        </w:tc>
        <w:tc>
          <w:tcPr>
            <w:tcW w:w="1276" w:type="dxa"/>
            <w:tcBorders>
              <w:top w:val="single" w:sz="4" w:space="0" w:color="000000"/>
              <w:left w:val="single" w:sz="4" w:space="0" w:color="auto"/>
              <w:bottom w:val="single" w:sz="4" w:space="0" w:color="000000"/>
              <w:right w:val="single" w:sz="4" w:space="0" w:color="auto"/>
            </w:tcBorders>
            <w:shd w:val="clear" w:color="auto" w:fill="EEECE1" w:themeFill="background2"/>
            <w:vAlign w:val="center"/>
          </w:tcPr>
          <w:p w:rsidR="00322383" w:rsidRPr="00207B08" w:rsidRDefault="00322383" w:rsidP="00322383">
            <w:pPr>
              <w:jc w:val="center"/>
              <w:rPr>
                <w:b/>
                <w:sz w:val="18"/>
                <w:szCs w:val="18"/>
              </w:rPr>
            </w:pPr>
            <w:r w:rsidRPr="00207B08">
              <w:rPr>
                <w:b/>
                <w:sz w:val="18"/>
                <w:szCs w:val="18"/>
              </w:rPr>
              <w:t>Количество контрактов</w:t>
            </w:r>
          </w:p>
          <w:p w:rsidR="00322383" w:rsidRPr="008E5AF7" w:rsidRDefault="00322383" w:rsidP="00322383">
            <w:pPr>
              <w:spacing w:line="23" w:lineRule="atLeast"/>
              <w:jc w:val="center"/>
              <w:rPr>
                <w:sz w:val="20"/>
                <w:szCs w:val="20"/>
              </w:rPr>
            </w:pPr>
            <w:r w:rsidRPr="00207B08">
              <w:rPr>
                <w:b/>
                <w:sz w:val="18"/>
                <w:szCs w:val="18"/>
              </w:rPr>
              <w:t>(шт.)</w:t>
            </w:r>
          </w:p>
        </w:tc>
        <w:tc>
          <w:tcPr>
            <w:tcW w:w="1134" w:type="dxa"/>
            <w:tcBorders>
              <w:top w:val="single" w:sz="4" w:space="0" w:color="000000"/>
              <w:left w:val="single" w:sz="4" w:space="0" w:color="auto"/>
              <w:bottom w:val="single" w:sz="4" w:space="0" w:color="000000"/>
              <w:right w:val="single" w:sz="4" w:space="0" w:color="000000"/>
            </w:tcBorders>
            <w:shd w:val="clear" w:color="auto" w:fill="EEECE1" w:themeFill="background2"/>
            <w:vAlign w:val="center"/>
          </w:tcPr>
          <w:p w:rsidR="00322383" w:rsidRPr="00207B08" w:rsidRDefault="00207B08" w:rsidP="00912D05">
            <w:pPr>
              <w:spacing w:line="23" w:lineRule="atLeast"/>
              <w:jc w:val="center"/>
              <w:rPr>
                <w:sz w:val="16"/>
                <w:szCs w:val="16"/>
              </w:rPr>
            </w:pPr>
            <w:r w:rsidRPr="00207B08">
              <w:rPr>
                <w:b/>
                <w:sz w:val="16"/>
                <w:szCs w:val="16"/>
              </w:rPr>
              <w:t>Доля в обще</w:t>
            </w:r>
            <w:r w:rsidR="00912D05">
              <w:rPr>
                <w:b/>
                <w:sz w:val="16"/>
                <w:szCs w:val="16"/>
              </w:rPr>
              <w:t>м количестве,            шт.</w:t>
            </w:r>
          </w:p>
        </w:tc>
      </w:tr>
      <w:tr w:rsidR="00322383" w:rsidRPr="004625D6" w:rsidTr="005007F3">
        <w:trPr>
          <w:trHeight w:val="437"/>
        </w:trPr>
        <w:tc>
          <w:tcPr>
            <w:tcW w:w="9356" w:type="dxa"/>
            <w:gridSpan w:val="6"/>
            <w:tcBorders>
              <w:top w:val="single" w:sz="4" w:space="0" w:color="000000"/>
              <w:left w:val="single" w:sz="4" w:space="0" w:color="000000"/>
              <w:bottom w:val="single" w:sz="4" w:space="0" w:color="auto"/>
              <w:right w:val="single" w:sz="4" w:space="0" w:color="000000"/>
            </w:tcBorders>
            <w:vAlign w:val="center"/>
          </w:tcPr>
          <w:p w:rsidR="00322383" w:rsidRPr="00E27DBB" w:rsidRDefault="00322383" w:rsidP="00322383">
            <w:pPr>
              <w:snapToGrid w:val="0"/>
              <w:jc w:val="center"/>
            </w:pPr>
            <w:r>
              <w:rPr>
                <w:b/>
                <w:bCs/>
                <w:lang w:eastAsia="en-US"/>
              </w:rPr>
              <w:t xml:space="preserve">            </w:t>
            </w:r>
            <w:r w:rsidRPr="001C3BFC">
              <w:rPr>
                <w:b/>
                <w:bCs/>
                <w:lang w:eastAsia="en-US"/>
              </w:rPr>
              <w:t xml:space="preserve">Конкурентные </w:t>
            </w:r>
            <w:r>
              <w:rPr>
                <w:b/>
                <w:bCs/>
                <w:lang w:eastAsia="en-US"/>
              </w:rPr>
              <w:t>способы</w:t>
            </w:r>
          </w:p>
        </w:tc>
      </w:tr>
      <w:tr w:rsidR="00322383" w:rsidRPr="004625D6" w:rsidTr="00912D05">
        <w:trPr>
          <w:trHeight w:val="245"/>
        </w:trPr>
        <w:tc>
          <w:tcPr>
            <w:tcW w:w="426" w:type="dxa"/>
            <w:tcBorders>
              <w:top w:val="single" w:sz="4" w:space="0" w:color="auto"/>
              <w:left w:val="single" w:sz="4" w:space="0" w:color="000000"/>
              <w:bottom w:val="single" w:sz="4" w:space="0" w:color="auto"/>
            </w:tcBorders>
            <w:vAlign w:val="center"/>
          </w:tcPr>
          <w:p w:rsidR="00322383" w:rsidRDefault="00322383" w:rsidP="00E673B9">
            <w:pPr>
              <w:jc w:val="center"/>
              <w:rPr>
                <w:sz w:val="18"/>
                <w:szCs w:val="20"/>
              </w:rPr>
            </w:pPr>
            <w:r>
              <w:rPr>
                <w:sz w:val="18"/>
                <w:szCs w:val="20"/>
              </w:rPr>
              <w:t>1.</w:t>
            </w:r>
          </w:p>
        </w:tc>
        <w:tc>
          <w:tcPr>
            <w:tcW w:w="3969" w:type="dxa"/>
            <w:tcBorders>
              <w:top w:val="single" w:sz="4" w:space="0" w:color="auto"/>
              <w:left w:val="single" w:sz="4" w:space="0" w:color="000000"/>
              <w:bottom w:val="single" w:sz="4" w:space="0" w:color="auto"/>
            </w:tcBorders>
            <w:vAlign w:val="center"/>
          </w:tcPr>
          <w:p w:rsidR="00322383" w:rsidRDefault="00322383" w:rsidP="00E673B9">
            <w:pPr>
              <w:rPr>
                <w:sz w:val="20"/>
                <w:szCs w:val="20"/>
              </w:rPr>
            </w:pPr>
            <w:r>
              <w:rPr>
                <w:sz w:val="20"/>
                <w:szCs w:val="20"/>
              </w:rPr>
              <w:t xml:space="preserve">Электронный аукцион </w:t>
            </w:r>
          </w:p>
        </w:tc>
        <w:tc>
          <w:tcPr>
            <w:tcW w:w="1417" w:type="dxa"/>
            <w:tcBorders>
              <w:top w:val="single" w:sz="4" w:space="0" w:color="auto"/>
              <w:left w:val="single" w:sz="4" w:space="0" w:color="000000"/>
              <w:bottom w:val="single" w:sz="4" w:space="0" w:color="auto"/>
            </w:tcBorders>
            <w:vAlign w:val="center"/>
          </w:tcPr>
          <w:p w:rsidR="00322383" w:rsidRPr="006F70C2" w:rsidRDefault="001E7727" w:rsidP="00E017FF">
            <w:pPr>
              <w:jc w:val="center"/>
              <w:rPr>
                <w:sz w:val="18"/>
                <w:szCs w:val="18"/>
              </w:rPr>
            </w:pPr>
            <w:r>
              <w:rPr>
                <w:sz w:val="18"/>
                <w:szCs w:val="18"/>
              </w:rPr>
              <w:t>128 066,2</w:t>
            </w:r>
          </w:p>
        </w:tc>
        <w:tc>
          <w:tcPr>
            <w:tcW w:w="1134" w:type="dxa"/>
            <w:tcBorders>
              <w:top w:val="single" w:sz="4" w:space="0" w:color="auto"/>
              <w:left w:val="single" w:sz="4" w:space="0" w:color="000000"/>
              <w:bottom w:val="single" w:sz="4" w:space="0" w:color="auto"/>
              <w:right w:val="single" w:sz="4" w:space="0" w:color="auto"/>
            </w:tcBorders>
            <w:vAlign w:val="center"/>
          </w:tcPr>
          <w:p w:rsidR="00322383" w:rsidRPr="00420E6B" w:rsidRDefault="007B40D7" w:rsidP="00220337">
            <w:pPr>
              <w:snapToGrid w:val="0"/>
              <w:jc w:val="center"/>
              <w:rPr>
                <w:sz w:val="18"/>
                <w:szCs w:val="18"/>
              </w:rPr>
            </w:pPr>
            <w:r>
              <w:rPr>
                <w:sz w:val="18"/>
                <w:szCs w:val="18"/>
              </w:rPr>
              <w:t>13,9%</w:t>
            </w:r>
          </w:p>
        </w:tc>
        <w:tc>
          <w:tcPr>
            <w:tcW w:w="1276" w:type="dxa"/>
            <w:tcBorders>
              <w:top w:val="single" w:sz="4" w:space="0" w:color="auto"/>
              <w:left w:val="single" w:sz="4" w:space="0" w:color="auto"/>
              <w:bottom w:val="single" w:sz="4" w:space="0" w:color="auto"/>
              <w:right w:val="single" w:sz="4" w:space="0" w:color="auto"/>
            </w:tcBorders>
            <w:vAlign w:val="center"/>
          </w:tcPr>
          <w:p w:rsidR="00322383" w:rsidRPr="00420E6B" w:rsidRDefault="001E7727" w:rsidP="0027183B">
            <w:pPr>
              <w:snapToGrid w:val="0"/>
              <w:jc w:val="center"/>
              <w:rPr>
                <w:sz w:val="18"/>
                <w:szCs w:val="18"/>
              </w:rPr>
            </w:pPr>
            <w:r>
              <w:rPr>
                <w:sz w:val="18"/>
                <w:szCs w:val="18"/>
              </w:rPr>
              <w:t>46</w:t>
            </w:r>
          </w:p>
        </w:tc>
        <w:tc>
          <w:tcPr>
            <w:tcW w:w="1134" w:type="dxa"/>
            <w:tcBorders>
              <w:top w:val="single" w:sz="4" w:space="0" w:color="auto"/>
              <w:left w:val="single" w:sz="4" w:space="0" w:color="auto"/>
              <w:bottom w:val="single" w:sz="4" w:space="0" w:color="auto"/>
              <w:right w:val="single" w:sz="4" w:space="0" w:color="000000"/>
            </w:tcBorders>
            <w:vAlign w:val="center"/>
          </w:tcPr>
          <w:p w:rsidR="00322383" w:rsidRPr="00420E6B" w:rsidRDefault="007B40D7" w:rsidP="003F1951">
            <w:pPr>
              <w:snapToGrid w:val="0"/>
              <w:jc w:val="center"/>
              <w:rPr>
                <w:sz w:val="18"/>
                <w:szCs w:val="18"/>
              </w:rPr>
            </w:pPr>
            <w:r>
              <w:rPr>
                <w:sz w:val="18"/>
                <w:szCs w:val="18"/>
              </w:rPr>
              <w:t>19,6%</w:t>
            </w:r>
          </w:p>
        </w:tc>
      </w:tr>
      <w:tr w:rsidR="00322383" w:rsidRPr="004625D6" w:rsidTr="00912D05">
        <w:trPr>
          <w:trHeight w:val="258"/>
        </w:trPr>
        <w:tc>
          <w:tcPr>
            <w:tcW w:w="426" w:type="dxa"/>
            <w:tcBorders>
              <w:top w:val="single" w:sz="4" w:space="0" w:color="auto"/>
              <w:left w:val="single" w:sz="4" w:space="0" w:color="000000"/>
              <w:bottom w:val="single" w:sz="4" w:space="0" w:color="auto"/>
            </w:tcBorders>
            <w:vAlign w:val="center"/>
          </w:tcPr>
          <w:p w:rsidR="00322383" w:rsidRDefault="00322383" w:rsidP="00E673B9">
            <w:pPr>
              <w:jc w:val="center"/>
              <w:rPr>
                <w:sz w:val="18"/>
                <w:szCs w:val="20"/>
              </w:rPr>
            </w:pPr>
            <w:r>
              <w:rPr>
                <w:sz w:val="18"/>
                <w:szCs w:val="20"/>
              </w:rPr>
              <w:t>2.</w:t>
            </w:r>
          </w:p>
        </w:tc>
        <w:tc>
          <w:tcPr>
            <w:tcW w:w="3969" w:type="dxa"/>
            <w:tcBorders>
              <w:top w:val="single" w:sz="4" w:space="0" w:color="auto"/>
              <w:left w:val="single" w:sz="4" w:space="0" w:color="000000"/>
              <w:bottom w:val="single" w:sz="4" w:space="0" w:color="auto"/>
            </w:tcBorders>
            <w:vAlign w:val="center"/>
          </w:tcPr>
          <w:p w:rsidR="00322383" w:rsidRDefault="00283A47" w:rsidP="00283A47">
            <w:pPr>
              <w:rPr>
                <w:sz w:val="20"/>
                <w:szCs w:val="20"/>
              </w:rPr>
            </w:pPr>
            <w:r>
              <w:rPr>
                <w:sz w:val="20"/>
                <w:szCs w:val="20"/>
              </w:rPr>
              <w:t>Электронный  з</w:t>
            </w:r>
            <w:r w:rsidR="00322383" w:rsidRPr="005E67BF">
              <w:rPr>
                <w:sz w:val="20"/>
                <w:szCs w:val="20"/>
              </w:rPr>
              <w:t xml:space="preserve">апрос котировок </w:t>
            </w:r>
          </w:p>
        </w:tc>
        <w:tc>
          <w:tcPr>
            <w:tcW w:w="1417" w:type="dxa"/>
            <w:tcBorders>
              <w:top w:val="single" w:sz="4" w:space="0" w:color="auto"/>
              <w:left w:val="single" w:sz="4" w:space="0" w:color="000000"/>
              <w:bottom w:val="single" w:sz="4" w:space="0" w:color="auto"/>
            </w:tcBorders>
            <w:vAlign w:val="center"/>
          </w:tcPr>
          <w:p w:rsidR="00322383" w:rsidRPr="006F70C2" w:rsidRDefault="001E7727" w:rsidP="00E017FF">
            <w:pPr>
              <w:jc w:val="center"/>
              <w:rPr>
                <w:sz w:val="18"/>
                <w:szCs w:val="18"/>
              </w:rPr>
            </w:pPr>
            <w:r>
              <w:rPr>
                <w:sz w:val="18"/>
                <w:szCs w:val="18"/>
              </w:rPr>
              <w:t>-</w:t>
            </w:r>
          </w:p>
        </w:tc>
        <w:tc>
          <w:tcPr>
            <w:tcW w:w="1134" w:type="dxa"/>
            <w:tcBorders>
              <w:top w:val="single" w:sz="4" w:space="0" w:color="auto"/>
              <w:left w:val="single" w:sz="4" w:space="0" w:color="000000"/>
              <w:bottom w:val="single" w:sz="4" w:space="0" w:color="auto"/>
              <w:right w:val="single" w:sz="4" w:space="0" w:color="auto"/>
            </w:tcBorders>
            <w:vAlign w:val="center"/>
          </w:tcPr>
          <w:p w:rsidR="00322383" w:rsidRPr="00420E6B" w:rsidRDefault="00322383" w:rsidP="00220337">
            <w:pPr>
              <w:snapToGrid w:val="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322383" w:rsidRPr="00420E6B" w:rsidRDefault="001E7727" w:rsidP="0027183B">
            <w:pPr>
              <w:snapToGrid w:val="0"/>
              <w:jc w:val="center"/>
              <w:rPr>
                <w:sz w:val="18"/>
                <w:szCs w:val="18"/>
              </w:rPr>
            </w:pPr>
            <w:r>
              <w:rPr>
                <w:sz w:val="18"/>
                <w:szCs w:val="18"/>
              </w:rPr>
              <w:t>-</w:t>
            </w:r>
          </w:p>
        </w:tc>
        <w:tc>
          <w:tcPr>
            <w:tcW w:w="1134" w:type="dxa"/>
            <w:tcBorders>
              <w:top w:val="single" w:sz="4" w:space="0" w:color="auto"/>
              <w:left w:val="single" w:sz="4" w:space="0" w:color="auto"/>
              <w:bottom w:val="single" w:sz="4" w:space="0" w:color="auto"/>
              <w:right w:val="single" w:sz="4" w:space="0" w:color="000000"/>
            </w:tcBorders>
            <w:vAlign w:val="center"/>
          </w:tcPr>
          <w:p w:rsidR="00322383" w:rsidRPr="00420E6B" w:rsidRDefault="00322383" w:rsidP="003F1951">
            <w:pPr>
              <w:snapToGrid w:val="0"/>
              <w:jc w:val="center"/>
              <w:rPr>
                <w:sz w:val="18"/>
                <w:szCs w:val="18"/>
              </w:rPr>
            </w:pPr>
          </w:p>
        </w:tc>
      </w:tr>
      <w:tr w:rsidR="00322383" w:rsidRPr="004625D6" w:rsidTr="00F06C7D">
        <w:trPr>
          <w:trHeight w:val="215"/>
        </w:trPr>
        <w:tc>
          <w:tcPr>
            <w:tcW w:w="426" w:type="dxa"/>
            <w:tcBorders>
              <w:top w:val="single" w:sz="4" w:space="0" w:color="auto"/>
              <w:left w:val="single" w:sz="4" w:space="0" w:color="000000"/>
              <w:bottom w:val="single" w:sz="4" w:space="0" w:color="auto"/>
            </w:tcBorders>
            <w:vAlign w:val="center"/>
          </w:tcPr>
          <w:p w:rsidR="00F06C7D" w:rsidRDefault="00322383" w:rsidP="00E673B9">
            <w:pPr>
              <w:spacing w:line="23" w:lineRule="atLeast"/>
              <w:jc w:val="center"/>
              <w:rPr>
                <w:sz w:val="18"/>
                <w:szCs w:val="20"/>
              </w:rPr>
            </w:pPr>
            <w:r>
              <w:rPr>
                <w:sz w:val="18"/>
                <w:szCs w:val="20"/>
              </w:rPr>
              <w:t>3.</w:t>
            </w:r>
          </w:p>
        </w:tc>
        <w:tc>
          <w:tcPr>
            <w:tcW w:w="3969" w:type="dxa"/>
            <w:tcBorders>
              <w:top w:val="single" w:sz="4" w:space="0" w:color="auto"/>
              <w:left w:val="single" w:sz="4" w:space="0" w:color="000000"/>
              <w:bottom w:val="single" w:sz="4" w:space="0" w:color="auto"/>
            </w:tcBorders>
            <w:vAlign w:val="center"/>
          </w:tcPr>
          <w:p w:rsidR="00F06C7D" w:rsidRPr="005E67BF" w:rsidRDefault="00283A47" w:rsidP="00283A47">
            <w:pPr>
              <w:rPr>
                <w:sz w:val="20"/>
                <w:szCs w:val="20"/>
              </w:rPr>
            </w:pPr>
            <w:r>
              <w:rPr>
                <w:sz w:val="20"/>
                <w:szCs w:val="20"/>
              </w:rPr>
              <w:t>Электронный  к</w:t>
            </w:r>
            <w:r w:rsidR="00322383">
              <w:rPr>
                <w:sz w:val="20"/>
                <w:szCs w:val="20"/>
              </w:rPr>
              <w:t>онкурс</w:t>
            </w:r>
            <w:r w:rsidR="00E017FF">
              <w:rPr>
                <w:sz w:val="20"/>
                <w:szCs w:val="20"/>
              </w:rPr>
              <w:t xml:space="preserve"> </w:t>
            </w:r>
          </w:p>
        </w:tc>
        <w:tc>
          <w:tcPr>
            <w:tcW w:w="1417" w:type="dxa"/>
            <w:tcBorders>
              <w:top w:val="single" w:sz="4" w:space="0" w:color="auto"/>
              <w:left w:val="single" w:sz="4" w:space="0" w:color="000000"/>
              <w:bottom w:val="single" w:sz="4" w:space="0" w:color="auto"/>
            </w:tcBorders>
            <w:vAlign w:val="center"/>
          </w:tcPr>
          <w:p w:rsidR="00F06C7D" w:rsidRPr="006F70C2" w:rsidRDefault="001E7727" w:rsidP="003A3842">
            <w:pPr>
              <w:jc w:val="center"/>
              <w:rPr>
                <w:sz w:val="18"/>
                <w:szCs w:val="18"/>
              </w:rPr>
            </w:pPr>
            <w:r>
              <w:rPr>
                <w:sz w:val="18"/>
                <w:szCs w:val="18"/>
              </w:rPr>
              <w:t>157,0</w:t>
            </w:r>
          </w:p>
        </w:tc>
        <w:tc>
          <w:tcPr>
            <w:tcW w:w="1134" w:type="dxa"/>
            <w:tcBorders>
              <w:top w:val="single" w:sz="4" w:space="0" w:color="auto"/>
              <w:left w:val="single" w:sz="4" w:space="0" w:color="000000"/>
              <w:bottom w:val="single" w:sz="4" w:space="0" w:color="auto"/>
              <w:right w:val="single" w:sz="4" w:space="0" w:color="auto"/>
            </w:tcBorders>
            <w:vAlign w:val="center"/>
          </w:tcPr>
          <w:p w:rsidR="00F06C7D" w:rsidRPr="00420E6B" w:rsidRDefault="007B40D7" w:rsidP="00220337">
            <w:pPr>
              <w:snapToGrid w:val="0"/>
              <w:jc w:val="center"/>
              <w:rPr>
                <w:color w:val="000000"/>
                <w:sz w:val="18"/>
                <w:szCs w:val="18"/>
              </w:rPr>
            </w:pPr>
            <w:r>
              <w:rPr>
                <w:color w:val="000000"/>
                <w:sz w:val="18"/>
                <w:szCs w:val="18"/>
              </w:rPr>
              <w:t>0,02%</w:t>
            </w:r>
          </w:p>
        </w:tc>
        <w:tc>
          <w:tcPr>
            <w:tcW w:w="1276" w:type="dxa"/>
            <w:tcBorders>
              <w:top w:val="single" w:sz="4" w:space="0" w:color="auto"/>
              <w:left w:val="single" w:sz="4" w:space="0" w:color="auto"/>
              <w:bottom w:val="single" w:sz="4" w:space="0" w:color="auto"/>
              <w:right w:val="single" w:sz="4" w:space="0" w:color="auto"/>
            </w:tcBorders>
            <w:vAlign w:val="center"/>
          </w:tcPr>
          <w:p w:rsidR="00F06C7D" w:rsidRPr="00420E6B" w:rsidRDefault="001E7727" w:rsidP="0027183B">
            <w:pPr>
              <w:snapToGrid w:val="0"/>
              <w:jc w:val="center"/>
              <w:rPr>
                <w:color w:val="000000"/>
                <w:sz w:val="18"/>
                <w:szCs w:val="18"/>
              </w:rPr>
            </w:pPr>
            <w:r>
              <w:rPr>
                <w:color w:val="000000"/>
                <w:sz w:val="18"/>
                <w:szCs w:val="18"/>
              </w:rPr>
              <w:t>1</w:t>
            </w:r>
          </w:p>
        </w:tc>
        <w:tc>
          <w:tcPr>
            <w:tcW w:w="1134" w:type="dxa"/>
            <w:tcBorders>
              <w:top w:val="single" w:sz="4" w:space="0" w:color="auto"/>
              <w:left w:val="single" w:sz="4" w:space="0" w:color="auto"/>
              <w:bottom w:val="single" w:sz="4" w:space="0" w:color="auto"/>
              <w:right w:val="single" w:sz="4" w:space="0" w:color="000000"/>
            </w:tcBorders>
            <w:vAlign w:val="center"/>
          </w:tcPr>
          <w:p w:rsidR="00F06C7D" w:rsidRPr="00420E6B" w:rsidRDefault="007B40D7" w:rsidP="003F1951">
            <w:pPr>
              <w:snapToGrid w:val="0"/>
              <w:jc w:val="center"/>
              <w:rPr>
                <w:color w:val="000000"/>
                <w:sz w:val="18"/>
                <w:szCs w:val="18"/>
              </w:rPr>
            </w:pPr>
            <w:r>
              <w:rPr>
                <w:color w:val="000000"/>
                <w:sz w:val="18"/>
                <w:szCs w:val="18"/>
              </w:rPr>
              <w:t>0,4%</w:t>
            </w:r>
          </w:p>
        </w:tc>
      </w:tr>
      <w:tr w:rsidR="00207B08" w:rsidRPr="004625D6" w:rsidTr="00640994">
        <w:trPr>
          <w:trHeight w:val="381"/>
        </w:trPr>
        <w:tc>
          <w:tcPr>
            <w:tcW w:w="426" w:type="dxa"/>
            <w:tcBorders>
              <w:top w:val="single" w:sz="4" w:space="0" w:color="auto"/>
              <w:left w:val="single" w:sz="4" w:space="0" w:color="000000"/>
              <w:bottom w:val="single" w:sz="4" w:space="0" w:color="auto"/>
            </w:tcBorders>
            <w:shd w:val="clear" w:color="auto" w:fill="EEECE1" w:themeFill="background2"/>
            <w:vAlign w:val="center"/>
          </w:tcPr>
          <w:p w:rsidR="00322383" w:rsidRDefault="00322383" w:rsidP="00E673B9">
            <w:pPr>
              <w:spacing w:line="23" w:lineRule="atLeast"/>
              <w:jc w:val="center"/>
              <w:rPr>
                <w:sz w:val="18"/>
                <w:szCs w:val="20"/>
              </w:rPr>
            </w:pPr>
          </w:p>
        </w:tc>
        <w:tc>
          <w:tcPr>
            <w:tcW w:w="3969" w:type="dxa"/>
            <w:tcBorders>
              <w:top w:val="single" w:sz="4" w:space="0" w:color="auto"/>
              <w:left w:val="single" w:sz="4" w:space="0" w:color="000000"/>
              <w:bottom w:val="single" w:sz="4" w:space="0" w:color="auto"/>
            </w:tcBorders>
            <w:shd w:val="clear" w:color="auto" w:fill="EEECE1" w:themeFill="background2"/>
            <w:vAlign w:val="center"/>
          </w:tcPr>
          <w:p w:rsidR="00322383" w:rsidRPr="00207B08" w:rsidRDefault="00322383" w:rsidP="0083215F">
            <w:pPr>
              <w:jc w:val="center"/>
              <w:rPr>
                <w:b/>
                <w:sz w:val="20"/>
                <w:szCs w:val="20"/>
              </w:rPr>
            </w:pPr>
            <w:r w:rsidRPr="00207B08">
              <w:rPr>
                <w:b/>
                <w:sz w:val="20"/>
                <w:szCs w:val="20"/>
              </w:rPr>
              <w:t>ИТОГО:</w:t>
            </w:r>
          </w:p>
        </w:tc>
        <w:tc>
          <w:tcPr>
            <w:tcW w:w="1417" w:type="dxa"/>
            <w:tcBorders>
              <w:top w:val="single" w:sz="4" w:space="0" w:color="auto"/>
              <w:left w:val="single" w:sz="4" w:space="0" w:color="000000"/>
              <w:bottom w:val="single" w:sz="4" w:space="0" w:color="auto"/>
            </w:tcBorders>
            <w:shd w:val="clear" w:color="auto" w:fill="EEECE1" w:themeFill="background2"/>
            <w:vAlign w:val="center"/>
          </w:tcPr>
          <w:p w:rsidR="00322383" w:rsidRPr="00420E6B" w:rsidRDefault="001E7727" w:rsidP="00A75ABC">
            <w:pPr>
              <w:jc w:val="center"/>
              <w:rPr>
                <w:b/>
                <w:sz w:val="20"/>
                <w:szCs w:val="20"/>
              </w:rPr>
            </w:pPr>
            <w:r>
              <w:rPr>
                <w:b/>
                <w:sz w:val="20"/>
                <w:szCs w:val="20"/>
              </w:rPr>
              <w:t>128 223,2</w:t>
            </w:r>
          </w:p>
        </w:tc>
        <w:tc>
          <w:tcPr>
            <w:tcW w:w="1134"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322383" w:rsidRPr="00420E6B" w:rsidRDefault="005918B2" w:rsidP="00220337">
            <w:pPr>
              <w:snapToGrid w:val="0"/>
              <w:jc w:val="center"/>
              <w:rPr>
                <w:b/>
                <w:color w:val="000000"/>
                <w:sz w:val="20"/>
                <w:szCs w:val="20"/>
              </w:rPr>
            </w:pPr>
            <w:r>
              <w:rPr>
                <w:b/>
                <w:color w:val="000000"/>
                <w:sz w:val="20"/>
                <w:szCs w:val="20"/>
              </w:rPr>
              <w:t>13,9%</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22383" w:rsidRPr="00420E6B" w:rsidRDefault="001E7727" w:rsidP="00A75ABC">
            <w:pPr>
              <w:snapToGrid w:val="0"/>
              <w:jc w:val="center"/>
              <w:rPr>
                <w:b/>
                <w:color w:val="000000"/>
                <w:sz w:val="20"/>
                <w:szCs w:val="20"/>
              </w:rPr>
            </w:pPr>
            <w:r>
              <w:rPr>
                <w:b/>
                <w:color w:val="000000"/>
                <w:sz w:val="20"/>
                <w:szCs w:val="20"/>
              </w:rPr>
              <w:t>47</w:t>
            </w:r>
          </w:p>
        </w:tc>
        <w:tc>
          <w:tcPr>
            <w:tcW w:w="1134" w:type="dxa"/>
            <w:tcBorders>
              <w:top w:val="single" w:sz="4" w:space="0" w:color="auto"/>
              <w:left w:val="single" w:sz="4" w:space="0" w:color="auto"/>
              <w:bottom w:val="single" w:sz="4" w:space="0" w:color="auto"/>
              <w:right w:val="single" w:sz="4" w:space="0" w:color="000000"/>
            </w:tcBorders>
            <w:shd w:val="clear" w:color="auto" w:fill="EEECE1" w:themeFill="background2"/>
            <w:vAlign w:val="center"/>
          </w:tcPr>
          <w:p w:rsidR="00322383" w:rsidRPr="00420E6B" w:rsidRDefault="005918B2" w:rsidP="005918B2">
            <w:pPr>
              <w:snapToGrid w:val="0"/>
              <w:jc w:val="center"/>
              <w:rPr>
                <w:b/>
                <w:color w:val="000000"/>
                <w:sz w:val="20"/>
                <w:szCs w:val="20"/>
              </w:rPr>
            </w:pPr>
            <w:r>
              <w:rPr>
                <w:b/>
                <w:color w:val="000000"/>
                <w:sz w:val="20"/>
                <w:szCs w:val="20"/>
              </w:rPr>
              <w:t>20,0%</w:t>
            </w:r>
          </w:p>
        </w:tc>
      </w:tr>
      <w:tr w:rsidR="00322383" w:rsidRPr="004625D6" w:rsidTr="005007F3">
        <w:trPr>
          <w:trHeight w:val="416"/>
        </w:trPr>
        <w:tc>
          <w:tcPr>
            <w:tcW w:w="9356" w:type="dxa"/>
            <w:gridSpan w:val="6"/>
            <w:tcBorders>
              <w:top w:val="single" w:sz="4" w:space="0" w:color="auto"/>
              <w:left w:val="single" w:sz="4" w:space="0" w:color="000000"/>
              <w:bottom w:val="single" w:sz="4" w:space="0" w:color="auto"/>
              <w:right w:val="single" w:sz="4" w:space="0" w:color="000000"/>
            </w:tcBorders>
            <w:vAlign w:val="center"/>
          </w:tcPr>
          <w:p w:rsidR="00322383" w:rsidRPr="00E27DBB" w:rsidRDefault="00322383" w:rsidP="00322383">
            <w:pPr>
              <w:snapToGrid w:val="0"/>
              <w:jc w:val="center"/>
              <w:rPr>
                <w:color w:val="000000"/>
              </w:rPr>
            </w:pPr>
            <w:r>
              <w:rPr>
                <w:b/>
                <w:bCs/>
                <w:lang w:eastAsia="en-US"/>
              </w:rPr>
              <w:t xml:space="preserve">          Нек</w:t>
            </w:r>
            <w:r w:rsidRPr="001C3BFC">
              <w:rPr>
                <w:b/>
                <w:bCs/>
                <w:lang w:eastAsia="en-US"/>
              </w:rPr>
              <w:t xml:space="preserve">онкурентные </w:t>
            </w:r>
            <w:r>
              <w:rPr>
                <w:b/>
                <w:bCs/>
                <w:lang w:eastAsia="en-US"/>
              </w:rPr>
              <w:t>способы</w:t>
            </w:r>
          </w:p>
        </w:tc>
      </w:tr>
      <w:tr w:rsidR="00322383" w:rsidRPr="004625D6" w:rsidTr="00912D05">
        <w:trPr>
          <w:trHeight w:val="443"/>
        </w:trPr>
        <w:tc>
          <w:tcPr>
            <w:tcW w:w="426" w:type="dxa"/>
            <w:tcBorders>
              <w:top w:val="single" w:sz="4" w:space="0" w:color="auto"/>
              <w:left w:val="single" w:sz="4" w:space="0" w:color="000000"/>
              <w:bottom w:val="single" w:sz="4" w:space="0" w:color="auto"/>
            </w:tcBorders>
            <w:vAlign w:val="center"/>
          </w:tcPr>
          <w:p w:rsidR="00322383" w:rsidRDefault="00171CB6" w:rsidP="00E673B9">
            <w:pPr>
              <w:spacing w:line="23" w:lineRule="atLeast"/>
              <w:jc w:val="center"/>
              <w:rPr>
                <w:sz w:val="18"/>
                <w:szCs w:val="20"/>
              </w:rPr>
            </w:pPr>
            <w:r>
              <w:rPr>
                <w:sz w:val="18"/>
                <w:szCs w:val="20"/>
              </w:rPr>
              <w:t>1</w:t>
            </w:r>
            <w:r w:rsidR="00322383">
              <w:rPr>
                <w:sz w:val="18"/>
                <w:szCs w:val="20"/>
              </w:rPr>
              <w:t>.</w:t>
            </w:r>
          </w:p>
        </w:tc>
        <w:tc>
          <w:tcPr>
            <w:tcW w:w="3969" w:type="dxa"/>
            <w:tcBorders>
              <w:top w:val="single" w:sz="4" w:space="0" w:color="auto"/>
              <w:left w:val="single" w:sz="4" w:space="0" w:color="000000"/>
              <w:bottom w:val="single" w:sz="4" w:space="0" w:color="auto"/>
            </w:tcBorders>
            <w:vAlign w:val="center"/>
          </w:tcPr>
          <w:p w:rsidR="00322383" w:rsidRDefault="00322383" w:rsidP="006F70C2">
            <w:pPr>
              <w:rPr>
                <w:sz w:val="20"/>
                <w:szCs w:val="20"/>
              </w:rPr>
            </w:pPr>
            <w:r w:rsidRPr="005E67BF">
              <w:rPr>
                <w:sz w:val="20"/>
                <w:szCs w:val="20"/>
              </w:rPr>
              <w:t xml:space="preserve">Закупка у единственного поставщика, при признании </w:t>
            </w:r>
            <w:r>
              <w:rPr>
                <w:sz w:val="20"/>
                <w:szCs w:val="20"/>
              </w:rPr>
              <w:t xml:space="preserve"> Электронного аукциона</w:t>
            </w:r>
            <w:r w:rsidRPr="005E67BF">
              <w:rPr>
                <w:sz w:val="20"/>
                <w:szCs w:val="20"/>
              </w:rPr>
              <w:t xml:space="preserve"> </w:t>
            </w:r>
            <w:r w:rsidRPr="005E67BF">
              <w:rPr>
                <w:sz w:val="20"/>
                <w:szCs w:val="20"/>
              </w:rPr>
              <w:lastRenderedPageBreak/>
              <w:t xml:space="preserve">несостоявшимся </w:t>
            </w:r>
            <w:r w:rsidRPr="005E67BF">
              <w:rPr>
                <w:b/>
                <w:sz w:val="20"/>
                <w:szCs w:val="20"/>
              </w:rPr>
              <w:t>(п.25</w:t>
            </w:r>
            <w:r>
              <w:rPr>
                <w:b/>
                <w:sz w:val="20"/>
                <w:szCs w:val="20"/>
              </w:rPr>
              <w:t xml:space="preserve"> </w:t>
            </w:r>
            <w:r w:rsidRPr="005E67BF">
              <w:rPr>
                <w:b/>
                <w:sz w:val="20"/>
                <w:szCs w:val="20"/>
              </w:rPr>
              <w:t xml:space="preserve"> ч.1 статья 93</w:t>
            </w:r>
            <w:r w:rsidRPr="005E67BF">
              <w:rPr>
                <w:sz w:val="20"/>
                <w:szCs w:val="20"/>
              </w:rPr>
              <w:t>)</w:t>
            </w:r>
          </w:p>
        </w:tc>
        <w:tc>
          <w:tcPr>
            <w:tcW w:w="1417" w:type="dxa"/>
            <w:tcBorders>
              <w:top w:val="single" w:sz="4" w:space="0" w:color="auto"/>
              <w:left w:val="single" w:sz="4" w:space="0" w:color="000000"/>
              <w:bottom w:val="single" w:sz="4" w:space="0" w:color="auto"/>
            </w:tcBorders>
            <w:vAlign w:val="center"/>
          </w:tcPr>
          <w:p w:rsidR="00322383" w:rsidRPr="00302D14" w:rsidRDefault="005B25DD" w:rsidP="00A75ABC">
            <w:pPr>
              <w:jc w:val="center"/>
              <w:rPr>
                <w:sz w:val="18"/>
                <w:szCs w:val="18"/>
              </w:rPr>
            </w:pPr>
            <w:r>
              <w:rPr>
                <w:sz w:val="18"/>
                <w:szCs w:val="18"/>
              </w:rPr>
              <w:lastRenderedPageBreak/>
              <w:t>326 642,8</w:t>
            </w:r>
          </w:p>
        </w:tc>
        <w:tc>
          <w:tcPr>
            <w:tcW w:w="1134" w:type="dxa"/>
            <w:tcBorders>
              <w:top w:val="single" w:sz="4" w:space="0" w:color="auto"/>
              <w:left w:val="single" w:sz="4" w:space="0" w:color="000000"/>
              <w:bottom w:val="single" w:sz="4" w:space="0" w:color="auto"/>
              <w:right w:val="single" w:sz="4" w:space="0" w:color="auto"/>
            </w:tcBorders>
            <w:vAlign w:val="center"/>
          </w:tcPr>
          <w:p w:rsidR="00322383" w:rsidRPr="00302D14" w:rsidRDefault="007B40D7" w:rsidP="00220337">
            <w:pPr>
              <w:snapToGrid w:val="0"/>
              <w:jc w:val="center"/>
              <w:rPr>
                <w:color w:val="000000"/>
                <w:sz w:val="18"/>
                <w:szCs w:val="18"/>
              </w:rPr>
            </w:pPr>
            <w:r>
              <w:rPr>
                <w:color w:val="000000"/>
                <w:sz w:val="18"/>
                <w:szCs w:val="18"/>
              </w:rPr>
              <w:t>35,5%</w:t>
            </w:r>
          </w:p>
        </w:tc>
        <w:tc>
          <w:tcPr>
            <w:tcW w:w="1276" w:type="dxa"/>
            <w:tcBorders>
              <w:top w:val="single" w:sz="4" w:space="0" w:color="auto"/>
              <w:left w:val="single" w:sz="4" w:space="0" w:color="auto"/>
              <w:bottom w:val="single" w:sz="4" w:space="0" w:color="auto"/>
              <w:right w:val="single" w:sz="4" w:space="0" w:color="auto"/>
            </w:tcBorders>
            <w:vAlign w:val="center"/>
          </w:tcPr>
          <w:p w:rsidR="00322383" w:rsidRPr="00302D14" w:rsidRDefault="005B25DD" w:rsidP="0027183B">
            <w:pPr>
              <w:snapToGrid w:val="0"/>
              <w:jc w:val="center"/>
              <w:rPr>
                <w:color w:val="000000"/>
                <w:sz w:val="18"/>
                <w:szCs w:val="18"/>
              </w:rPr>
            </w:pPr>
            <w:r>
              <w:rPr>
                <w:color w:val="000000"/>
                <w:sz w:val="18"/>
                <w:szCs w:val="18"/>
              </w:rPr>
              <w:t>95</w:t>
            </w:r>
          </w:p>
        </w:tc>
        <w:tc>
          <w:tcPr>
            <w:tcW w:w="1134" w:type="dxa"/>
            <w:tcBorders>
              <w:top w:val="single" w:sz="4" w:space="0" w:color="auto"/>
              <w:left w:val="single" w:sz="4" w:space="0" w:color="auto"/>
              <w:bottom w:val="single" w:sz="4" w:space="0" w:color="auto"/>
              <w:right w:val="single" w:sz="4" w:space="0" w:color="000000"/>
            </w:tcBorders>
            <w:vAlign w:val="center"/>
          </w:tcPr>
          <w:p w:rsidR="00322383" w:rsidRPr="00302D14" w:rsidRDefault="007B40D7" w:rsidP="001364A2">
            <w:pPr>
              <w:snapToGrid w:val="0"/>
              <w:jc w:val="center"/>
              <w:rPr>
                <w:color w:val="000000"/>
                <w:sz w:val="18"/>
                <w:szCs w:val="18"/>
              </w:rPr>
            </w:pPr>
            <w:r>
              <w:rPr>
                <w:color w:val="000000"/>
                <w:sz w:val="18"/>
                <w:szCs w:val="18"/>
              </w:rPr>
              <w:t>40,4%</w:t>
            </w:r>
          </w:p>
        </w:tc>
      </w:tr>
      <w:tr w:rsidR="00322383" w:rsidRPr="004625D6" w:rsidTr="006F70C2">
        <w:trPr>
          <w:trHeight w:val="679"/>
        </w:trPr>
        <w:tc>
          <w:tcPr>
            <w:tcW w:w="426" w:type="dxa"/>
            <w:tcBorders>
              <w:top w:val="single" w:sz="4" w:space="0" w:color="auto"/>
              <w:left w:val="single" w:sz="4" w:space="0" w:color="000000"/>
              <w:bottom w:val="single" w:sz="4" w:space="0" w:color="auto"/>
            </w:tcBorders>
            <w:vAlign w:val="center"/>
          </w:tcPr>
          <w:p w:rsidR="00322383" w:rsidRDefault="00171CB6" w:rsidP="00E673B9">
            <w:pPr>
              <w:spacing w:line="23" w:lineRule="atLeast"/>
              <w:jc w:val="center"/>
              <w:rPr>
                <w:sz w:val="18"/>
                <w:szCs w:val="20"/>
              </w:rPr>
            </w:pPr>
            <w:r>
              <w:rPr>
                <w:sz w:val="18"/>
                <w:szCs w:val="20"/>
              </w:rPr>
              <w:lastRenderedPageBreak/>
              <w:t>2</w:t>
            </w:r>
            <w:r w:rsidR="00207B08">
              <w:rPr>
                <w:sz w:val="18"/>
                <w:szCs w:val="20"/>
              </w:rPr>
              <w:t>.</w:t>
            </w:r>
          </w:p>
          <w:p w:rsidR="006F70C2" w:rsidRDefault="006F70C2" w:rsidP="00E673B9">
            <w:pPr>
              <w:spacing w:line="23" w:lineRule="atLeast"/>
              <w:jc w:val="center"/>
              <w:rPr>
                <w:sz w:val="18"/>
                <w:szCs w:val="20"/>
              </w:rPr>
            </w:pPr>
          </w:p>
          <w:p w:rsidR="006F70C2" w:rsidRDefault="006F70C2" w:rsidP="00E673B9">
            <w:pPr>
              <w:spacing w:line="23" w:lineRule="atLeast"/>
              <w:jc w:val="center"/>
              <w:rPr>
                <w:sz w:val="18"/>
                <w:szCs w:val="20"/>
              </w:rPr>
            </w:pPr>
          </w:p>
        </w:tc>
        <w:tc>
          <w:tcPr>
            <w:tcW w:w="3969" w:type="dxa"/>
            <w:tcBorders>
              <w:top w:val="single" w:sz="4" w:space="0" w:color="auto"/>
              <w:left w:val="single" w:sz="4" w:space="0" w:color="000000"/>
              <w:bottom w:val="single" w:sz="4" w:space="0" w:color="auto"/>
            </w:tcBorders>
            <w:vAlign w:val="center"/>
          </w:tcPr>
          <w:p w:rsidR="006F70C2" w:rsidRDefault="00322383" w:rsidP="00283A47">
            <w:pPr>
              <w:rPr>
                <w:sz w:val="20"/>
                <w:szCs w:val="20"/>
              </w:rPr>
            </w:pPr>
            <w:r w:rsidRPr="005E67BF">
              <w:rPr>
                <w:sz w:val="20"/>
                <w:szCs w:val="20"/>
              </w:rPr>
              <w:t xml:space="preserve">Закупка у единственного поставщика, при признании </w:t>
            </w:r>
            <w:r w:rsidR="00283A47">
              <w:rPr>
                <w:sz w:val="20"/>
                <w:szCs w:val="20"/>
              </w:rPr>
              <w:t xml:space="preserve"> Электронного з</w:t>
            </w:r>
            <w:r w:rsidRPr="005E67BF">
              <w:rPr>
                <w:sz w:val="20"/>
                <w:szCs w:val="20"/>
              </w:rPr>
              <w:t xml:space="preserve">апроса котировок несостоявшимся </w:t>
            </w:r>
            <w:r w:rsidRPr="005E67BF">
              <w:rPr>
                <w:b/>
                <w:sz w:val="20"/>
                <w:szCs w:val="20"/>
              </w:rPr>
              <w:t>(п.25</w:t>
            </w:r>
            <w:r>
              <w:rPr>
                <w:b/>
                <w:sz w:val="20"/>
                <w:szCs w:val="20"/>
              </w:rPr>
              <w:t xml:space="preserve"> </w:t>
            </w:r>
            <w:r w:rsidRPr="005E67BF">
              <w:rPr>
                <w:b/>
                <w:sz w:val="20"/>
                <w:szCs w:val="20"/>
              </w:rPr>
              <w:t xml:space="preserve"> ч.1 статья 93</w:t>
            </w:r>
            <w:r w:rsidRPr="005E67BF">
              <w:rPr>
                <w:sz w:val="20"/>
                <w:szCs w:val="20"/>
              </w:rPr>
              <w:t>)</w:t>
            </w:r>
          </w:p>
        </w:tc>
        <w:tc>
          <w:tcPr>
            <w:tcW w:w="1417" w:type="dxa"/>
            <w:tcBorders>
              <w:top w:val="single" w:sz="4" w:space="0" w:color="auto"/>
              <w:left w:val="single" w:sz="4" w:space="0" w:color="000000"/>
              <w:bottom w:val="single" w:sz="4" w:space="0" w:color="auto"/>
            </w:tcBorders>
            <w:vAlign w:val="center"/>
          </w:tcPr>
          <w:p w:rsidR="00322383" w:rsidRPr="00302D14" w:rsidRDefault="005B25DD" w:rsidP="00A75ABC">
            <w:pPr>
              <w:jc w:val="center"/>
              <w:rPr>
                <w:sz w:val="18"/>
                <w:szCs w:val="18"/>
              </w:rPr>
            </w:pPr>
            <w:r>
              <w:rPr>
                <w:sz w:val="18"/>
                <w:szCs w:val="18"/>
              </w:rPr>
              <w:t>-</w:t>
            </w:r>
          </w:p>
        </w:tc>
        <w:tc>
          <w:tcPr>
            <w:tcW w:w="1134" w:type="dxa"/>
            <w:tcBorders>
              <w:top w:val="single" w:sz="4" w:space="0" w:color="auto"/>
              <w:left w:val="single" w:sz="4" w:space="0" w:color="000000"/>
              <w:bottom w:val="single" w:sz="4" w:space="0" w:color="auto"/>
              <w:right w:val="single" w:sz="4" w:space="0" w:color="auto"/>
            </w:tcBorders>
            <w:vAlign w:val="center"/>
          </w:tcPr>
          <w:p w:rsidR="00322383" w:rsidRPr="00302D14" w:rsidRDefault="00322383" w:rsidP="00A75ABC">
            <w:pPr>
              <w:snapToGrid w:val="0"/>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322383" w:rsidRPr="00302D14" w:rsidRDefault="005B25DD" w:rsidP="00E673B9">
            <w:pPr>
              <w:snapToGrid w:val="0"/>
              <w:jc w:val="center"/>
              <w:rPr>
                <w:color w:val="000000"/>
                <w:sz w:val="18"/>
                <w:szCs w:val="18"/>
              </w:rPr>
            </w:pPr>
            <w:r>
              <w:rPr>
                <w:color w:val="000000"/>
                <w:sz w:val="18"/>
                <w:szCs w:val="18"/>
              </w:rPr>
              <w:t>-</w:t>
            </w:r>
          </w:p>
        </w:tc>
        <w:tc>
          <w:tcPr>
            <w:tcW w:w="1134" w:type="dxa"/>
            <w:tcBorders>
              <w:top w:val="single" w:sz="4" w:space="0" w:color="auto"/>
              <w:left w:val="single" w:sz="4" w:space="0" w:color="auto"/>
              <w:bottom w:val="single" w:sz="4" w:space="0" w:color="auto"/>
              <w:right w:val="single" w:sz="4" w:space="0" w:color="000000"/>
            </w:tcBorders>
            <w:vAlign w:val="center"/>
          </w:tcPr>
          <w:p w:rsidR="00322383" w:rsidRPr="00302D14" w:rsidRDefault="00322383" w:rsidP="00A75ABC">
            <w:pPr>
              <w:snapToGrid w:val="0"/>
              <w:jc w:val="center"/>
              <w:rPr>
                <w:color w:val="000000"/>
                <w:sz w:val="18"/>
                <w:szCs w:val="18"/>
              </w:rPr>
            </w:pPr>
          </w:p>
        </w:tc>
      </w:tr>
      <w:tr w:rsidR="006F70C2" w:rsidRPr="004625D6" w:rsidTr="006F70C2">
        <w:trPr>
          <w:trHeight w:val="190"/>
        </w:trPr>
        <w:tc>
          <w:tcPr>
            <w:tcW w:w="426" w:type="dxa"/>
            <w:tcBorders>
              <w:top w:val="single" w:sz="4" w:space="0" w:color="auto"/>
              <w:left w:val="single" w:sz="4" w:space="0" w:color="000000"/>
              <w:bottom w:val="single" w:sz="4" w:space="0" w:color="auto"/>
            </w:tcBorders>
            <w:vAlign w:val="center"/>
          </w:tcPr>
          <w:p w:rsidR="006F70C2" w:rsidRDefault="006F70C2" w:rsidP="00E673B9">
            <w:pPr>
              <w:spacing w:line="23" w:lineRule="atLeast"/>
              <w:jc w:val="center"/>
              <w:rPr>
                <w:sz w:val="18"/>
                <w:szCs w:val="20"/>
              </w:rPr>
            </w:pPr>
            <w:r>
              <w:rPr>
                <w:sz w:val="18"/>
                <w:szCs w:val="20"/>
              </w:rPr>
              <w:t>3.</w:t>
            </w:r>
          </w:p>
        </w:tc>
        <w:tc>
          <w:tcPr>
            <w:tcW w:w="3969" w:type="dxa"/>
            <w:tcBorders>
              <w:top w:val="single" w:sz="4" w:space="0" w:color="auto"/>
              <w:left w:val="single" w:sz="4" w:space="0" w:color="000000"/>
              <w:bottom w:val="single" w:sz="4" w:space="0" w:color="auto"/>
            </w:tcBorders>
            <w:vAlign w:val="center"/>
          </w:tcPr>
          <w:p w:rsidR="006F70C2" w:rsidRPr="005E67BF" w:rsidRDefault="006F70C2" w:rsidP="00283A47">
            <w:pPr>
              <w:rPr>
                <w:sz w:val="20"/>
                <w:szCs w:val="20"/>
              </w:rPr>
            </w:pPr>
            <w:r w:rsidRPr="005E67BF">
              <w:rPr>
                <w:sz w:val="20"/>
                <w:szCs w:val="20"/>
              </w:rPr>
              <w:t xml:space="preserve">Закупка у единственного поставщика, при признании </w:t>
            </w:r>
            <w:r w:rsidR="00E7080A">
              <w:rPr>
                <w:sz w:val="20"/>
                <w:szCs w:val="20"/>
              </w:rPr>
              <w:t xml:space="preserve"> </w:t>
            </w:r>
            <w:r w:rsidR="00283A47">
              <w:rPr>
                <w:sz w:val="20"/>
                <w:szCs w:val="20"/>
              </w:rPr>
              <w:t>Электронного к</w:t>
            </w:r>
            <w:r>
              <w:rPr>
                <w:sz w:val="20"/>
                <w:szCs w:val="20"/>
              </w:rPr>
              <w:t>онкурса</w:t>
            </w:r>
            <w:r w:rsidRPr="005E67BF">
              <w:rPr>
                <w:sz w:val="20"/>
                <w:szCs w:val="20"/>
              </w:rPr>
              <w:t xml:space="preserve"> несостоявшимся </w:t>
            </w:r>
            <w:r w:rsidRPr="005E67BF">
              <w:rPr>
                <w:b/>
                <w:sz w:val="20"/>
                <w:szCs w:val="20"/>
              </w:rPr>
              <w:t>(п.25</w:t>
            </w:r>
            <w:r>
              <w:rPr>
                <w:b/>
                <w:sz w:val="20"/>
                <w:szCs w:val="20"/>
              </w:rPr>
              <w:t xml:space="preserve"> </w:t>
            </w:r>
            <w:r w:rsidRPr="005E67BF">
              <w:rPr>
                <w:b/>
                <w:sz w:val="20"/>
                <w:szCs w:val="20"/>
              </w:rPr>
              <w:t xml:space="preserve"> ч.1 статья 93</w:t>
            </w:r>
            <w:r w:rsidRPr="005E67BF">
              <w:rPr>
                <w:sz w:val="20"/>
                <w:szCs w:val="20"/>
              </w:rPr>
              <w:t>)</w:t>
            </w:r>
          </w:p>
        </w:tc>
        <w:tc>
          <w:tcPr>
            <w:tcW w:w="1417" w:type="dxa"/>
            <w:tcBorders>
              <w:top w:val="single" w:sz="4" w:space="0" w:color="auto"/>
              <w:left w:val="single" w:sz="4" w:space="0" w:color="000000"/>
              <w:bottom w:val="single" w:sz="4" w:space="0" w:color="auto"/>
            </w:tcBorders>
            <w:vAlign w:val="center"/>
          </w:tcPr>
          <w:p w:rsidR="006F70C2" w:rsidRPr="00302D14" w:rsidRDefault="00307549" w:rsidP="00E7080A">
            <w:pPr>
              <w:jc w:val="center"/>
              <w:rPr>
                <w:sz w:val="18"/>
                <w:szCs w:val="18"/>
              </w:rPr>
            </w:pPr>
            <w:r>
              <w:rPr>
                <w:sz w:val="18"/>
                <w:szCs w:val="18"/>
              </w:rPr>
              <w:t>108 900,7</w:t>
            </w:r>
          </w:p>
        </w:tc>
        <w:tc>
          <w:tcPr>
            <w:tcW w:w="1134" w:type="dxa"/>
            <w:tcBorders>
              <w:top w:val="single" w:sz="4" w:space="0" w:color="auto"/>
              <w:left w:val="single" w:sz="4" w:space="0" w:color="000000"/>
              <w:bottom w:val="single" w:sz="4" w:space="0" w:color="auto"/>
              <w:right w:val="single" w:sz="4" w:space="0" w:color="auto"/>
            </w:tcBorders>
            <w:vAlign w:val="center"/>
          </w:tcPr>
          <w:p w:rsidR="006F70C2" w:rsidRPr="00302D14" w:rsidRDefault="007B40D7" w:rsidP="00220337">
            <w:pPr>
              <w:snapToGrid w:val="0"/>
              <w:jc w:val="center"/>
              <w:rPr>
                <w:color w:val="000000"/>
                <w:sz w:val="18"/>
                <w:szCs w:val="18"/>
              </w:rPr>
            </w:pPr>
            <w:r>
              <w:rPr>
                <w:color w:val="000000"/>
                <w:sz w:val="18"/>
                <w:szCs w:val="18"/>
              </w:rPr>
              <w:t>11,8%</w:t>
            </w:r>
          </w:p>
        </w:tc>
        <w:tc>
          <w:tcPr>
            <w:tcW w:w="1276" w:type="dxa"/>
            <w:tcBorders>
              <w:top w:val="single" w:sz="4" w:space="0" w:color="auto"/>
              <w:left w:val="single" w:sz="4" w:space="0" w:color="auto"/>
              <w:bottom w:val="single" w:sz="4" w:space="0" w:color="auto"/>
              <w:right w:val="single" w:sz="4" w:space="0" w:color="auto"/>
            </w:tcBorders>
            <w:vAlign w:val="center"/>
          </w:tcPr>
          <w:p w:rsidR="006F70C2" w:rsidRPr="00302D14" w:rsidRDefault="00CB0AA2" w:rsidP="0027183B">
            <w:pPr>
              <w:snapToGrid w:val="0"/>
              <w:jc w:val="center"/>
              <w:rPr>
                <w:color w:val="000000"/>
                <w:sz w:val="18"/>
                <w:szCs w:val="18"/>
              </w:rPr>
            </w:pPr>
            <w:r>
              <w:rPr>
                <w:color w:val="000000"/>
                <w:sz w:val="18"/>
                <w:szCs w:val="18"/>
              </w:rPr>
              <w:t>6</w:t>
            </w:r>
          </w:p>
        </w:tc>
        <w:tc>
          <w:tcPr>
            <w:tcW w:w="1134" w:type="dxa"/>
            <w:tcBorders>
              <w:top w:val="single" w:sz="4" w:space="0" w:color="auto"/>
              <w:left w:val="single" w:sz="4" w:space="0" w:color="auto"/>
              <w:bottom w:val="single" w:sz="4" w:space="0" w:color="auto"/>
              <w:right w:val="single" w:sz="4" w:space="0" w:color="000000"/>
            </w:tcBorders>
            <w:vAlign w:val="center"/>
          </w:tcPr>
          <w:p w:rsidR="006F70C2" w:rsidRPr="00302D14" w:rsidRDefault="007B40D7" w:rsidP="007B44B3">
            <w:pPr>
              <w:snapToGrid w:val="0"/>
              <w:jc w:val="center"/>
              <w:rPr>
                <w:color w:val="000000"/>
                <w:sz w:val="18"/>
                <w:szCs w:val="18"/>
              </w:rPr>
            </w:pPr>
            <w:r>
              <w:rPr>
                <w:color w:val="000000"/>
                <w:sz w:val="18"/>
                <w:szCs w:val="18"/>
              </w:rPr>
              <w:t>2,6%</w:t>
            </w:r>
          </w:p>
        </w:tc>
      </w:tr>
      <w:tr w:rsidR="00C325F7" w:rsidRPr="004625D6" w:rsidTr="00640994">
        <w:trPr>
          <w:trHeight w:val="543"/>
        </w:trPr>
        <w:tc>
          <w:tcPr>
            <w:tcW w:w="426" w:type="dxa"/>
            <w:tcBorders>
              <w:top w:val="single" w:sz="4" w:space="0" w:color="auto"/>
              <w:left w:val="single" w:sz="4" w:space="0" w:color="000000"/>
              <w:bottom w:val="single" w:sz="4" w:space="0" w:color="auto"/>
            </w:tcBorders>
            <w:shd w:val="clear" w:color="auto" w:fill="EEECE1" w:themeFill="background2"/>
            <w:vAlign w:val="center"/>
          </w:tcPr>
          <w:p w:rsidR="00322383" w:rsidRPr="00C325F7" w:rsidRDefault="00322383" w:rsidP="00E673B9">
            <w:pPr>
              <w:spacing w:line="23" w:lineRule="atLeast"/>
              <w:jc w:val="center"/>
              <w:rPr>
                <w:sz w:val="20"/>
                <w:szCs w:val="20"/>
              </w:rPr>
            </w:pPr>
          </w:p>
        </w:tc>
        <w:tc>
          <w:tcPr>
            <w:tcW w:w="3969" w:type="dxa"/>
            <w:tcBorders>
              <w:top w:val="single" w:sz="4" w:space="0" w:color="auto"/>
              <w:left w:val="single" w:sz="4" w:space="0" w:color="000000"/>
              <w:bottom w:val="single" w:sz="4" w:space="0" w:color="auto"/>
            </w:tcBorders>
            <w:shd w:val="clear" w:color="auto" w:fill="EEECE1" w:themeFill="background2"/>
            <w:vAlign w:val="center"/>
          </w:tcPr>
          <w:p w:rsidR="00322383" w:rsidRPr="0083215F" w:rsidRDefault="00C325F7" w:rsidP="00C13170">
            <w:pPr>
              <w:jc w:val="center"/>
              <w:rPr>
                <w:b/>
                <w:i/>
                <w:sz w:val="20"/>
                <w:szCs w:val="20"/>
              </w:rPr>
            </w:pPr>
            <w:r w:rsidRPr="0083215F">
              <w:rPr>
                <w:b/>
                <w:i/>
                <w:sz w:val="20"/>
                <w:szCs w:val="20"/>
              </w:rPr>
              <w:t>Итого по результатам несостоявшихся закупок</w:t>
            </w:r>
          </w:p>
        </w:tc>
        <w:tc>
          <w:tcPr>
            <w:tcW w:w="1417" w:type="dxa"/>
            <w:tcBorders>
              <w:top w:val="single" w:sz="4" w:space="0" w:color="auto"/>
              <w:left w:val="single" w:sz="4" w:space="0" w:color="000000"/>
              <w:bottom w:val="single" w:sz="4" w:space="0" w:color="auto"/>
            </w:tcBorders>
            <w:shd w:val="clear" w:color="auto" w:fill="EEECE1" w:themeFill="background2"/>
            <w:vAlign w:val="center"/>
          </w:tcPr>
          <w:p w:rsidR="00322383" w:rsidRPr="0083215F" w:rsidRDefault="00CB0AA2" w:rsidP="003E41E4">
            <w:pPr>
              <w:jc w:val="center"/>
              <w:rPr>
                <w:b/>
                <w:i/>
                <w:color w:val="000000"/>
                <w:sz w:val="20"/>
                <w:szCs w:val="20"/>
              </w:rPr>
            </w:pPr>
            <w:r>
              <w:rPr>
                <w:b/>
                <w:i/>
                <w:color w:val="000000"/>
                <w:sz w:val="20"/>
                <w:szCs w:val="20"/>
              </w:rPr>
              <w:t>435 543,5</w:t>
            </w:r>
          </w:p>
        </w:tc>
        <w:tc>
          <w:tcPr>
            <w:tcW w:w="1134"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322383" w:rsidRPr="0083215F" w:rsidRDefault="007B40D7" w:rsidP="00220337">
            <w:pPr>
              <w:snapToGrid w:val="0"/>
              <w:jc w:val="center"/>
              <w:rPr>
                <w:b/>
                <w:i/>
                <w:color w:val="000000"/>
                <w:sz w:val="20"/>
                <w:szCs w:val="20"/>
              </w:rPr>
            </w:pPr>
            <w:r>
              <w:rPr>
                <w:b/>
                <w:i/>
                <w:color w:val="000000"/>
                <w:sz w:val="20"/>
                <w:szCs w:val="20"/>
              </w:rPr>
              <w:t>47,3%</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22383" w:rsidRPr="0083215F" w:rsidRDefault="00CB0AA2" w:rsidP="003E41E4">
            <w:pPr>
              <w:snapToGrid w:val="0"/>
              <w:jc w:val="center"/>
              <w:rPr>
                <w:b/>
                <w:i/>
                <w:color w:val="000000"/>
                <w:sz w:val="20"/>
                <w:szCs w:val="20"/>
              </w:rPr>
            </w:pPr>
            <w:r>
              <w:rPr>
                <w:b/>
                <w:i/>
                <w:color w:val="000000"/>
                <w:sz w:val="20"/>
                <w:szCs w:val="20"/>
              </w:rPr>
              <w:t>101</w:t>
            </w:r>
          </w:p>
        </w:tc>
        <w:tc>
          <w:tcPr>
            <w:tcW w:w="1134" w:type="dxa"/>
            <w:tcBorders>
              <w:top w:val="single" w:sz="4" w:space="0" w:color="auto"/>
              <w:left w:val="single" w:sz="4" w:space="0" w:color="auto"/>
              <w:bottom w:val="single" w:sz="4" w:space="0" w:color="auto"/>
              <w:right w:val="single" w:sz="4" w:space="0" w:color="000000"/>
            </w:tcBorders>
            <w:shd w:val="clear" w:color="auto" w:fill="EEECE1" w:themeFill="background2"/>
            <w:vAlign w:val="center"/>
          </w:tcPr>
          <w:p w:rsidR="00322383" w:rsidRPr="0083215F" w:rsidRDefault="005918B2" w:rsidP="001364A2">
            <w:pPr>
              <w:snapToGrid w:val="0"/>
              <w:jc w:val="center"/>
              <w:rPr>
                <w:b/>
                <w:i/>
                <w:color w:val="000000"/>
                <w:sz w:val="20"/>
                <w:szCs w:val="20"/>
              </w:rPr>
            </w:pPr>
            <w:r>
              <w:rPr>
                <w:b/>
                <w:i/>
                <w:color w:val="000000"/>
                <w:sz w:val="20"/>
                <w:szCs w:val="20"/>
              </w:rPr>
              <w:t>43,0%</w:t>
            </w:r>
          </w:p>
        </w:tc>
      </w:tr>
      <w:tr w:rsidR="00302D14" w:rsidRPr="004625D6" w:rsidTr="00912D05">
        <w:trPr>
          <w:trHeight w:val="516"/>
        </w:trPr>
        <w:tc>
          <w:tcPr>
            <w:tcW w:w="426" w:type="dxa"/>
            <w:tcBorders>
              <w:top w:val="single" w:sz="4" w:space="0" w:color="auto"/>
              <w:left w:val="single" w:sz="4" w:space="0" w:color="000000"/>
              <w:bottom w:val="single" w:sz="4" w:space="0" w:color="auto"/>
            </w:tcBorders>
            <w:vAlign w:val="center"/>
          </w:tcPr>
          <w:p w:rsidR="00302D14" w:rsidRDefault="006D2431" w:rsidP="00E673B9">
            <w:pPr>
              <w:spacing w:line="23" w:lineRule="atLeast"/>
              <w:jc w:val="center"/>
              <w:rPr>
                <w:sz w:val="18"/>
                <w:szCs w:val="20"/>
              </w:rPr>
            </w:pPr>
            <w:r>
              <w:rPr>
                <w:sz w:val="18"/>
                <w:szCs w:val="20"/>
              </w:rPr>
              <w:t>1</w:t>
            </w:r>
          </w:p>
        </w:tc>
        <w:tc>
          <w:tcPr>
            <w:tcW w:w="3969" w:type="dxa"/>
            <w:tcBorders>
              <w:top w:val="single" w:sz="4" w:space="0" w:color="auto"/>
              <w:left w:val="single" w:sz="4" w:space="0" w:color="000000"/>
              <w:bottom w:val="single" w:sz="4" w:space="0" w:color="auto"/>
            </w:tcBorders>
            <w:vAlign w:val="center"/>
          </w:tcPr>
          <w:p w:rsidR="00302D14" w:rsidRDefault="00302D14" w:rsidP="00E33775">
            <w:pPr>
              <w:rPr>
                <w:sz w:val="20"/>
                <w:szCs w:val="20"/>
              </w:rPr>
            </w:pPr>
            <w:r w:rsidRPr="005E67BF">
              <w:rPr>
                <w:sz w:val="20"/>
                <w:szCs w:val="20"/>
              </w:rPr>
              <w:t xml:space="preserve">Закупка у единственного поставщика </w:t>
            </w:r>
            <w:r w:rsidRPr="005E67BF">
              <w:rPr>
                <w:b/>
                <w:sz w:val="20"/>
                <w:szCs w:val="20"/>
              </w:rPr>
              <w:t>(п.</w:t>
            </w:r>
            <w:r>
              <w:rPr>
                <w:b/>
                <w:sz w:val="20"/>
                <w:szCs w:val="20"/>
              </w:rPr>
              <w:t>1</w:t>
            </w:r>
            <w:r w:rsidRPr="005E67BF">
              <w:rPr>
                <w:b/>
                <w:sz w:val="20"/>
                <w:szCs w:val="20"/>
              </w:rPr>
              <w:t xml:space="preserve">  ч.1 статья 93)</w:t>
            </w:r>
            <w:r w:rsidRPr="005E67BF">
              <w:rPr>
                <w:sz w:val="20"/>
                <w:szCs w:val="20"/>
              </w:rPr>
              <w:t xml:space="preserve"> </w:t>
            </w:r>
          </w:p>
        </w:tc>
        <w:tc>
          <w:tcPr>
            <w:tcW w:w="1417" w:type="dxa"/>
            <w:tcBorders>
              <w:top w:val="single" w:sz="4" w:space="0" w:color="auto"/>
              <w:left w:val="single" w:sz="4" w:space="0" w:color="000000"/>
              <w:bottom w:val="single" w:sz="4" w:space="0" w:color="auto"/>
            </w:tcBorders>
            <w:vAlign w:val="center"/>
          </w:tcPr>
          <w:p w:rsidR="00302D14" w:rsidRPr="00302D14" w:rsidRDefault="00CB0AA2" w:rsidP="003E41E4">
            <w:pPr>
              <w:jc w:val="center"/>
              <w:rPr>
                <w:color w:val="000000"/>
                <w:sz w:val="18"/>
                <w:szCs w:val="18"/>
              </w:rPr>
            </w:pPr>
            <w:r>
              <w:rPr>
                <w:color w:val="000000"/>
                <w:sz w:val="18"/>
                <w:szCs w:val="18"/>
              </w:rPr>
              <w:t>84,0</w:t>
            </w:r>
          </w:p>
        </w:tc>
        <w:tc>
          <w:tcPr>
            <w:tcW w:w="1134" w:type="dxa"/>
            <w:tcBorders>
              <w:top w:val="single" w:sz="4" w:space="0" w:color="auto"/>
              <w:left w:val="single" w:sz="4" w:space="0" w:color="000000"/>
              <w:bottom w:val="single" w:sz="4" w:space="0" w:color="auto"/>
              <w:right w:val="single" w:sz="4" w:space="0" w:color="auto"/>
            </w:tcBorders>
            <w:vAlign w:val="center"/>
          </w:tcPr>
          <w:p w:rsidR="00302D14" w:rsidRPr="00302D14" w:rsidRDefault="005918B2" w:rsidP="00220337">
            <w:pPr>
              <w:snapToGrid w:val="0"/>
              <w:jc w:val="center"/>
              <w:rPr>
                <w:color w:val="000000"/>
                <w:sz w:val="18"/>
                <w:szCs w:val="18"/>
              </w:rPr>
            </w:pPr>
            <w:r>
              <w:rPr>
                <w:color w:val="000000"/>
                <w:sz w:val="18"/>
                <w:szCs w:val="18"/>
              </w:rPr>
              <w:t>0,01%</w:t>
            </w:r>
          </w:p>
        </w:tc>
        <w:tc>
          <w:tcPr>
            <w:tcW w:w="1276" w:type="dxa"/>
            <w:tcBorders>
              <w:top w:val="single" w:sz="4" w:space="0" w:color="auto"/>
              <w:left w:val="single" w:sz="4" w:space="0" w:color="auto"/>
              <w:bottom w:val="single" w:sz="4" w:space="0" w:color="auto"/>
              <w:right w:val="single" w:sz="4" w:space="0" w:color="auto"/>
            </w:tcBorders>
            <w:vAlign w:val="center"/>
          </w:tcPr>
          <w:p w:rsidR="00302D14" w:rsidRPr="00302D14" w:rsidRDefault="00CB0AA2" w:rsidP="003E41E4">
            <w:pPr>
              <w:snapToGrid w:val="0"/>
              <w:jc w:val="center"/>
              <w:rPr>
                <w:color w:val="000000"/>
                <w:sz w:val="18"/>
                <w:szCs w:val="18"/>
              </w:rPr>
            </w:pPr>
            <w:r>
              <w:rPr>
                <w:color w:val="000000"/>
                <w:sz w:val="18"/>
                <w:szCs w:val="18"/>
              </w:rPr>
              <w:t>2</w:t>
            </w:r>
          </w:p>
        </w:tc>
        <w:tc>
          <w:tcPr>
            <w:tcW w:w="1134" w:type="dxa"/>
            <w:tcBorders>
              <w:top w:val="single" w:sz="4" w:space="0" w:color="auto"/>
              <w:left w:val="single" w:sz="4" w:space="0" w:color="auto"/>
              <w:bottom w:val="single" w:sz="4" w:space="0" w:color="auto"/>
              <w:right w:val="single" w:sz="4" w:space="0" w:color="000000"/>
            </w:tcBorders>
            <w:vAlign w:val="center"/>
          </w:tcPr>
          <w:p w:rsidR="00302D14" w:rsidRPr="00302D14" w:rsidRDefault="005918B2" w:rsidP="001364A2">
            <w:pPr>
              <w:snapToGrid w:val="0"/>
              <w:jc w:val="center"/>
              <w:rPr>
                <w:color w:val="000000"/>
                <w:sz w:val="18"/>
                <w:szCs w:val="18"/>
              </w:rPr>
            </w:pPr>
            <w:r>
              <w:rPr>
                <w:color w:val="000000"/>
                <w:sz w:val="18"/>
                <w:szCs w:val="18"/>
              </w:rPr>
              <w:t>0,9%</w:t>
            </w:r>
          </w:p>
        </w:tc>
      </w:tr>
      <w:tr w:rsidR="00322383" w:rsidRPr="004625D6" w:rsidTr="006D2431">
        <w:trPr>
          <w:trHeight w:val="461"/>
        </w:trPr>
        <w:tc>
          <w:tcPr>
            <w:tcW w:w="426" w:type="dxa"/>
            <w:tcBorders>
              <w:top w:val="single" w:sz="4" w:space="0" w:color="auto"/>
              <w:left w:val="single" w:sz="4" w:space="0" w:color="000000"/>
              <w:bottom w:val="single" w:sz="4" w:space="0" w:color="auto"/>
            </w:tcBorders>
            <w:vAlign w:val="center"/>
          </w:tcPr>
          <w:p w:rsidR="00322383" w:rsidRPr="004625D6" w:rsidRDefault="006D2431" w:rsidP="00E673B9">
            <w:pPr>
              <w:spacing w:line="23" w:lineRule="atLeast"/>
              <w:jc w:val="center"/>
              <w:rPr>
                <w:sz w:val="18"/>
                <w:szCs w:val="20"/>
              </w:rPr>
            </w:pPr>
            <w:r>
              <w:rPr>
                <w:sz w:val="18"/>
                <w:szCs w:val="20"/>
              </w:rPr>
              <w:t>2</w:t>
            </w:r>
            <w:r w:rsidR="00322383">
              <w:rPr>
                <w:sz w:val="18"/>
                <w:szCs w:val="20"/>
              </w:rPr>
              <w:t>.</w:t>
            </w:r>
          </w:p>
        </w:tc>
        <w:tc>
          <w:tcPr>
            <w:tcW w:w="3969" w:type="dxa"/>
            <w:tcBorders>
              <w:top w:val="single" w:sz="4" w:space="0" w:color="auto"/>
              <w:left w:val="single" w:sz="4" w:space="0" w:color="000000"/>
              <w:bottom w:val="single" w:sz="4" w:space="0" w:color="auto"/>
            </w:tcBorders>
            <w:vAlign w:val="center"/>
          </w:tcPr>
          <w:p w:rsidR="006D2431" w:rsidRPr="005E67BF" w:rsidRDefault="00322383" w:rsidP="00283A47">
            <w:pPr>
              <w:rPr>
                <w:sz w:val="20"/>
                <w:szCs w:val="20"/>
              </w:rPr>
            </w:pPr>
            <w:r w:rsidRPr="005E67BF">
              <w:rPr>
                <w:sz w:val="20"/>
                <w:szCs w:val="20"/>
              </w:rPr>
              <w:t xml:space="preserve">Закупка у единственного поставщика </w:t>
            </w:r>
            <w:r w:rsidRPr="005E67BF">
              <w:rPr>
                <w:b/>
                <w:sz w:val="20"/>
                <w:szCs w:val="20"/>
              </w:rPr>
              <w:t>(п.</w:t>
            </w:r>
            <w:r w:rsidR="00283A47">
              <w:rPr>
                <w:b/>
                <w:sz w:val="20"/>
                <w:szCs w:val="20"/>
              </w:rPr>
              <w:t>2</w:t>
            </w:r>
            <w:r w:rsidRPr="005E67BF">
              <w:rPr>
                <w:b/>
                <w:sz w:val="20"/>
                <w:szCs w:val="20"/>
              </w:rPr>
              <w:t xml:space="preserve">  ч.1 статья 93)</w:t>
            </w:r>
          </w:p>
        </w:tc>
        <w:tc>
          <w:tcPr>
            <w:tcW w:w="1417" w:type="dxa"/>
            <w:tcBorders>
              <w:top w:val="single" w:sz="4" w:space="0" w:color="auto"/>
              <w:left w:val="single" w:sz="4" w:space="0" w:color="000000"/>
              <w:bottom w:val="single" w:sz="4" w:space="0" w:color="auto"/>
            </w:tcBorders>
            <w:vAlign w:val="center"/>
          </w:tcPr>
          <w:p w:rsidR="00322383" w:rsidRPr="00302D14" w:rsidRDefault="00CB0AA2" w:rsidP="003E41E4">
            <w:pPr>
              <w:jc w:val="center"/>
              <w:rPr>
                <w:color w:val="000000"/>
                <w:sz w:val="18"/>
                <w:szCs w:val="18"/>
              </w:rPr>
            </w:pPr>
            <w:r>
              <w:rPr>
                <w:color w:val="000000"/>
                <w:sz w:val="18"/>
                <w:szCs w:val="18"/>
              </w:rPr>
              <w:t>312 424,6</w:t>
            </w:r>
          </w:p>
        </w:tc>
        <w:tc>
          <w:tcPr>
            <w:tcW w:w="1134" w:type="dxa"/>
            <w:tcBorders>
              <w:top w:val="single" w:sz="4" w:space="0" w:color="auto"/>
              <w:left w:val="single" w:sz="4" w:space="0" w:color="000000"/>
              <w:bottom w:val="single" w:sz="4" w:space="0" w:color="auto"/>
              <w:right w:val="single" w:sz="4" w:space="0" w:color="auto"/>
            </w:tcBorders>
            <w:vAlign w:val="center"/>
          </w:tcPr>
          <w:p w:rsidR="00322383" w:rsidRPr="00302D14" w:rsidRDefault="005918B2" w:rsidP="00220337">
            <w:pPr>
              <w:snapToGrid w:val="0"/>
              <w:jc w:val="center"/>
              <w:rPr>
                <w:color w:val="000000"/>
                <w:sz w:val="18"/>
                <w:szCs w:val="18"/>
              </w:rPr>
            </w:pPr>
            <w:r>
              <w:rPr>
                <w:color w:val="000000"/>
                <w:sz w:val="18"/>
                <w:szCs w:val="18"/>
              </w:rPr>
              <w:t>34,0%</w:t>
            </w:r>
          </w:p>
        </w:tc>
        <w:tc>
          <w:tcPr>
            <w:tcW w:w="1276" w:type="dxa"/>
            <w:tcBorders>
              <w:top w:val="single" w:sz="4" w:space="0" w:color="auto"/>
              <w:left w:val="single" w:sz="4" w:space="0" w:color="auto"/>
              <w:bottom w:val="single" w:sz="4" w:space="0" w:color="auto"/>
              <w:right w:val="single" w:sz="4" w:space="0" w:color="auto"/>
            </w:tcBorders>
            <w:vAlign w:val="center"/>
          </w:tcPr>
          <w:p w:rsidR="00322383" w:rsidRPr="00302D14" w:rsidRDefault="00CB0AA2" w:rsidP="003E41E4">
            <w:pPr>
              <w:snapToGrid w:val="0"/>
              <w:jc w:val="center"/>
              <w:rPr>
                <w:color w:val="000000"/>
                <w:sz w:val="18"/>
                <w:szCs w:val="18"/>
              </w:rPr>
            </w:pPr>
            <w:r>
              <w:rPr>
                <w:color w:val="000000"/>
                <w:sz w:val="18"/>
                <w:szCs w:val="18"/>
              </w:rPr>
              <w:t>15</w:t>
            </w:r>
          </w:p>
        </w:tc>
        <w:tc>
          <w:tcPr>
            <w:tcW w:w="1134" w:type="dxa"/>
            <w:tcBorders>
              <w:top w:val="single" w:sz="4" w:space="0" w:color="auto"/>
              <w:left w:val="single" w:sz="4" w:space="0" w:color="auto"/>
              <w:bottom w:val="single" w:sz="4" w:space="0" w:color="auto"/>
              <w:right w:val="single" w:sz="4" w:space="0" w:color="000000"/>
            </w:tcBorders>
            <w:vAlign w:val="center"/>
          </w:tcPr>
          <w:p w:rsidR="00322383" w:rsidRPr="00302D14" w:rsidRDefault="005918B2" w:rsidP="001364A2">
            <w:pPr>
              <w:snapToGrid w:val="0"/>
              <w:jc w:val="center"/>
              <w:rPr>
                <w:color w:val="000000"/>
                <w:sz w:val="18"/>
                <w:szCs w:val="18"/>
              </w:rPr>
            </w:pPr>
            <w:r>
              <w:rPr>
                <w:color w:val="000000"/>
                <w:sz w:val="18"/>
                <w:szCs w:val="18"/>
              </w:rPr>
              <w:t>6,4%</w:t>
            </w:r>
          </w:p>
        </w:tc>
      </w:tr>
      <w:tr w:rsidR="006D2431" w:rsidRPr="004625D6" w:rsidTr="00912D05">
        <w:trPr>
          <w:trHeight w:val="215"/>
        </w:trPr>
        <w:tc>
          <w:tcPr>
            <w:tcW w:w="426" w:type="dxa"/>
            <w:tcBorders>
              <w:top w:val="single" w:sz="4" w:space="0" w:color="auto"/>
              <w:left w:val="single" w:sz="4" w:space="0" w:color="000000"/>
              <w:bottom w:val="single" w:sz="4" w:space="0" w:color="auto"/>
            </w:tcBorders>
            <w:vAlign w:val="center"/>
          </w:tcPr>
          <w:p w:rsidR="006D2431" w:rsidRDefault="006D2431" w:rsidP="00E673B9">
            <w:pPr>
              <w:spacing w:line="23" w:lineRule="atLeast"/>
              <w:jc w:val="center"/>
              <w:rPr>
                <w:sz w:val="18"/>
                <w:szCs w:val="20"/>
              </w:rPr>
            </w:pPr>
            <w:r>
              <w:rPr>
                <w:sz w:val="18"/>
                <w:szCs w:val="20"/>
              </w:rPr>
              <w:t>3</w:t>
            </w:r>
          </w:p>
        </w:tc>
        <w:tc>
          <w:tcPr>
            <w:tcW w:w="3969" w:type="dxa"/>
            <w:tcBorders>
              <w:top w:val="single" w:sz="4" w:space="0" w:color="auto"/>
              <w:left w:val="single" w:sz="4" w:space="0" w:color="000000"/>
              <w:bottom w:val="single" w:sz="4" w:space="0" w:color="auto"/>
            </w:tcBorders>
            <w:vAlign w:val="center"/>
          </w:tcPr>
          <w:p w:rsidR="006D2431" w:rsidRPr="005E67BF" w:rsidRDefault="006D2431" w:rsidP="006D2431">
            <w:pPr>
              <w:rPr>
                <w:sz w:val="20"/>
                <w:szCs w:val="20"/>
              </w:rPr>
            </w:pPr>
            <w:r w:rsidRPr="005E67BF">
              <w:rPr>
                <w:sz w:val="20"/>
                <w:szCs w:val="20"/>
              </w:rPr>
              <w:t xml:space="preserve">Закупка у единственного поставщика </w:t>
            </w:r>
            <w:r w:rsidRPr="005E67BF">
              <w:rPr>
                <w:b/>
                <w:sz w:val="20"/>
                <w:szCs w:val="20"/>
              </w:rPr>
              <w:t>(п.</w:t>
            </w:r>
            <w:r>
              <w:rPr>
                <w:b/>
                <w:sz w:val="20"/>
                <w:szCs w:val="20"/>
              </w:rPr>
              <w:t>6</w:t>
            </w:r>
            <w:r w:rsidRPr="005E67BF">
              <w:rPr>
                <w:b/>
                <w:sz w:val="20"/>
                <w:szCs w:val="20"/>
              </w:rPr>
              <w:t xml:space="preserve">  ч.1 статья 93)</w:t>
            </w:r>
          </w:p>
        </w:tc>
        <w:tc>
          <w:tcPr>
            <w:tcW w:w="1417" w:type="dxa"/>
            <w:tcBorders>
              <w:top w:val="single" w:sz="4" w:space="0" w:color="auto"/>
              <w:left w:val="single" w:sz="4" w:space="0" w:color="000000"/>
              <w:bottom w:val="single" w:sz="4" w:space="0" w:color="auto"/>
            </w:tcBorders>
            <w:vAlign w:val="center"/>
          </w:tcPr>
          <w:p w:rsidR="006D2431" w:rsidRPr="00302D14" w:rsidRDefault="00CB0AA2" w:rsidP="003E41E4">
            <w:pPr>
              <w:jc w:val="center"/>
              <w:rPr>
                <w:color w:val="000000"/>
                <w:sz w:val="18"/>
                <w:szCs w:val="18"/>
              </w:rPr>
            </w:pPr>
            <w:r>
              <w:rPr>
                <w:color w:val="000000"/>
                <w:sz w:val="18"/>
                <w:szCs w:val="18"/>
              </w:rPr>
              <w:t>6 180,4</w:t>
            </w:r>
          </w:p>
        </w:tc>
        <w:tc>
          <w:tcPr>
            <w:tcW w:w="1134" w:type="dxa"/>
            <w:tcBorders>
              <w:top w:val="single" w:sz="4" w:space="0" w:color="auto"/>
              <w:left w:val="single" w:sz="4" w:space="0" w:color="000000"/>
              <w:bottom w:val="single" w:sz="4" w:space="0" w:color="auto"/>
              <w:right w:val="single" w:sz="4" w:space="0" w:color="auto"/>
            </w:tcBorders>
            <w:vAlign w:val="center"/>
          </w:tcPr>
          <w:p w:rsidR="006D2431" w:rsidRPr="00302D14" w:rsidRDefault="005918B2" w:rsidP="00220337">
            <w:pPr>
              <w:snapToGrid w:val="0"/>
              <w:jc w:val="center"/>
              <w:rPr>
                <w:color w:val="000000"/>
                <w:sz w:val="18"/>
                <w:szCs w:val="18"/>
              </w:rPr>
            </w:pPr>
            <w:r>
              <w:rPr>
                <w:color w:val="000000"/>
                <w:sz w:val="18"/>
                <w:szCs w:val="18"/>
              </w:rPr>
              <w:t>0,7%</w:t>
            </w:r>
          </w:p>
        </w:tc>
        <w:tc>
          <w:tcPr>
            <w:tcW w:w="1276" w:type="dxa"/>
            <w:tcBorders>
              <w:top w:val="single" w:sz="4" w:space="0" w:color="auto"/>
              <w:left w:val="single" w:sz="4" w:space="0" w:color="auto"/>
              <w:bottom w:val="single" w:sz="4" w:space="0" w:color="auto"/>
              <w:right w:val="single" w:sz="4" w:space="0" w:color="auto"/>
            </w:tcBorders>
            <w:vAlign w:val="center"/>
          </w:tcPr>
          <w:p w:rsidR="006D2431" w:rsidRPr="00302D14" w:rsidRDefault="00CB0AA2" w:rsidP="003E41E4">
            <w:pPr>
              <w:snapToGrid w:val="0"/>
              <w:jc w:val="center"/>
              <w:rPr>
                <w:color w:val="000000"/>
                <w:sz w:val="18"/>
                <w:szCs w:val="18"/>
              </w:rPr>
            </w:pPr>
            <w:r>
              <w:rPr>
                <w:color w:val="000000"/>
                <w:sz w:val="18"/>
                <w:szCs w:val="18"/>
              </w:rPr>
              <w:t>7</w:t>
            </w:r>
          </w:p>
        </w:tc>
        <w:tc>
          <w:tcPr>
            <w:tcW w:w="1134" w:type="dxa"/>
            <w:tcBorders>
              <w:top w:val="single" w:sz="4" w:space="0" w:color="auto"/>
              <w:left w:val="single" w:sz="4" w:space="0" w:color="auto"/>
              <w:bottom w:val="single" w:sz="4" w:space="0" w:color="auto"/>
              <w:right w:val="single" w:sz="4" w:space="0" w:color="000000"/>
            </w:tcBorders>
            <w:vAlign w:val="center"/>
          </w:tcPr>
          <w:p w:rsidR="006D2431" w:rsidRPr="00302D14" w:rsidRDefault="005918B2" w:rsidP="001364A2">
            <w:pPr>
              <w:snapToGrid w:val="0"/>
              <w:jc w:val="center"/>
              <w:rPr>
                <w:color w:val="000000"/>
                <w:sz w:val="18"/>
                <w:szCs w:val="18"/>
              </w:rPr>
            </w:pPr>
            <w:r>
              <w:rPr>
                <w:color w:val="000000"/>
                <w:sz w:val="18"/>
                <w:szCs w:val="18"/>
              </w:rPr>
              <w:t>3,0%</w:t>
            </w:r>
          </w:p>
        </w:tc>
      </w:tr>
      <w:tr w:rsidR="00322383" w:rsidRPr="004625D6" w:rsidTr="00912D05">
        <w:trPr>
          <w:trHeight w:val="480"/>
        </w:trPr>
        <w:tc>
          <w:tcPr>
            <w:tcW w:w="426" w:type="dxa"/>
            <w:tcBorders>
              <w:top w:val="single" w:sz="4" w:space="0" w:color="auto"/>
              <w:left w:val="single" w:sz="4" w:space="0" w:color="000000"/>
              <w:bottom w:val="single" w:sz="4" w:space="0" w:color="auto"/>
            </w:tcBorders>
            <w:vAlign w:val="center"/>
          </w:tcPr>
          <w:p w:rsidR="00322383" w:rsidRPr="004625D6" w:rsidRDefault="006D2431" w:rsidP="00E673B9">
            <w:pPr>
              <w:spacing w:line="23" w:lineRule="atLeast"/>
              <w:jc w:val="center"/>
              <w:rPr>
                <w:sz w:val="18"/>
                <w:szCs w:val="20"/>
              </w:rPr>
            </w:pPr>
            <w:r>
              <w:rPr>
                <w:sz w:val="18"/>
                <w:szCs w:val="20"/>
              </w:rPr>
              <w:t>4</w:t>
            </w:r>
            <w:r w:rsidR="00322383">
              <w:rPr>
                <w:sz w:val="18"/>
                <w:szCs w:val="20"/>
              </w:rPr>
              <w:t>.</w:t>
            </w:r>
          </w:p>
        </w:tc>
        <w:tc>
          <w:tcPr>
            <w:tcW w:w="3969" w:type="dxa"/>
            <w:tcBorders>
              <w:top w:val="single" w:sz="4" w:space="0" w:color="auto"/>
              <w:left w:val="single" w:sz="4" w:space="0" w:color="000000"/>
              <w:bottom w:val="single" w:sz="4" w:space="0" w:color="auto"/>
            </w:tcBorders>
            <w:vAlign w:val="center"/>
          </w:tcPr>
          <w:p w:rsidR="00322383" w:rsidRPr="005E67BF" w:rsidRDefault="00322383" w:rsidP="003E41E4">
            <w:pPr>
              <w:rPr>
                <w:sz w:val="20"/>
                <w:szCs w:val="20"/>
              </w:rPr>
            </w:pPr>
            <w:r w:rsidRPr="005E67BF">
              <w:rPr>
                <w:sz w:val="20"/>
                <w:szCs w:val="20"/>
              </w:rPr>
              <w:t xml:space="preserve">Закупка у единственного поставщика </w:t>
            </w:r>
            <w:r w:rsidRPr="005E67BF">
              <w:rPr>
                <w:b/>
                <w:sz w:val="20"/>
                <w:szCs w:val="20"/>
              </w:rPr>
              <w:t>(п.</w:t>
            </w:r>
            <w:r w:rsidR="003E41E4">
              <w:rPr>
                <w:b/>
                <w:sz w:val="20"/>
                <w:szCs w:val="20"/>
              </w:rPr>
              <w:t>8</w:t>
            </w:r>
            <w:r w:rsidRPr="005E67BF">
              <w:rPr>
                <w:b/>
                <w:sz w:val="20"/>
                <w:szCs w:val="20"/>
              </w:rPr>
              <w:t xml:space="preserve">  ч.1 статья 93)</w:t>
            </w:r>
          </w:p>
        </w:tc>
        <w:tc>
          <w:tcPr>
            <w:tcW w:w="1417" w:type="dxa"/>
            <w:tcBorders>
              <w:top w:val="single" w:sz="4" w:space="0" w:color="auto"/>
              <w:left w:val="single" w:sz="4" w:space="0" w:color="000000"/>
              <w:bottom w:val="single" w:sz="4" w:space="0" w:color="auto"/>
            </w:tcBorders>
            <w:vAlign w:val="center"/>
          </w:tcPr>
          <w:p w:rsidR="00322383" w:rsidRPr="00302D14" w:rsidRDefault="00CB0AA2" w:rsidP="003E41E4">
            <w:pPr>
              <w:jc w:val="center"/>
              <w:rPr>
                <w:color w:val="000000"/>
                <w:sz w:val="18"/>
                <w:szCs w:val="18"/>
              </w:rPr>
            </w:pPr>
            <w:r>
              <w:rPr>
                <w:color w:val="000000"/>
                <w:sz w:val="18"/>
                <w:szCs w:val="18"/>
              </w:rPr>
              <w:t>9 244,1</w:t>
            </w:r>
          </w:p>
        </w:tc>
        <w:tc>
          <w:tcPr>
            <w:tcW w:w="1134" w:type="dxa"/>
            <w:tcBorders>
              <w:top w:val="single" w:sz="4" w:space="0" w:color="auto"/>
              <w:left w:val="single" w:sz="4" w:space="0" w:color="000000"/>
              <w:bottom w:val="single" w:sz="4" w:space="0" w:color="auto"/>
              <w:right w:val="single" w:sz="4" w:space="0" w:color="auto"/>
            </w:tcBorders>
            <w:vAlign w:val="center"/>
          </w:tcPr>
          <w:p w:rsidR="00322383" w:rsidRPr="00302D14" w:rsidRDefault="005918B2" w:rsidP="00220337">
            <w:pPr>
              <w:snapToGrid w:val="0"/>
              <w:jc w:val="center"/>
              <w:rPr>
                <w:color w:val="000000"/>
                <w:sz w:val="18"/>
                <w:szCs w:val="18"/>
              </w:rPr>
            </w:pPr>
            <w:r>
              <w:rPr>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vAlign w:val="center"/>
          </w:tcPr>
          <w:p w:rsidR="00322383" w:rsidRPr="00302D14" w:rsidRDefault="00CB0AA2" w:rsidP="003E41E4">
            <w:pPr>
              <w:snapToGrid w:val="0"/>
              <w:jc w:val="center"/>
              <w:rPr>
                <w:color w:val="000000"/>
                <w:sz w:val="18"/>
                <w:szCs w:val="18"/>
              </w:rPr>
            </w:pPr>
            <w:r>
              <w:rPr>
                <w:color w:val="000000"/>
                <w:sz w:val="18"/>
                <w:szCs w:val="18"/>
              </w:rPr>
              <w:t>31</w:t>
            </w:r>
          </w:p>
        </w:tc>
        <w:tc>
          <w:tcPr>
            <w:tcW w:w="1134" w:type="dxa"/>
            <w:tcBorders>
              <w:top w:val="single" w:sz="4" w:space="0" w:color="auto"/>
              <w:left w:val="single" w:sz="4" w:space="0" w:color="auto"/>
              <w:bottom w:val="single" w:sz="4" w:space="0" w:color="auto"/>
              <w:right w:val="single" w:sz="4" w:space="0" w:color="000000"/>
            </w:tcBorders>
            <w:vAlign w:val="center"/>
          </w:tcPr>
          <w:p w:rsidR="00322383" w:rsidRPr="00302D14" w:rsidRDefault="005918B2" w:rsidP="001364A2">
            <w:pPr>
              <w:snapToGrid w:val="0"/>
              <w:jc w:val="center"/>
              <w:rPr>
                <w:color w:val="000000"/>
                <w:sz w:val="18"/>
                <w:szCs w:val="18"/>
              </w:rPr>
            </w:pPr>
            <w:r>
              <w:rPr>
                <w:color w:val="000000"/>
                <w:sz w:val="18"/>
                <w:szCs w:val="18"/>
              </w:rPr>
              <w:t>13,2%</w:t>
            </w:r>
          </w:p>
        </w:tc>
      </w:tr>
      <w:tr w:rsidR="00322383" w:rsidRPr="004625D6" w:rsidTr="00283A47">
        <w:trPr>
          <w:trHeight w:val="489"/>
        </w:trPr>
        <w:tc>
          <w:tcPr>
            <w:tcW w:w="426" w:type="dxa"/>
            <w:tcBorders>
              <w:top w:val="single" w:sz="4" w:space="0" w:color="auto"/>
              <w:left w:val="single" w:sz="4" w:space="0" w:color="000000"/>
              <w:bottom w:val="single" w:sz="4" w:space="0" w:color="auto"/>
            </w:tcBorders>
            <w:vAlign w:val="center"/>
          </w:tcPr>
          <w:p w:rsidR="00322383" w:rsidRPr="004625D6" w:rsidRDefault="006D2431" w:rsidP="00207B08">
            <w:pPr>
              <w:spacing w:line="23" w:lineRule="atLeast"/>
              <w:jc w:val="center"/>
              <w:rPr>
                <w:sz w:val="18"/>
                <w:szCs w:val="20"/>
              </w:rPr>
            </w:pPr>
            <w:r>
              <w:rPr>
                <w:sz w:val="18"/>
                <w:szCs w:val="20"/>
              </w:rPr>
              <w:t>5</w:t>
            </w:r>
          </w:p>
        </w:tc>
        <w:tc>
          <w:tcPr>
            <w:tcW w:w="3969" w:type="dxa"/>
            <w:tcBorders>
              <w:top w:val="single" w:sz="4" w:space="0" w:color="auto"/>
              <w:left w:val="single" w:sz="4" w:space="0" w:color="000000"/>
              <w:bottom w:val="single" w:sz="4" w:space="0" w:color="auto"/>
            </w:tcBorders>
            <w:vAlign w:val="center"/>
          </w:tcPr>
          <w:p w:rsidR="00283A47" w:rsidRPr="005E67BF" w:rsidRDefault="00322383" w:rsidP="003E41E4">
            <w:pPr>
              <w:rPr>
                <w:sz w:val="20"/>
                <w:szCs w:val="20"/>
              </w:rPr>
            </w:pPr>
            <w:r w:rsidRPr="005E67BF">
              <w:rPr>
                <w:sz w:val="20"/>
                <w:szCs w:val="20"/>
              </w:rPr>
              <w:t xml:space="preserve">Закупка у единственного поставщика </w:t>
            </w:r>
            <w:r w:rsidRPr="005E67BF">
              <w:rPr>
                <w:b/>
                <w:sz w:val="20"/>
                <w:szCs w:val="20"/>
              </w:rPr>
              <w:t>(п.</w:t>
            </w:r>
            <w:r w:rsidR="003E41E4">
              <w:rPr>
                <w:b/>
                <w:sz w:val="20"/>
                <w:szCs w:val="20"/>
              </w:rPr>
              <w:t>22</w:t>
            </w:r>
            <w:r w:rsidRPr="005E67BF">
              <w:rPr>
                <w:b/>
                <w:sz w:val="20"/>
                <w:szCs w:val="20"/>
              </w:rPr>
              <w:t xml:space="preserve"> ч.1 статья 93)</w:t>
            </w:r>
          </w:p>
        </w:tc>
        <w:tc>
          <w:tcPr>
            <w:tcW w:w="1417" w:type="dxa"/>
            <w:tcBorders>
              <w:top w:val="single" w:sz="4" w:space="0" w:color="auto"/>
              <w:left w:val="single" w:sz="4" w:space="0" w:color="000000"/>
              <w:bottom w:val="single" w:sz="4" w:space="0" w:color="auto"/>
            </w:tcBorders>
            <w:vAlign w:val="center"/>
          </w:tcPr>
          <w:p w:rsidR="00322383" w:rsidRPr="00302D14" w:rsidRDefault="00CB0AA2" w:rsidP="003E41E4">
            <w:pPr>
              <w:jc w:val="center"/>
              <w:rPr>
                <w:color w:val="000000"/>
                <w:sz w:val="18"/>
                <w:szCs w:val="18"/>
              </w:rPr>
            </w:pPr>
            <w:r>
              <w:rPr>
                <w:color w:val="000000"/>
                <w:sz w:val="18"/>
                <w:szCs w:val="18"/>
              </w:rPr>
              <w:t>2 078,7</w:t>
            </w:r>
          </w:p>
        </w:tc>
        <w:tc>
          <w:tcPr>
            <w:tcW w:w="1134" w:type="dxa"/>
            <w:tcBorders>
              <w:top w:val="single" w:sz="4" w:space="0" w:color="auto"/>
              <w:left w:val="single" w:sz="4" w:space="0" w:color="000000"/>
              <w:bottom w:val="single" w:sz="4" w:space="0" w:color="auto"/>
              <w:right w:val="single" w:sz="4" w:space="0" w:color="auto"/>
            </w:tcBorders>
            <w:vAlign w:val="center"/>
          </w:tcPr>
          <w:p w:rsidR="00322383" w:rsidRPr="00302D14" w:rsidRDefault="005918B2" w:rsidP="00220337">
            <w:pPr>
              <w:snapToGrid w:val="0"/>
              <w:jc w:val="center"/>
              <w:rPr>
                <w:color w:val="000000"/>
                <w:sz w:val="18"/>
                <w:szCs w:val="18"/>
              </w:rPr>
            </w:pPr>
            <w:r>
              <w:rPr>
                <w:color w:val="000000"/>
                <w:sz w:val="18"/>
                <w:szCs w:val="18"/>
              </w:rPr>
              <w:t>0,2%</w:t>
            </w:r>
          </w:p>
        </w:tc>
        <w:tc>
          <w:tcPr>
            <w:tcW w:w="1276" w:type="dxa"/>
            <w:tcBorders>
              <w:top w:val="single" w:sz="4" w:space="0" w:color="auto"/>
              <w:left w:val="single" w:sz="4" w:space="0" w:color="auto"/>
              <w:bottom w:val="single" w:sz="4" w:space="0" w:color="auto"/>
              <w:right w:val="single" w:sz="4" w:space="0" w:color="auto"/>
            </w:tcBorders>
            <w:vAlign w:val="center"/>
          </w:tcPr>
          <w:p w:rsidR="00322383" w:rsidRPr="00302D14" w:rsidRDefault="00CB0AA2" w:rsidP="003E41E4">
            <w:pPr>
              <w:snapToGrid w:val="0"/>
              <w:jc w:val="center"/>
              <w:rPr>
                <w:color w:val="000000"/>
                <w:sz w:val="18"/>
                <w:szCs w:val="18"/>
              </w:rPr>
            </w:pPr>
            <w:r>
              <w:rPr>
                <w:color w:val="000000"/>
                <w:sz w:val="18"/>
                <w:szCs w:val="18"/>
              </w:rPr>
              <w:t>17</w:t>
            </w:r>
          </w:p>
        </w:tc>
        <w:tc>
          <w:tcPr>
            <w:tcW w:w="1134" w:type="dxa"/>
            <w:tcBorders>
              <w:top w:val="single" w:sz="4" w:space="0" w:color="auto"/>
              <w:left w:val="single" w:sz="4" w:space="0" w:color="auto"/>
              <w:bottom w:val="single" w:sz="4" w:space="0" w:color="auto"/>
              <w:right w:val="single" w:sz="4" w:space="0" w:color="000000"/>
            </w:tcBorders>
            <w:vAlign w:val="center"/>
          </w:tcPr>
          <w:p w:rsidR="00322383" w:rsidRPr="00302D14" w:rsidRDefault="005918B2" w:rsidP="001364A2">
            <w:pPr>
              <w:snapToGrid w:val="0"/>
              <w:jc w:val="center"/>
              <w:rPr>
                <w:color w:val="000000"/>
                <w:sz w:val="18"/>
                <w:szCs w:val="18"/>
              </w:rPr>
            </w:pPr>
            <w:r>
              <w:rPr>
                <w:color w:val="000000"/>
                <w:sz w:val="18"/>
                <w:szCs w:val="18"/>
              </w:rPr>
              <w:t>7,2%</w:t>
            </w:r>
          </w:p>
        </w:tc>
      </w:tr>
      <w:tr w:rsidR="00283A47" w:rsidRPr="004625D6" w:rsidTr="00912D05">
        <w:trPr>
          <w:trHeight w:val="417"/>
        </w:trPr>
        <w:tc>
          <w:tcPr>
            <w:tcW w:w="426" w:type="dxa"/>
            <w:tcBorders>
              <w:top w:val="single" w:sz="4" w:space="0" w:color="auto"/>
              <w:left w:val="single" w:sz="4" w:space="0" w:color="000000"/>
              <w:bottom w:val="single" w:sz="4" w:space="0" w:color="auto"/>
            </w:tcBorders>
            <w:vAlign w:val="center"/>
          </w:tcPr>
          <w:p w:rsidR="00283A47" w:rsidRDefault="006D2431" w:rsidP="00207B08">
            <w:pPr>
              <w:spacing w:line="23" w:lineRule="atLeast"/>
              <w:jc w:val="center"/>
              <w:rPr>
                <w:sz w:val="18"/>
                <w:szCs w:val="20"/>
              </w:rPr>
            </w:pPr>
            <w:r>
              <w:rPr>
                <w:sz w:val="18"/>
                <w:szCs w:val="20"/>
              </w:rPr>
              <w:t>6</w:t>
            </w:r>
          </w:p>
        </w:tc>
        <w:tc>
          <w:tcPr>
            <w:tcW w:w="3969" w:type="dxa"/>
            <w:tcBorders>
              <w:top w:val="single" w:sz="4" w:space="0" w:color="auto"/>
              <w:left w:val="single" w:sz="4" w:space="0" w:color="000000"/>
              <w:bottom w:val="single" w:sz="4" w:space="0" w:color="auto"/>
            </w:tcBorders>
            <w:vAlign w:val="center"/>
          </w:tcPr>
          <w:p w:rsidR="00283A47" w:rsidRPr="005E67BF" w:rsidRDefault="00283A47" w:rsidP="00283A47">
            <w:pPr>
              <w:rPr>
                <w:sz w:val="20"/>
                <w:szCs w:val="20"/>
              </w:rPr>
            </w:pPr>
            <w:r w:rsidRPr="005E67BF">
              <w:rPr>
                <w:sz w:val="20"/>
                <w:szCs w:val="20"/>
              </w:rPr>
              <w:t xml:space="preserve">Закупка у единственного поставщика </w:t>
            </w:r>
            <w:r w:rsidRPr="005E67BF">
              <w:rPr>
                <w:b/>
                <w:sz w:val="20"/>
                <w:szCs w:val="20"/>
              </w:rPr>
              <w:t>(п.</w:t>
            </w:r>
            <w:r>
              <w:rPr>
                <w:b/>
                <w:sz w:val="20"/>
                <w:szCs w:val="20"/>
              </w:rPr>
              <w:t>23</w:t>
            </w:r>
            <w:r w:rsidRPr="005E67BF">
              <w:rPr>
                <w:b/>
                <w:sz w:val="20"/>
                <w:szCs w:val="20"/>
              </w:rPr>
              <w:t xml:space="preserve"> ч.1 статья 93)</w:t>
            </w:r>
          </w:p>
        </w:tc>
        <w:tc>
          <w:tcPr>
            <w:tcW w:w="1417" w:type="dxa"/>
            <w:tcBorders>
              <w:top w:val="single" w:sz="4" w:space="0" w:color="auto"/>
              <w:left w:val="single" w:sz="4" w:space="0" w:color="000000"/>
              <w:bottom w:val="single" w:sz="4" w:space="0" w:color="auto"/>
            </w:tcBorders>
            <w:vAlign w:val="center"/>
          </w:tcPr>
          <w:p w:rsidR="00283A47" w:rsidRPr="00302D14" w:rsidRDefault="00CB0AA2" w:rsidP="003E41E4">
            <w:pPr>
              <w:jc w:val="center"/>
              <w:rPr>
                <w:color w:val="000000"/>
                <w:sz w:val="18"/>
                <w:szCs w:val="18"/>
              </w:rPr>
            </w:pPr>
            <w:r>
              <w:rPr>
                <w:color w:val="000000"/>
                <w:sz w:val="18"/>
                <w:szCs w:val="18"/>
              </w:rPr>
              <w:t>126,3</w:t>
            </w:r>
          </w:p>
        </w:tc>
        <w:tc>
          <w:tcPr>
            <w:tcW w:w="1134" w:type="dxa"/>
            <w:tcBorders>
              <w:top w:val="single" w:sz="4" w:space="0" w:color="auto"/>
              <w:left w:val="single" w:sz="4" w:space="0" w:color="000000"/>
              <w:bottom w:val="single" w:sz="4" w:space="0" w:color="auto"/>
              <w:right w:val="single" w:sz="4" w:space="0" w:color="auto"/>
            </w:tcBorders>
            <w:vAlign w:val="center"/>
          </w:tcPr>
          <w:p w:rsidR="00283A47" w:rsidRPr="00302D14" w:rsidRDefault="005918B2" w:rsidP="00220337">
            <w:pPr>
              <w:snapToGrid w:val="0"/>
              <w:jc w:val="center"/>
              <w:rPr>
                <w:color w:val="000000"/>
                <w:sz w:val="18"/>
                <w:szCs w:val="18"/>
              </w:rPr>
            </w:pPr>
            <w:r>
              <w:rPr>
                <w:color w:val="000000"/>
                <w:sz w:val="18"/>
                <w:szCs w:val="18"/>
              </w:rPr>
              <w:t>0,01%</w:t>
            </w:r>
          </w:p>
        </w:tc>
        <w:tc>
          <w:tcPr>
            <w:tcW w:w="1276" w:type="dxa"/>
            <w:tcBorders>
              <w:top w:val="single" w:sz="4" w:space="0" w:color="auto"/>
              <w:left w:val="single" w:sz="4" w:space="0" w:color="auto"/>
              <w:bottom w:val="single" w:sz="4" w:space="0" w:color="auto"/>
              <w:right w:val="single" w:sz="4" w:space="0" w:color="auto"/>
            </w:tcBorders>
            <w:vAlign w:val="center"/>
          </w:tcPr>
          <w:p w:rsidR="00283A47" w:rsidRPr="00302D14" w:rsidRDefault="00CB0AA2" w:rsidP="003E41E4">
            <w:pPr>
              <w:snapToGrid w:val="0"/>
              <w:jc w:val="center"/>
              <w:rPr>
                <w:color w:val="000000"/>
                <w:sz w:val="18"/>
                <w:szCs w:val="18"/>
              </w:rPr>
            </w:pPr>
            <w:r>
              <w:rPr>
                <w:color w:val="000000"/>
                <w:sz w:val="18"/>
                <w:szCs w:val="18"/>
              </w:rPr>
              <w:t>2</w:t>
            </w:r>
          </w:p>
        </w:tc>
        <w:tc>
          <w:tcPr>
            <w:tcW w:w="1134" w:type="dxa"/>
            <w:tcBorders>
              <w:top w:val="single" w:sz="4" w:space="0" w:color="auto"/>
              <w:left w:val="single" w:sz="4" w:space="0" w:color="auto"/>
              <w:bottom w:val="single" w:sz="4" w:space="0" w:color="auto"/>
              <w:right w:val="single" w:sz="4" w:space="0" w:color="000000"/>
            </w:tcBorders>
            <w:vAlign w:val="center"/>
          </w:tcPr>
          <w:p w:rsidR="00283A47" w:rsidRPr="00302D14" w:rsidRDefault="005918B2" w:rsidP="001364A2">
            <w:pPr>
              <w:snapToGrid w:val="0"/>
              <w:jc w:val="center"/>
              <w:rPr>
                <w:color w:val="000000"/>
                <w:sz w:val="18"/>
                <w:szCs w:val="18"/>
              </w:rPr>
            </w:pPr>
            <w:r>
              <w:rPr>
                <w:color w:val="000000"/>
                <w:sz w:val="18"/>
                <w:szCs w:val="18"/>
              </w:rPr>
              <w:t>0,9%</w:t>
            </w:r>
          </w:p>
        </w:tc>
      </w:tr>
      <w:tr w:rsidR="00322383" w:rsidRPr="004625D6" w:rsidTr="00912D05">
        <w:trPr>
          <w:trHeight w:val="448"/>
        </w:trPr>
        <w:tc>
          <w:tcPr>
            <w:tcW w:w="426" w:type="dxa"/>
            <w:tcBorders>
              <w:top w:val="single" w:sz="4" w:space="0" w:color="auto"/>
              <w:left w:val="single" w:sz="4" w:space="0" w:color="000000"/>
              <w:bottom w:val="single" w:sz="4" w:space="0" w:color="auto"/>
            </w:tcBorders>
            <w:vAlign w:val="center"/>
          </w:tcPr>
          <w:p w:rsidR="00322383" w:rsidRDefault="006D2431" w:rsidP="00207B08">
            <w:pPr>
              <w:spacing w:line="23" w:lineRule="atLeast"/>
              <w:jc w:val="center"/>
              <w:rPr>
                <w:sz w:val="18"/>
                <w:szCs w:val="20"/>
              </w:rPr>
            </w:pPr>
            <w:r>
              <w:rPr>
                <w:sz w:val="18"/>
                <w:szCs w:val="20"/>
              </w:rPr>
              <w:t>7</w:t>
            </w:r>
          </w:p>
        </w:tc>
        <w:tc>
          <w:tcPr>
            <w:tcW w:w="3969" w:type="dxa"/>
            <w:tcBorders>
              <w:top w:val="single" w:sz="4" w:space="0" w:color="auto"/>
              <w:left w:val="single" w:sz="4" w:space="0" w:color="000000"/>
              <w:bottom w:val="single" w:sz="4" w:space="0" w:color="auto"/>
            </w:tcBorders>
            <w:vAlign w:val="center"/>
          </w:tcPr>
          <w:p w:rsidR="00207B08" w:rsidRPr="005E67BF" w:rsidRDefault="00322383" w:rsidP="00AB0BEA">
            <w:pPr>
              <w:rPr>
                <w:sz w:val="20"/>
                <w:szCs w:val="20"/>
              </w:rPr>
            </w:pPr>
            <w:r w:rsidRPr="005E67BF">
              <w:rPr>
                <w:sz w:val="20"/>
                <w:szCs w:val="20"/>
              </w:rPr>
              <w:t xml:space="preserve">Закупка у единственного поставщика </w:t>
            </w:r>
            <w:r w:rsidRPr="005E67BF">
              <w:rPr>
                <w:b/>
                <w:sz w:val="20"/>
                <w:szCs w:val="20"/>
              </w:rPr>
              <w:t>(п.</w:t>
            </w:r>
            <w:r>
              <w:rPr>
                <w:b/>
                <w:sz w:val="20"/>
                <w:szCs w:val="20"/>
              </w:rPr>
              <w:t>2</w:t>
            </w:r>
            <w:r w:rsidR="00AB0BEA">
              <w:rPr>
                <w:b/>
                <w:sz w:val="20"/>
                <w:szCs w:val="20"/>
              </w:rPr>
              <w:t>9</w:t>
            </w:r>
            <w:r w:rsidRPr="005E67BF">
              <w:rPr>
                <w:b/>
                <w:sz w:val="20"/>
                <w:szCs w:val="20"/>
              </w:rPr>
              <w:t xml:space="preserve"> ч.1 статья 93)</w:t>
            </w:r>
          </w:p>
        </w:tc>
        <w:tc>
          <w:tcPr>
            <w:tcW w:w="1417" w:type="dxa"/>
            <w:tcBorders>
              <w:top w:val="single" w:sz="4" w:space="0" w:color="auto"/>
              <w:left w:val="single" w:sz="4" w:space="0" w:color="000000"/>
              <w:bottom w:val="single" w:sz="4" w:space="0" w:color="auto"/>
            </w:tcBorders>
            <w:vAlign w:val="center"/>
          </w:tcPr>
          <w:p w:rsidR="00322383" w:rsidRPr="00302D14" w:rsidRDefault="00CB0AA2" w:rsidP="003E41E4">
            <w:pPr>
              <w:jc w:val="center"/>
              <w:rPr>
                <w:color w:val="000000"/>
                <w:sz w:val="18"/>
                <w:szCs w:val="18"/>
              </w:rPr>
            </w:pPr>
            <w:r>
              <w:rPr>
                <w:color w:val="000000"/>
                <w:sz w:val="18"/>
                <w:szCs w:val="18"/>
              </w:rPr>
              <w:t>26 325,2</w:t>
            </w:r>
          </w:p>
        </w:tc>
        <w:tc>
          <w:tcPr>
            <w:tcW w:w="1134" w:type="dxa"/>
            <w:tcBorders>
              <w:top w:val="single" w:sz="4" w:space="0" w:color="auto"/>
              <w:left w:val="single" w:sz="4" w:space="0" w:color="000000"/>
              <w:bottom w:val="single" w:sz="4" w:space="0" w:color="auto"/>
              <w:right w:val="single" w:sz="4" w:space="0" w:color="auto"/>
            </w:tcBorders>
            <w:vAlign w:val="center"/>
          </w:tcPr>
          <w:p w:rsidR="00322383" w:rsidRPr="00302D14" w:rsidRDefault="005918B2" w:rsidP="00220337">
            <w:pPr>
              <w:snapToGrid w:val="0"/>
              <w:jc w:val="center"/>
              <w:rPr>
                <w:color w:val="000000"/>
                <w:sz w:val="18"/>
                <w:szCs w:val="18"/>
              </w:rPr>
            </w:pPr>
            <w:r>
              <w:rPr>
                <w:color w:val="000000"/>
                <w:sz w:val="18"/>
                <w:szCs w:val="18"/>
              </w:rPr>
              <w:t>2,9%</w:t>
            </w:r>
          </w:p>
        </w:tc>
        <w:tc>
          <w:tcPr>
            <w:tcW w:w="1276" w:type="dxa"/>
            <w:tcBorders>
              <w:top w:val="single" w:sz="4" w:space="0" w:color="auto"/>
              <w:left w:val="single" w:sz="4" w:space="0" w:color="auto"/>
              <w:bottom w:val="single" w:sz="4" w:space="0" w:color="auto"/>
              <w:right w:val="single" w:sz="4" w:space="0" w:color="auto"/>
            </w:tcBorders>
            <w:vAlign w:val="center"/>
          </w:tcPr>
          <w:p w:rsidR="00322383" w:rsidRPr="00302D14" w:rsidRDefault="00CB0AA2" w:rsidP="003E41E4">
            <w:pPr>
              <w:snapToGrid w:val="0"/>
              <w:jc w:val="center"/>
              <w:rPr>
                <w:color w:val="000000"/>
                <w:sz w:val="18"/>
                <w:szCs w:val="18"/>
              </w:rPr>
            </w:pPr>
            <w:r>
              <w:rPr>
                <w:color w:val="000000"/>
                <w:sz w:val="18"/>
                <w:szCs w:val="18"/>
              </w:rPr>
              <w:t>13</w:t>
            </w:r>
          </w:p>
        </w:tc>
        <w:tc>
          <w:tcPr>
            <w:tcW w:w="1134" w:type="dxa"/>
            <w:tcBorders>
              <w:top w:val="single" w:sz="4" w:space="0" w:color="auto"/>
              <w:left w:val="single" w:sz="4" w:space="0" w:color="auto"/>
              <w:bottom w:val="single" w:sz="4" w:space="0" w:color="auto"/>
              <w:right w:val="single" w:sz="4" w:space="0" w:color="000000"/>
            </w:tcBorders>
            <w:vAlign w:val="center"/>
          </w:tcPr>
          <w:p w:rsidR="00322383" w:rsidRPr="00302D14" w:rsidRDefault="005918B2" w:rsidP="001364A2">
            <w:pPr>
              <w:snapToGrid w:val="0"/>
              <w:jc w:val="center"/>
              <w:rPr>
                <w:color w:val="000000"/>
                <w:sz w:val="18"/>
                <w:szCs w:val="18"/>
              </w:rPr>
            </w:pPr>
            <w:r>
              <w:rPr>
                <w:color w:val="000000"/>
                <w:sz w:val="18"/>
                <w:szCs w:val="18"/>
              </w:rPr>
              <w:t>5,5%</w:t>
            </w:r>
          </w:p>
        </w:tc>
      </w:tr>
      <w:tr w:rsidR="00207B08" w:rsidRPr="0058458B" w:rsidTr="00640994">
        <w:trPr>
          <w:trHeight w:val="231"/>
        </w:trPr>
        <w:tc>
          <w:tcPr>
            <w:tcW w:w="426" w:type="dxa"/>
            <w:tcBorders>
              <w:top w:val="single" w:sz="4" w:space="0" w:color="auto"/>
              <w:left w:val="single" w:sz="4" w:space="0" w:color="000000"/>
              <w:bottom w:val="single" w:sz="4" w:space="0" w:color="auto"/>
            </w:tcBorders>
            <w:shd w:val="clear" w:color="auto" w:fill="EEECE1" w:themeFill="background2"/>
            <w:vAlign w:val="center"/>
          </w:tcPr>
          <w:p w:rsidR="00207B08" w:rsidRPr="00207B08" w:rsidRDefault="00207B08" w:rsidP="00207B08">
            <w:pPr>
              <w:rPr>
                <w:b/>
                <w:sz w:val="20"/>
                <w:szCs w:val="20"/>
              </w:rPr>
            </w:pPr>
          </w:p>
        </w:tc>
        <w:tc>
          <w:tcPr>
            <w:tcW w:w="3969" w:type="dxa"/>
            <w:tcBorders>
              <w:top w:val="single" w:sz="4" w:space="0" w:color="auto"/>
              <w:left w:val="single" w:sz="4" w:space="0" w:color="000000"/>
              <w:bottom w:val="single" w:sz="4" w:space="0" w:color="auto"/>
            </w:tcBorders>
            <w:shd w:val="clear" w:color="auto" w:fill="EEECE1" w:themeFill="background2"/>
            <w:vAlign w:val="center"/>
          </w:tcPr>
          <w:p w:rsidR="00156131" w:rsidRPr="0083215F" w:rsidRDefault="00207B08" w:rsidP="00C13170">
            <w:pPr>
              <w:jc w:val="center"/>
              <w:rPr>
                <w:b/>
                <w:i/>
                <w:sz w:val="20"/>
                <w:szCs w:val="20"/>
              </w:rPr>
            </w:pPr>
            <w:r w:rsidRPr="0083215F">
              <w:rPr>
                <w:b/>
                <w:i/>
                <w:sz w:val="20"/>
                <w:szCs w:val="20"/>
              </w:rPr>
              <w:t>И</w:t>
            </w:r>
            <w:r w:rsidR="00156131" w:rsidRPr="0083215F">
              <w:rPr>
                <w:b/>
                <w:i/>
                <w:sz w:val="20"/>
                <w:szCs w:val="20"/>
              </w:rPr>
              <w:t xml:space="preserve">того </w:t>
            </w:r>
            <w:r w:rsidR="0083215F" w:rsidRPr="0083215F">
              <w:rPr>
                <w:b/>
                <w:i/>
                <w:sz w:val="20"/>
                <w:szCs w:val="20"/>
              </w:rPr>
              <w:t>по остальным пунктам части 1ст.93</w:t>
            </w:r>
          </w:p>
        </w:tc>
        <w:tc>
          <w:tcPr>
            <w:tcW w:w="1417" w:type="dxa"/>
            <w:tcBorders>
              <w:top w:val="single" w:sz="4" w:space="0" w:color="auto"/>
              <w:left w:val="single" w:sz="4" w:space="0" w:color="000000"/>
              <w:bottom w:val="single" w:sz="4" w:space="0" w:color="auto"/>
            </w:tcBorders>
            <w:shd w:val="clear" w:color="auto" w:fill="EEECE1" w:themeFill="background2"/>
            <w:vAlign w:val="center"/>
          </w:tcPr>
          <w:p w:rsidR="00207B08" w:rsidRPr="0083215F" w:rsidRDefault="00CB0AA2" w:rsidP="00225155">
            <w:pPr>
              <w:jc w:val="center"/>
              <w:rPr>
                <w:b/>
                <w:i/>
                <w:sz w:val="20"/>
                <w:szCs w:val="20"/>
              </w:rPr>
            </w:pPr>
            <w:r>
              <w:rPr>
                <w:b/>
                <w:i/>
                <w:sz w:val="20"/>
                <w:szCs w:val="20"/>
              </w:rPr>
              <w:t>356 463,</w:t>
            </w:r>
            <w:r w:rsidR="00225155">
              <w:rPr>
                <w:b/>
                <w:i/>
                <w:sz w:val="20"/>
                <w:szCs w:val="20"/>
              </w:rPr>
              <w:t>4</w:t>
            </w:r>
          </w:p>
        </w:tc>
        <w:tc>
          <w:tcPr>
            <w:tcW w:w="1134"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207B08" w:rsidRPr="0083215F" w:rsidRDefault="005918B2" w:rsidP="005918B2">
            <w:pPr>
              <w:snapToGrid w:val="0"/>
              <w:jc w:val="center"/>
              <w:rPr>
                <w:b/>
                <w:i/>
                <w:sz w:val="20"/>
                <w:szCs w:val="20"/>
              </w:rPr>
            </w:pPr>
            <w:r>
              <w:rPr>
                <w:b/>
                <w:i/>
                <w:sz w:val="20"/>
                <w:szCs w:val="20"/>
              </w:rPr>
              <w:t>38,8%</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07B08" w:rsidRPr="0083215F" w:rsidRDefault="00CB0AA2" w:rsidP="0058458B">
            <w:pPr>
              <w:snapToGrid w:val="0"/>
              <w:jc w:val="center"/>
              <w:rPr>
                <w:b/>
                <w:i/>
                <w:sz w:val="20"/>
                <w:szCs w:val="20"/>
              </w:rPr>
            </w:pPr>
            <w:r>
              <w:rPr>
                <w:b/>
                <w:i/>
                <w:sz w:val="20"/>
                <w:szCs w:val="20"/>
              </w:rPr>
              <w:t>87</w:t>
            </w:r>
          </w:p>
        </w:tc>
        <w:tc>
          <w:tcPr>
            <w:tcW w:w="1134" w:type="dxa"/>
            <w:tcBorders>
              <w:top w:val="single" w:sz="4" w:space="0" w:color="auto"/>
              <w:left w:val="single" w:sz="4" w:space="0" w:color="auto"/>
              <w:bottom w:val="single" w:sz="4" w:space="0" w:color="auto"/>
              <w:right w:val="single" w:sz="4" w:space="0" w:color="000000"/>
            </w:tcBorders>
            <w:shd w:val="clear" w:color="auto" w:fill="EEECE1" w:themeFill="background2"/>
            <w:vAlign w:val="center"/>
          </w:tcPr>
          <w:p w:rsidR="00207B08" w:rsidRPr="0083215F" w:rsidRDefault="005918B2" w:rsidP="00C666BD">
            <w:pPr>
              <w:snapToGrid w:val="0"/>
              <w:jc w:val="center"/>
              <w:rPr>
                <w:b/>
                <w:i/>
                <w:sz w:val="20"/>
                <w:szCs w:val="20"/>
              </w:rPr>
            </w:pPr>
            <w:r>
              <w:rPr>
                <w:b/>
                <w:i/>
                <w:sz w:val="20"/>
                <w:szCs w:val="20"/>
              </w:rPr>
              <w:t>37,0%</w:t>
            </w:r>
          </w:p>
        </w:tc>
      </w:tr>
      <w:tr w:rsidR="00684568" w:rsidRPr="0058458B" w:rsidTr="00640994">
        <w:trPr>
          <w:trHeight w:val="421"/>
        </w:trPr>
        <w:tc>
          <w:tcPr>
            <w:tcW w:w="426" w:type="dxa"/>
            <w:tcBorders>
              <w:top w:val="single" w:sz="4" w:space="0" w:color="auto"/>
              <w:left w:val="single" w:sz="4" w:space="0" w:color="000000"/>
              <w:bottom w:val="single" w:sz="4" w:space="0" w:color="auto"/>
            </w:tcBorders>
            <w:shd w:val="clear" w:color="auto" w:fill="EEECE1" w:themeFill="background2"/>
            <w:vAlign w:val="center"/>
          </w:tcPr>
          <w:p w:rsidR="00684568" w:rsidRPr="00207B08" w:rsidRDefault="00684568" w:rsidP="00207B08">
            <w:pPr>
              <w:rPr>
                <w:b/>
                <w:sz w:val="20"/>
                <w:szCs w:val="20"/>
              </w:rPr>
            </w:pPr>
          </w:p>
        </w:tc>
        <w:tc>
          <w:tcPr>
            <w:tcW w:w="3969" w:type="dxa"/>
            <w:tcBorders>
              <w:top w:val="single" w:sz="4" w:space="0" w:color="auto"/>
              <w:left w:val="single" w:sz="4" w:space="0" w:color="000000"/>
              <w:bottom w:val="single" w:sz="4" w:space="0" w:color="auto"/>
            </w:tcBorders>
            <w:shd w:val="clear" w:color="auto" w:fill="EEECE1" w:themeFill="background2"/>
            <w:vAlign w:val="center"/>
          </w:tcPr>
          <w:p w:rsidR="00684568" w:rsidRPr="00207B08" w:rsidRDefault="00684568" w:rsidP="0083215F">
            <w:pPr>
              <w:jc w:val="center"/>
              <w:rPr>
                <w:b/>
                <w:sz w:val="20"/>
                <w:szCs w:val="20"/>
              </w:rPr>
            </w:pPr>
            <w:r>
              <w:rPr>
                <w:b/>
                <w:sz w:val="20"/>
                <w:szCs w:val="20"/>
              </w:rPr>
              <w:t>ИТОГО:</w:t>
            </w:r>
          </w:p>
        </w:tc>
        <w:tc>
          <w:tcPr>
            <w:tcW w:w="1417" w:type="dxa"/>
            <w:tcBorders>
              <w:top w:val="single" w:sz="4" w:space="0" w:color="auto"/>
              <w:left w:val="single" w:sz="4" w:space="0" w:color="000000"/>
              <w:bottom w:val="single" w:sz="4" w:space="0" w:color="auto"/>
            </w:tcBorders>
            <w:shd w:val="clear" w:color="auto" w:fill="EEECE1" w:themeFill="background2"/>
            <w:vAlign w:val="center"/>
          </w:tcPr>
          <w:p w:rsidR="00684568" w:rsidRPr="00C666BD" w:rsidRDefault="00EA0800" w:rsidP="00225155">
            <w:pPr>
              <w:spacing w:line="23" w:lineRule="atLeast"/>
              <w:jc w:val="center"/>
              <w:rPr>
                <w:b/>
                <w:color w:val="000000"/>
                <w:sz w:val="20"/>
                <w:szCs w:val="20"/>
              </w:rPr>
            </w:pPr>
            <w:r>
              <w:rPr>
                <w:b/>
                <w:color w:val="000000"/>
                <w:sz w:val="20"/>
                <w:szCs w:val="20"/>
              </w:rPr>
              <w:t>792 006,</w:t>
            </w:r>
            <w:r w:rsidR="00225155">
              <w:rPr>
                <w:b/>
                <w:color w:val="000000"/>
                <w:sz w:val="20"/>
                <w:szCs w:val="20"/>
              </w:rPr>
              <w:t>9</w:t>
            </w:r>
          </w:p>
        </w:tc>
        <w:tc>
          <w:tcPr>
            <w:tcW w:w="1134"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684568" w:rsidRPr="00C666BD" w:rsidRDefault="005918B2" w:rsidP="00B51A73">
            <w:pPr>
              <w:jc w:val="center"/>
              <w:rPr>
                <w:b/>
                <w:sz w:val="20"/>
                <w:szCs w:val="20"/>
              </w:rPr>
            </w:pPr>
            <w:r>
              <w:rPr>
                <w:b/>
                <w:sz w:val="20"/>
                <w:szCs w:val="20"/>
              </w:rPr>
              <w:t>86,1%</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684568" w:rsidRPr="0058458B" w:rsidRDefault="00EA0800" w:rsidP="0058458B">
            <w:pPr>
              <w:snapToGrid w:val="0"/>
              <w:jc w:val="center"/>
              <w:rPr>
                <w:b/>
                <w:sz w:val="20"/>
                <w:szCs w:val="20"/>
              </w:rPr>
            </w:pPr>
            <w:r>
              <w:rPr>
                <w:b/>
                <w:sz w:val="20"/>
                <w:szCs w:val="20"/>
              </w:rPr>
              <w:t>188</w:t>
            </w:r>
          </w:p>
        </w:tc>
        <w:tc>
          <w:tcPr>
            <w:tcW w:w="1134" w:type="dxa"/>
            <w:tcBorders>
              <w:top w:val="single" w:sz="4" w:space="0" w:color="auto"/>
              <w:left w:val="single" w:sz="4" w:space="0" w:color="auto"/>
              <w:bottom w:val="single" w:sz="4" w:space="0" w:color="auto"/>
              <w:right w:val="single" w:sz="4" w:space="0" w:color="000000"/>
            </w:tcBorders>
            <w:shd w:val="clear" w:color="auto" w:fill="EEECE1" w:themeFill="background2"/>
            <w:vAlign w:val="center"/>
          </w:tcPr>
          <w:p w:rsidR="00684568" w:rsidRDefault="005918B2" w:rsidP="00C666BD">
            <w:pPr>
              <w:snapToGrid w:val="0"/>
              <w:jc w:val="center"/>
              <w:rPr>
                <w:b/>
                <w:sz w:val="20"/>
                <w:szCs w:val="20"/>
              </w:rPr>
            </w:pPr>
            <w:r>
              <w:rPr>
                <w:b/>
                <w:sz w:val="20"/>
                <w:szCs w:val="20"/>
              </w:rPr>
              <w:t>80,0%</w:t>
            </w:r>
          </w:p>
        </w:tc>
      </w:tr>
      <w:tr w:rsidR="00684568" w:rsidRPr="00403B5C" w:rsidTr="00640994">
        <w:trPr>
          <w:trHeight w:val="413"/>
        </w:trPr>
        <w:tc>
          <w:tcPr>
            <w:tcW w:w="426" w:type="dxa"/>
            <w:tcBorders>
              <w:top w:val="single" w:sz="4" w:space="0" w:color="auto"/>
              <w:left w:val="single" w:sz="4" w:space="0" w:color="000000"/>
              <w:bottom w:val="single" w:sz="4" w:space="0" w:color="000000"/>
            </w:tcBorders>
            <w:shd w:val="clear" w:color="auto" w:fill="EEECE1" w:themeFill="background2"/>
            <w:vAlign w:val="center"/>
          </w:tcPr>
          <w:p w:rsidR="00684568" w:rsidRPr="004625D6" w:rsidRDefault="00684568" w:rsidP="00E673B9">
            <w:pPr>
              <w:spacing w:line="23" w:lineRule="atLeast"/>
              <w:jc w:val="center"/>
              <w:rPr>
                <w:sz w:val="18"/>
                <w:szCs w:val="20"/>
              </w:rPr>
            </w:pPr>
          </w:p>
        </w:tc>
        <w:tc>
          <w:tcPr>
            <w:tcW w:w="3969" w:type="dxa"/>
            <w:tcBorders>
              <w:top w:val="single" w:sz="4" w:space="0" w:color="auto"/>
              <w:left w:val="single" w:sz="4" w:space="0" w:color="000000"/>
              <w:bottom w:val="single" w:sz="4" w:space="0" w:color="000000"/>
            </w:tcBorders>
            <w:shd w:val="clear" w:color="auto" w:fill="EEECE1" w:themeFill="background2"/>
            <w:vAlign w:val="center"/>
          </w:tcPr>
          <w:p w:rsidR="00684568" w:rsidRPr="00C666BD" w:rsidRDefault="00684568" w:rsidP="00207B08">
            <w:pPr>
              <w:spacing w:line="23" w:lineRule="atLeast"/>
              <w:rPr>
                <w:b/>
                <w:sz w:val="20"/>
                <w:szCs w:val="20"/>
              </w:rPr>
            </w:pPr>
            <w:r w:rsidRPr="00C666BD">
              <w:rPr>
                <w:b/>
                <w:sz w:val="20"/>
                <w:szCs w:val="20"/>
              </w:rPr>
              <w:t>ВСЕГО:</w:t>
            </w:r>
          </w:p>
        </w:tc>
        <w:tc>
          <w:tcPr>
            <w:tcW w:w="1417" w:type="dxa"/>
            <w:tcBorders>
              <w:top w:val="single" w:sz="4" w:space="0" w:color="auto"/>
              <w:left w:val="single" w:sz="4" w:space="0" w:color="000000"/>
              <w:bottom w:val="single" w:sz="4" w:space="0" w:color="000000"/>
            </w:tcBorders>
            <w:shd w:val="clear" w:color="auto" w:fill="EEECE1" w:themeFill="background2"/>
            <w:vAlign w:val="center"/>
          </w:tcPr>
          <w:p w:rsidR="00684568" w:rsidRPr="00C666BD" w:rsidRDefault="000A769D" w:rsidP="00E673B9">
            <w:pPr>
              <w:spacing w:line="23" w:lineRule="atLeast"/>
              <w:jc w:val="center"/>
              <w:rPr>
                <w:b/>
                <w:color w:val="000000"/>
                <w:sz w:val="20"/>
                <w:szCs w:val="20"/>
              </w:rPr>
            </w:pPr>
            <w:r>
              <w:rPr>
                <w:b/>
                <w:color w:val="000000"/>
                <w:sz w:val="20"/>
                <w:szCs w:val="20"/>
              </w:rPr>
              <w:t>920 230,1</w:t>
            </w:r>
          </w:p>
        </w:tc>
        <w:tc>
          <w:tcPr>
            <w:tcW w:w="1134" w:type="dxa"/>
            <w:tcBorders>
              <w:top w:val="single" w:sz="4" w:space="0" w:color="auto"/>
              <w:left w:val="single" w:sz="4" w:space="0" w:color="000000"/>
              <w:bottom w:val="single" w:sz="4" w:space="0" w:color="000000"/>
              <w:right w:val="single" w:sz="4" w:space="0" w:color="auto"/>
            </w:tcBorders>
            <w:shd w:val="clear" w:color="auto" w:fill="EEECE1" w:themeFill="background2"/>
            <w:vAlign w:val="center"/>
          </w:tcPr>
          <w:p w:rsidR="00684568" w:rsidRPr="00C666BD" w:rsidRDefault="00790B5C" w:rsidP="00E673B9">
            <w:pPr>
              <w:jc w:val="center"/>
              <w:rPr>
                <w:b/>
                <w:sz w:val="20"/>
                <w:szCs w:val="20"/>
              </w:rPr>
            </w:pPr>
            <w:r>
              <w:rPr>
                <w:b/>
                <w:sz w:val="20"/>
                <w:szCs w:val="20"/>
              </w:rPr>
              <w:t>100,0%</w:t>
            </w:r>
          </w:p>
        </w:tc>
        <w:tc>
          <w:tcPr>
            <w:tcW w:w="1276" w:type="dxa"/>
            <w:tcBorders>
              <w:top w:val="single" w:sz="4" w:space="0" w:color="auto"/>
              <w:left w:val="single" w:sz="4" w:space="0" w:color="auto"/>
              <w:bottom w:val="single" w:sz="4" w:space="0" w:color="000000"/>
              <w:right w:val="single" w:sz="4" w:space="0" w:color="auto"/>
            </w:tcBorders>
            <w:shd w:val="clear" w:color="auto" w:fill="EEECE1" w:themeFill="background2"/>
            <w:vAlign w:val="center"/>
          </w:tcPr>
          <w:p w:rsidR="00684568" w:rsidRPr="00C666BD" w:rsidRDefault="000A769D" w:rsidP="00E673B9">
            <w:pPr>
              <w:jc w:val="center"/>
              <w:rPr>
                <w:b/>
                <w:sz w:val="20"/>
                <w:szCs w:val="20"/>
              </w:rPr>
            </w:pPr>
            <w:r>
              <w:rPr>
                <w:b/>
                <w:sz w:val="20"/>
                <w:szCs w:val="20"/>
              </w:rPr>
              <w:t>235</w:t>
            </w:r>
          </w:p>
        </w:tc>
        <w:tc>
          <w:tcPr>
            <w:tcW w:w="1134" w:type="dxa"/>
            <w:tcBorders>
              <w:top w:val="single" w:sz="4" w:space="0" w:color="auto"/>
              <w:left w:val="single" w:sz="4" w:space="0" w:color="auto"/>
              <w:bottom w:val="single" w:sz="4" w:space="0" w:color="000000"/>
              <w:right w:val="single" w:sz="4" w:space="0" w:color="000000"/>
            </w:tcBorders>
            <w:shd w:val="clear" w:color="auto" w:fill="EEECE1" w:themeFill="background2"/>
            <w:vAlign w:val="center"/>
          </w:tcPr>
          <w:p w:rsidR="00684568" w:rsidRPr="00C666BD" w:rsidRDefault="00790B5C" w:rsidP="007B44B3">
            <w:pPr>
              <w:spacing w:line="360" w:lineRule="auto"/>
              <w:jc w:val="center"/>
              <w:rPr>
                <w:b/>
                <w:sz w:val="20"/>
                <w:szCs w:val="20"/>
              </w:rPr>
            </w:pPr>
            <w:r>
              <w:rPr>
                <w:b/>
                <w:sz w:val="20"/>
                <w:szCs w:val="20"/>
              </w:rPr>
              <w:t>100,0%</w:t>
            </w:r>
          </w:p>
        </w:tc>
      </w:tr>
    </w:tbl>
    <w:p w:rsidR="003326F2" w:rsidRDefault="003326F2" w:rsidP="00614C60">
      <w:pPr>
        <w:ind w:firstLine="426"/>
        <w:jc w:val="both"/>
      </w:pPr>
    </w:p>
    <w:p w:rsidR="00483435" w:rsidRDefault="00483435" w:rsidP="00483435">
      <w:pPr>
        <w:widowControl w:val="0"/>
        <w:tabs>
          <w:tab w:val="left" w:pos="709"/>
        </w:tabs>
        <w:ind w:firstLine="426"/>
        <w:jc w:val="both"/>
      </w:pPr>
      <w:r>
        <w:t xml:space="preserve">Как видно из выше приведенных данных основную долю по количеству заключенных контрактов в отчетном периоде  2022 года, так же как и в аналогичном периоде прошлого года  составили контракты, заключенные с единственным поставщиком </w:t>
      </w:r>
      <w:r w:rsidR="00956C6F" w:rsidRPr="0026546A">
        <w:rPr>
          <w:i/>
        </w:rPr>
        <w:t>(с учетом контрактов, заключенных по результатам несостоявшихся закупок)</w:t>
      </w:r>
      <w:r w:rsidR="00956C6F">
        <w:t xml:space="preserve"> </w:t>
      </w:r>
      <w:r>
        <w:t xml:space="preserve"> – </w:t>
      </w:r>
      <w:r w:rsidRPr="00483435">
        <w:rPr>
          <w:b/>
        </w:rPr>
        <w:t>80,0%</w:t>
      </w:r>
      <w:r>
        <w:t xml:space="preserve"> от  общего количества заключенных контрактов.</w:t>
      </w:r>
    </w:p>
    <w:p w:rsidR="0000733B" w:rsidRDefault="0000733B" w:rsidP="0000733B">
      <w:pPr>
        <w:ind w:firstLine="426"/>
        <w:jc w:val="both"/>
      </w:pPr>
      <w:r w:rsidRPr="0026546A">
        <w:t>Учитывая вышеуказанный общий рост стоимостного объема всех заключенных контрактов</w:t>
      </w:r>
      <w:r>
        <w:t>,</w:t>
      </w:r>
      <w:r w:rsidRPr="0026546A">
        <w:t xml:space="preserve"> также стоит дополнительно отметить значительный рост стоимостного объема контрактов, заключенных с единственным поставщиком </w:t>
      </w:r>
      <w:r>
        <w:t xml:space="preserve"> </w:t>
      </w:r>
      <w:r w:rsidRPr="0026546A">
        <w:t>в сравнении с базисным периодом</w:t>
      </w:r>
      <w:r>
        <w:t xml:space="preserve"> (</w:t>
      </w:r>
      <w:r w:rsidRPr="0026546A">
        <w:rPr>
          <w:i/>
        </w:rPr>
        <w:t>без учета контрактов, заключенных по результатам несостоявшихся закупок</w:t>
      </w:r>
      <w:r>
        <w:t xml:space="preserve">) </w:t>
      </w:r>
      <w:r w:rsidRPr="0026546A">
        <w:t xml:space="preserve">- более чем в </w:t>
      </w:r>
      <w:r>
        <w:t xml:space="preserve">6 </w:t>
      </w:r>
      <w:r w:rsidRPr="0026546A">
        <w:t xml:space="preserve">раз. </w:t>
      </w:r>
    </w:p>
    <w:p w:rsidR="0000733B" w:rsidRDefault="0000733B" w:rsidP="0000733B">
      <w:pPr>
        <w:ind w:firstLine="426"/>
        <w:jc w:val="both"/>
      </w:pPr>
      <w:r w:rsidRPr="0026546A">
        <w:t xml:space="preserve">Доля в общем стоимостном объеме таких контрактов, заключенных в отчетном периоде, составила </w:t>
      </w:r>
      <w:r>
        <w:t>38,8</w:t>
      </w:r>
      <w:r w:rsidRPr="0026546A">
        <w:t>%</w:t>
      </w:r>
      <w:r>
        <w:t xml:space="preserve">. </w:t>
      </w:r>
      <w:r w:rsidRPr="0041634F">
        <w:t>Для сравнения в 20</w:t>
      </w:r>
      <w:r>
        <w:t>21</w:t>
      </w:r>
      <w:r w:rsidRPr="0041634F">
        <w:t xml:space="preserve"> году с единственным поставщиком было заключено </w:t>
      </w:r>
      <w:r>
        <w:t xml:space="preserve"> 80 к</w:t>
      </w:r>
      <w:r w:rsidRPr="0041634F">
        <w:t>онтракт</w:t>
      </w:r>
      <w:r>
        <w:t xml:space="preserve">ов </w:t>
      </w:r>
      <w:r w:rsidRPr="0041634F">
        <w:t xml:space="preserve"> на сумму </w:t>
      </w:r>
      <w:r>
        <w:t xml:space="preserve"> 53 974,8 тыс. руб.</w:t>
      </w:r>
    </w:p>
    <w:p w:rsidR="0000733B" w:rsidRDefault="0000733B" w:rsidP="0000733B">
      <w:pPr>
        <w:widowControl w:val="0"/>
        <w:tabs>
          <w:tab w:val="left" w:pos="709"/>
        </w:tabs>
        <w:spacing w:line="120" w:lineRule="auto"/>
        <w:ind w:firstLine="425"/>
        <w:jc w:val="both"/>
      </w:pPr>
    </w:p>
    <w:p w:rsidR="00B26BA7" w:rsidRPr="002A15A9" w:rsidRDefault="00171CB6" w:rsidP="00483435">
      <w:pPr>
        <w:widowControl w:val="0"/>
        <w:tabs>
          <w:tab w:val="left" w:pos="709"/>
        </w:tabs>
        <w:spacing w:after="120" w:line="300" w:lineRule="exact"/>
        <w:ind w:firstLine="426"/>
        <w:jc w:val="both"/>
      </w:pPr>
      <w:r>
        <w:t>Более наглядно сведения, отражающие количество и суммарную цену заключенных в 20</w:t>
      </w:r>
      <w:r w:rsidR="007E406E">
        <w:t>22</w:t>
      </w:r>
      <w:r>
        <w:t xml:space="preserve"> году контрактов в разбивке </w:t>
      </w:r>
      <w:r w:rsidRPr="00D04390">
        <w:t xml:space="preserve">по способам определения поставщика (подрядчика, </w:t>
      </w:r>
      <w:r w:rsidRPr="002A15A9">
        <w:t>исполнителя)</w:t>
      </w:r>
      <w:r w:rsidR="00ED61CA" w:rsidRPr="002A15A9">
        <w:t>, представлены</w:t>
      </w:r>
      <w:r w:rsidRPr="002A15A9">
        <w:t xml:space="preserve"> </w:t>
      </w:r>
      <w:r w:rsidR="00ED61CA" w:rsidRPr="002A15A9">
        <w:t xml:space="preserve">на </w:t>
      </w:r>
      <w:r w:rsidR="00B26BA7" w:rsidRPr="002A15A9">
        <w:t xml:space="preserve">Диаграмме </w:t>
      </w:r>
      <w:r w:rsidR="00064735" w:rsidRPr="002A15A9">
        <w:t>5</w:t>
      </w:r>
      <w:r w:rsidR="00B26BA7" w:rsidRPr="002A15A9">
        <w:t>:</w:t>
      </w:r>
      <w:r w:rsidR="00ED61CA" w:rsidRPr="002A15A9">
        <w:t xml:space="preserve"> </w:t>
      </w:r>
    </w:p>
    <w:p w:rsidR="003D2522" w:rsidRDefault="003D2522" w:rsidP="003D2522">
      <w:pPr>
        <w:ind w:firstLine="709"/>
        <w:jc w:val="center"/>
        <w:rPr>
          <w:b/>
        </w:rPr>
      </w:pPr>
      <w:r w:rsidRPr="002A15A9">
        <w:rPr>
          <w:b/>
        </w:rPr>
        <w:t xml:space="preserve">Диаграмма </w:t>
      </w:r>
      <w:r w:rsidR="00064735" w:rsidRPr="002A15A9">
        <w:rPr>
          <w:b/>
        </w:rPr>
        <w:t>5</w:t>
      </w:r>
      <w:r w:rsidRPr="002A15A9">
        <w:rPr>
          <w:b/>
        </w:rPr>
        <w:t xml:space="preserve">. Суммарная цена </w:t>
      </w:r>
      <w:r w:rsidR="00F32F1A" w:rsidRPr="002A15A9">
        <w:rPr>
          <w:b/>
        </w:rPr>
        <w:t xml:space="preserve">и количество </w:t>
      </w:r>
      <w:r w:rsidRPr="002A15A9">
        <w:rPr>
          <w:b/>
        </w:rPr>
        <w:t xml:space="preserve">заключенных контрактов в разбивке по </w:t>
      </w:r>
      <w:r w:rsidR="00B26BA7" w:rsidRPr="002A15A9">
        <w:rPr>
          <w:b/>
        </w:rPr>
        <w:t xml:space="preserve"> </w:t>
      </w:r>
      <w:r w:rsidRPr="002A15A9">
        <w:rPr>
          <w:b/>
        </w:rPr>
        <w:t>способам определения поставщика (подрядчика, исполнителя)</w:t>
      </w:r>
      <w:r w:rsidRPr="004311B1">
        <w:rPr>
          <w:b/>
        </w:rPr>
        <w:t xml:space="preserve"> </w:t>
      </w:r>
    </w:p>
    <w:p w:rsidR="00B51A73" w:rsidRDefault="002A15A9" w:rsidP="00190D26">
      <w:pPr>
        <w:widowControl w:val="0"/>
        <w:tabs>
          <w:tab w:val="left" w:pos="709"/>
        </w:tabs>
        <w:ind w:firstLine="426"/>
        <w:jc w:val="both"/>
      </w:pPr>
      <w:r>
        <w:rPr>
          <w:noProof/>
        </w:rPr>
        <w:lastRenderedPageBreak/>
        <w:drawing>
          <wp:inline distT="0" distB="0" distL="0" distR="0">
            <wp:extent cx="5495290" cy="4227195"/>
            <wp:effectExtent l="0" t="0" r="0" b="1905"/>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rsidR="0027691F" w:rsidRDefault="0027691F" w:rsidP="0027691F">
      <w:pPr>
        <w:ind w:firstLine="425"/>
        <w:jc w:val="both"/>
        <w:rPr>
          <w:i/>
        </w:rPr>
      </w:pPr>
      <w:r w:rsidRPr="0027691F">
        <w:rPr>
          <w:i/>
        </w:rPr>
        <w:t>Значительное увеличение, как уже отмечалось</w:t>
      </w:r>
      <w:r>
        <w:t xml:space="preserve">, </w:t>
      </w:r>
      <w:r w:rsidRPr="00573DCC">
        <w:rPr>
          <w:i/>
        </w:rPr>
        <w:t xml:space="preserve">обусловлено вступившими в силу изменениями законодательства о контрактной системе в части введения специальных </w:t>
      </w:r>
      <w:proofErr w:type="spellStart"/>
      <w:r w:rsidRPr="00573DCC">
        <w:rPr>
          <w:i/>
        </w:rPr>
        <w:t>антисанкционных</w:t>
      </w:r>
      <w:proofErr w:type="spellEnd"/>
      <w:r w:rsidRPr="00573DCC">
        <w:rPr>
          <w:i/>
        </w:rPr>
        <w:t xml:space="preserve"> мер по нивелированию негативных последствий от введения иностранными государствами санкций</w:t>
      </w:r>
      <w:proofErr w:type="gramStart"/>
      <w:r>
        <w:rPr>
          <w:i/>
        </w:rPr>
        <w:t xml:space="preserve"> </w:t>
      </w:r>
      <w:r w:rsidRPr="00573DCC">
        <w:rPr>
          <w:i/>
        </w:rPr>
        <w:t>,</w:t>
      </w:r>
      <w:proofErr w:type="gramEnd"/>
      <w:r w:rsidRPr="00573DCC">
        <w:rPr>
          <w:i/>
        </w:rPr>
        <w:t xml:space="preserve"> предусматривающими возможность осуществления заказчиками закупок у единственного поставщика</w:t>
      </w:r>
      <w:r>
        <w:rPr>
          <w:i/>
        </w:rPr>
        <w:t xml:space="preserve"> </w:t>
      </w:r>
      <w:r w:rsidRPr="00573DCC">
        <w:t xml:space="preserve"> </w:t>
      </w:r>
      <w:r w:rsidRPr="0027691F">
        <w:rPr>
          <w:i/>
        </w:rPr>
        <w:t>в соответствии со ст</w:t>
      </w:r>
      <w:r>
        <w:rPr>
          <w:i/>
        </w:rPr>
        <w:t xml:space="preserve">атьей </w:t>
      </w:r>
      <w:r w:rsidRPr="0027691F">
        <w:rPr>
          <w:i/>
        </w:rPr>
        <w:t xml:space="preserve"> 15 Федерального закона от 08.03.2022 № 46-ФЗ, </w:t>
      </w:r>
      <w:r>
        <w:rPr>
          <w:i/>
        </w:rPr>
        <w:t xml:space="preserve">п. 2 ч. 1 статьи </w:t>
      </w:r>
      <w:r w:rsidRPr="0027691F">
        <w:rPr>
          <w:i/>
        </w:rPr>
        <w:t>93 Закона № 44-ФЗ.</w:t>
      </w:r>
    </w:p>
    <w:p w:rsidR="00131969" w:rsidRPr="009363C5" w:rsidRDefault="009363C5" w:rsidP="0000733B">
      <w:pPr>
        <w:tabs>
          <w:tab w:val="left" w:pos="709"/>
        </w:tabs>
        <w:jc w:val="both"/>
        <w:rPr>
          <w:i/>
        </w:rPr>
      </w:pPr>
      <w:r>
        <w:t xml:space="preserve">        </w:t>
      </w:r>
      <w:r w:rsidR="00B51A73" w:rsidRPr="009363C5">
        <w:t>В</w:t>
      </w:r>
      <w:r w:rsidR="003D4682" w:rsidRPr="009363C5">
        <w:t xml:space="preserve"> отчетном периоде </w:t>
      </w:r>
      <w:r w:rsidR="00B51A73" w:rsidRPr="009363C5">
        <w:t xml:space="preserve"> </w:t>
      </w:r>
      <w:r w:rsidR="003D4682" w:rsidRPr="009363C5">
        <w:t>20</w:t>
      </w:r>
      <w:r w:rsidR="000B1CD7" w:rsidRPr="009363C5">
        <w:t>22</w:t>
      </w:r>
      <w:r w:rsidR="003D4682" w:rsidRPr="009363C5">
        <w:t xml:space="preserve"> года </w:t>
      </w:r>
      <w:r w:rsidR="00240094" w:rsidRPr="009363C5">
        <w:t xml:space="preserve"> </w:t>
      </w:r>
      <w:r w:rsidR="00894821" w:rsidRPr="009363C5">
        <w:rPr>
          <w:b/>
        </w:rPr>
        <w:t>80,0</w:t>
      </w:r>
      <w:r w:rsidR="00CA69ED" w:rsidRPr="009363C5">
        <w:rPr>
          <w:b/>
        </w:rPr>
        <w:t>%</w:t>
      </w:r>
      <w:r w:rsidR="003D4682" w:rsidRPr="009363C5">
        <w:t xml:space="preserve"> от общего количества контрактов заключены </w:t>
      </w:r>
      <w:r w:rsidR="00241DB7" w:rsidRPr="009363C5">
        <w:t xml:space="preserve">с </w:t>
      </w:r>
      <w:r w:rsidR="00241DB7" w:rsidRPr="009363C5">
        <w:rPr>
          <w:b/>
        </w:rPr>
        <w:t>е</w:t>
      </w:r>
      <w:r w:rsidR="003D4682" w:rsidRPr="009363C5">
        <w:rPr>
          <w:b/>
        </w:rPr>
        <w:t>динственным поставщиком</w:t>
      </w:r>
      <w:r w:rsidR="00131969" w:rsidRPr="009363C5">
        <w:rPr>
          <w:b/>
        </w:rPr>
        <w:t>,</w:t>
      </w:r>
      <w:r w:rsidR="003D4682" w:rsidRPr="009363C5">
        <w:rPr>
          <w:b/>
        </w:rPr>
        <w:t xml:space="preserve"> </w:t>
      </w:r>
      <w:r w:rsidR="00131969" w:rsidRPr="009363C5">
        <w:t xml:space="preserve">что составляет </w:t>
      </w:r>
      <w:r w:rsidR="00131969" w:rsidRPr="009363C5">
        <w:rPr>
          <w:i/>
        </w:rPr>
        <w:t xml:space="preserve"> </w:t>
      </w:r>
      <w:r w:rsidR="00894821" w:rsidRPr="009363C5">
        <w:rPr>
          <w:b/>
        </w:rPr>
        <w:t>86,1</w:t>
      </w:r>
      <w:r w:rsidR="00131969" w:rsidRPr="009363C5">
        <w:rPr>
          <w:b/>
        </w:rPr>
        <w:t xml:space="preserve">% </w:t>
      </w:r>
      <w:r w:rsidR="00131969" w:rsidRPr="009363C5">
        <w:t>от</w:t>
      </w:r>
      <w:r w:rsidR="00131969" w:rsidRPr="009363C5">
        <w:rPr>
          <w:b/>
        </w:rPr>
        <w:t xml:space="preserve"> </w:t>
      </w:r>
      <w:r w:rsidR="00131969" w:rsidRPr="009363C5">
        <w:t>общего стоимостного объема заключенных контрактов в отчетном периоде, из них:</w:t>
      </w:r>
    </w:p>
    <w:p w:rsidR="00131969" w:rsidRPr="00131969" w:rsidRDefault="00131969" w:rsidP="00131969">
      <w:pPr>
        <w:widowControl w:val="0"/>
        <w:tabs>
          <w:tab w:val="left" w:pos="709"/>
        </w:tabs>
        <w:ind w:firstLine="426"/>
        <w:jc w:val="both"/>
        <w:rPr>
          <w:i/>
        </w:rPr>
      </w:pPr>
      <w:r>
        <w:rPr>
          <w:bCs/>
        </w:rPr>
        <w:t xml:space="preserve">- </w:t>
      </w:r>
      <w:r w:rsidRPr="0041634F">
        <w:rPr>
          <w:bCs/>
        </w:rPr>
        <w:t xml:space="preserve">на основании, предусмотренными </w:t>
      </w:r>
      <w:r w:rsidRPr="00131969">
        <w:rPr>
          <w:b/>
          <w:bCs/>
        </w:rPr>
        <w:t>пунктами 1,</w:t>
      </w:r>
      <w:r w:rsidR="00894821">
        <w:rPr>
          <w:b/>
          <w:bCs/>
        </w:rPr>
        <w:t xml:space="preserve"> 2, 6, 8, </w:t>
      </w:r>
      <w:r w:rsidRPr="00131969">
        <w:rPr>
          <w:b/>
          <w:bCs/>
        </w:rPr>
        <w:t>22,</w:t>
      </w:r>
      <w:r w:rsidR="00894821">
        <w:rPr>
          <w:b/>
          <w:bCs/>
        </w:rPr>
        <w:t>23,</w:t>
      </w:r>
      <w:r w:rsidRPr="00131969">
        <w:rPr>
          <w:b/>
          <w:bCs/>
        </w:rPr>
        <w:t xml:space="preserve"> 29 </w:t>
      </w:r>
      <w:r>
        <w:rPr>
          <w:bCs/>
        </w:rPr>
        <w:t xml:space="preserve">– </w:t>
      </w:r>
      <w:r w:rsidR="00894821" w:rsidRPr="00894821">
        <w:rPr>
          <w:b/>
          <w:bCs/>
        </w:rPr>
        <w:t>37,0</w:t>
      </w:r>
      <w:r w:rsidRPr="00131969">
        <w:rPr>
          <w:b/>
        </w:rPr>
        <w:t>%</w:t>
      </w:r>
      <w:r>
        <w:t xml:space="preserve"> от общего количества контрактов</w:t>
      </w:r>
      <w:r>
        <w:rPr>
          <w:b/>
        </w:rPr>
        <w:t>,</w:t>
      </w:r>
      <w:r w:rsidRPr="009F679B">
        <w:rPr>
          <w:b/>
        </w:rPr>
        <w:t xml:space="preserve"> </w:t>
      </w:r>
      <w:r>
        <w:t xml:space="preserve">что составляет </w:t>
      </w:r>
      <w:r>
        <w:rPr>
          <w:i/>
        </w:rPr>
        <w:t xml:space="preserve"> </w:t>
      </w:r>
      <w:r w:rsidR="00894821">
        <w:rPr>
          <w:b/>
        </w:rPr>
        <w:t>38,8</w:t>
      </w:r>
      <w:r w:rsidRPr="00131969">
        <w:rPr>
          <w:b/>
        </w:rPr>
        <w:t>%</w:t>
      </w:r>
      <w:r w:rsidRPr="00CA69ED">
        <w:rPr>
          <w:b/>
        </w:rPr>
        <w:t xml:space="preserve"> </w:t>
      </w:r>
      <w:r w:rsidRPr="003A648A">
        <w:t>от</w:t>
      </w:r>
      <w:r w:rsidRPr="00CA69ED">
        <w:rPr>
          <w:b/>
        </w:rPr>
        <w:t xml:space="preserve"> </w:t>
      </w:r>
      <w:r w:rsidRPr="003A648A">
        <w:t>общего</w:t>
      </w:r>
      <w:r>
        <w:t xml:space="preserve"> стоимостного объема заключенных контрактов в отчетном периоде;</w:t>
      </w:r>
    </w:p>
    <w:p w:rsidR="003D4682" w:rsidRPr="003A648A" w:rsidRDefault="00996D29" w:rsidP="00131969">
      <w:pPr>
        <w:widowControl w:val="0"/>
        <w:tabs>
          <w:tab w:val="left" w:pos="709"/>
        </w:tabs>
        <w:ind w:firstLine="426"/>
        <w:jc w:val="both"/>
        <w:rPr>
          <w:i/>
        </w:rPr>
      </w:pPr>
      <w:r>
        <w:rPr>
          <w:bCs/>
        </w:rPr>
        <w:t>-</w:t>
      </w:r>
      <w:r w:rsidR="00131969">
        <w:rPr>
          <w:b/>
        </w:rPr>
        <w:t xml:space="preserve"> </w:t>
      </w:r>
      <w:r w:rsidR="003D4682" w:rsidRPr="00894821">
        <w:t>в соответствии</w:t>
      </w:r>
      <w:r w:rsidR="003D4682" w:rsidRPr="009F679B">
        <w:rPr>
          <w:b/>
        </w:rPr>
        <w:t xml:space="preserve"> с п</w:t>
      </w:r>
      <w:r w:rsidR="009F679B">
        <w:rPr>
          <w:b/>
        </w:rPr>
        <w:t xml:space="preserve">. </w:t>
      </w:r>
      <w:r w:rsidR="003D4682" w:rsidRPr="009F679B">
        <w:rPr>
          <w:b/>
        </w:rPr>
        <w:t>25 ч</w:t>
      </w:r>
      <w:r w:rsidR="009F679B">
        <w:rPr>
          <w:b/>
        </w:rPr>
        <w:t>.</w:t>
      </w:r>
      <w:r w:rsidR="003D4682" w:rsidRPr="009F679B">
        <w:rPr>
          <w:b/>
        </w:rPr>
        <w:t>1 статьи 93</w:t>
      </w:r>
      <w:r w:rsidR="003D4682" w:rsidRPr="0099693B">
        <w:t xml:space="preserve"> </w:t>
      </w:r>
      <w:r w:rsidR="00240094">
        <w:t>З</w:t>
      </w:r>
      <w:r w:rsidR="003D4682" w:rsidRPr="0099693B">
        <w:t xml:space="preserve">акона № 44-ФЗ </w:t>
      </w:r>
      <w:r w:rsidR="003D4682">
        <w:t>вследствие</w:t>
      </w:r>
      <w:r w:rsidR="003D4682" w:rsidRPr="0099693B">
        <w:t xml:space="preserve"> признания несостоявшимися</w:t>
      </w:r>
      <w:r w:rsidR="00053F1D">
        <w:t xml:space="preserve"> электронных аукционов, </w:t>
      </w:r>
      <w:r w:rsidR="00894821">
        <w:t>электронных ко</w:t>
      </w:r>
      <w:r>
        <w:t>нкурс</w:t>
      </w:r>
      <w:r w:rsidR="00894821">
        <w:t>ов</w:t>
      </w:r>
      <w:r>
        <w:t xml:space="preserve"> – </w:t>
      </w:r>
      <w:r w:rsidR="00894821">
        <w:rPr>
          <w:b/>
        </w:rPr>
        <w:t>43,0</w:t>
      </w:r>
      <w:r w:rsidRPr="00996D29">
        <w:rPr>
          <w:b/>
        </w:rPr>
        <w:t>%</w:t>
      </w:r>
      <w:r>
        <w:rPr>
          <w:b/>
        </w:rPr>
        <w:t xml:space="preserve"> </w:t>
      </w:r>
      <w:r>
        <w:t>от общего количества контрактов</w:t>
      </w:r>
      <w:r>
        <w:rPr>
          <w:b/>
        </w:rPr>
        <w:t xml:space="preserve">,  </w:t>
      </w:r>
      <w:r w:rsidR="00240094">
        <w:t xml:space="preserve">что составляет </w:t>
      </w:r>
      <w:r w:rsidR="003D4682">
        <w:rPr>
          <w:i/>
        </w:rPr>
        <w:t xml:space="preserve"> </w:t>
      </w:r>
      <w:r>
        <w:rPr>
          <w:b/>
        </w:rPr>
        <w:t>3</w:t>
      </w:r>
      <w:r w:rsidR="00894821">
        <w:rPr>
          <w:b/>
        </w:rPr>
        <w:t>47,3</w:t>
      </w:r>
      <w:r w:rsidR="003D4682" w:rsidRPr="00996D29">
        <w:rPr>
          <w:b/>
        </w:rPr>
        <w:t>%</w:t>
      </w:r>
      <w:r w:rsidR="00CA69ED" w:rsidRPr="00CA69ED">
        <w:rPr>
          <w:b/>
        </w:rPr>
        <w:t xml:space="preserve"> </w:t>
      </w:r>
      <w:r w:rsidR="00CA69ED" w:rsidRPr="003A648A">
        <w:t>от</w:t>
      </w:r>
      <w:r w:rsidR="00CA69ED" w:rsidRPr="00CA69ED">
        <w:rPr>
          <w:b/>
        </w:rPr>
        <w:t xml:space="preserve"> </w:t>
      </w:r>
      <w:r w:rsidR="00CA69ED" w:rsidRPr="003A648A">
        <w:t>общего</w:t>
      </w:r>
      <w:r w:rsidR="003A648A">
        <w:t xml:space="preserve"> стоимостного объема заключенных контрактов в отчетном периоде</w:t>
      </w:r>
      <w:r w:rsidR="003D4682" w:rsidRPr="003A648A">
        <w:t>.</w:t>
      </w:r>
      <w:r w:rsidR="003D4682" w:rsidRPr="003A648A">
        <w:rPr>
          <w:i/>
        </w:rPr>
        <w:t xml:space="preserve"> </w:t>
      </w:r>
    </w:p>
    <w:p w:rsidR="004F40C1" w:rsidRPr="00465547" w:rsidRDefault="009363C5" w:rsidP="009363C5">
      <w:pPr>
        <w:widowControl w:val="0"/>
        <w:shd w:val="clear" w:color="auto" w:fill="FFFFFF" w:themeFill="background1"/>
        <w:tabs>
          <w:tab w:val="left" w:pos="709"/>
        </w:tabs>
        <w:jc w:val="both"/>
      </w:pPr>
      <w:r>
        <w:t xml:space="preserve">       </w:t>
      </w:r>
      <w:r w:rsidR="00B207B4">
        <w:t xml:space="preserve">На втором месте по количеству и  объему заключенных контрактов </w:t>
      </w:r>
      <w:r w:rsidR="00912D05">
        <w:t>–</w:t>
      </w:r>
      <w:r w:rsidR="00B207B4">
        <w:t xml:space="preserve"> контракты</w:t>
      </w:r>
      <w:r w:rsidR="00912D05">
        <w:t xml:space="preserve">, заключенные по результатам  </w:t>
      </w:r>
      <w:r w:rsidR="00912D05" w:rsidRPr="00912D05">
        <w:rPr>
          <w:b/>
        </w:rPr>
        <w:t>Электронных аукционов</w:t>
      </w:r>
      <w:r w:rsidR="00912D05">
        <w:rPr>
          <w:b/>
        </w:rPr>
        <w:t xml:space="preserve"> –</w:t>
      </w:r>
      <w:r w:rsidR="00E30B5C">
        <w:rPr>
          <w:b/>
        </w:rPr>
        <w:t xml:space="preserve"> (</w:t>
      </w:r>
      <w:r w:rsidR="00894821">
        <w:rPr>
          <w:b/>
        </w:rPr>
        <w:t>19,6</w:t>
      </w:r>
      <w:r w:rsidR="00E30B5C">
        <w:rPr>
          <w:b/>
        </w:rPr>
        <w:t xml:space="preserve">% </w:t>
      </w:r>
      <w:r w:rsidR="00E30B5C" w:rsidRPr="00E30B5C">
        <w:t xml:space="preserve">от </w:t>
      </w:r>
      <w:r w:rsidR="00E30B5C">
        <w:t xml:space="preserve">общего количества </w:t>
      </w:r>
      <w:r w:rsidR="00E30B5C" w:rsidRPr="00465547">
        <w:t>контрактов</w:t>
      </w:r>
      <w:r w:rsidR="004F40C1" w:rsidRPr="00465547">
        <w:t xml:space="preserve"> на общую сумму </w:t>
      </w:r>
      <w:r w:rsidR="000B75F7" w:rsidRPr="00465547">
        <w:rPr>
          <w:b/>
        </w:rPr>
        <w:t>1</w:t>
      </w:r>
      <w:r w:rsidR="00894821">
        <w:rPr>
          <w:b/>
        </w:rPr>
        <w:t>28 066,2</w:t>
      </w:r>
      <w:r w:rsidR="00FB7560" w:rsidRPr="00465547">
        <w:rPr>
          <w:b/>
        </w:rPr>
        <w:t xml:space="preserve"> </w:t>
      </w:r>
      <w:r w:rsidR="004F40C1" w:rsidRPr="00465547">
        <w:rPr>
          <w:b/>
        </w:rPr>
        <w:t>тыс. руб</w:t>
      </w:r>
      <w:r w:rsidR="004F40C1" w:rsidRPr="00465547">
        <w:t xml:space="preserve">., что составляет </w:t>
      </w:r>
      <w:r w:rsidR="00894821">
        <w:rPr>
          <w:b/>
        </w:rPr>
        <w:t>13,9</w:t>
      </w:r>
      <w:r w:rsidR="004F40C1" w:rsidRPr="00465547">
        <w:rPr>
          <w:b/>
        </w:rPr>
        <w:t xml:space="preserve">% </w:t>
      </w:r>
      <w:r w:rsidR="004F40C1" w:rsidRPr="00465547">
        <w:t>от</w:t>
      </w:r>
      <w:r w:rsidR="00E30B5C" w:rsidRPr="00465547">
        <w:t xml:space="preserve"> </w:t>
      </w:r>
      <w:r w:rsidR="004F40C1" w:rsidRPr="00465547">
        <w:t>общей стоимости заключенных контрактов).</w:t>
      </w:r>
    </w:p>
    <w:p w:rsidR="00D1671B" w:rsidRPr="00D1671B" w:rsidRDefault="00D1671B" w:rsidP="00D1671B">
      <w:pPr>
        <w:jc w:val="both"/>
      </w:pPr>
      <w:r>
        <w:t xml:space="preserve">       </w:t>
      </w:r>
      <w:r w:rsidRPr="00D1671B">
        <w:t>В сравнении с аналогичным периодом 2021 года</w:t>
      </w:r>
      <w:r>
        <w:t xml:space="preserve"> отмечается изменение структуры заключенных контрактов в разрезе способов определения поставщиков.</w:t>
      </w:r>
    </w:p>
    <w:p w:rsidR="004F40C1" w:rsidRPr="00465547" w:rsidRDefault="00D1671B" w:rsidP="006B3CE3">
      <w:pPr>
        <w:widowControl w:val="0"/>
        <w:shd w:val="clear" w:color="auto" w:fill="FFFFFF" w:themeFill="background1"/>
        <w:tabs>
          <w:tab w:val="left" w:pos="709"/>
        </w:tabs>
        <w:ind w:firstLine="426"/>
        <w:jc w:val="both"/>
      </w:pPr>
      <w:r>
        <w:t xml:space="preserve"> Д</w:t>
      </w:r>
      <w:r w:rsidR="005D62A4">
        <w:t>оля контрактов</w:t>
      </w:r>
      <w:r w:rsidR="000043CF" w:rsidRPr="00465547">
        <w:t xml:space="preserve">, заключенных по итогам </w:t>
      </w:r>
      <w:r w:rsidR="00344428" w:rsidRPr="00465547">
        <w:t xml:space="preserve"> </w:t>
      </w:r>
      <w:r w:rsidR="000043CF" w:rsidRPr="00D1671B">
        <w:rPr>
          <w:b/>
        </w:rPr>
        <w:t>Электронного аукциона</w:t>
      </w:r>
      <w:r w:rsidR="005D62A4">
        <w:t xml:space="preserve"> в количественном выражении,</w:t>
      </w:r>
      <w:r w:rsidR="000460CA" w:rsidRPr="00465547">
        <w:t xml:space="preserve"> </w:t>
      </w:r>
      <w:r w:rsidR="00465547" w:rsidRPr="00465547">
        <w:t xml:space="preserve"> уменьшил</w:t>
      </w:r>
      <w:r w:rsidR="005D62A4">
        <w:t xml:space="preserve">ась  </w:t>
      </w:r>
      <w:r w:rsidR="00FB7560" w:rsidRPr="00465547">
        <w:t xml:space="preserve">на </w:t>
      </w:r>
      <w:r w:rsidR="005D62A4">
        <w:t>10,5 процентных пунктов</w:t>
      </w:r>
      <w:r w:rsidR="000460CA" w:rsidRPr="00465547">
        <w:t xml:space="preserve"> </w:t>
      </w:r>
      <w:r w:rsidR="00D90A2B" w:rsidRPr="00465547">
        <w:t xml:space="preserve"> </w:t>
      </w:r>
      <w:r w:rsidR="00FB7560" w:rsidRPr="00465547">
        <w:t xml:space="preserve">с одновременным </w:t>
      </w:r>
      <w:r w:rsidR="005D62A4">
        <w:t xml:space="preserve">ростом </w:t>
      </w:r>
      <w:r w:rsidR="00FB7560" w:rsidRPr="00465547">
        <w:t xml:space="preserve"> </w:t>
      </w:r>
      <w:r w:rsidR="00D90A2B" w:rsidRPr="00465547">
        <w:t xml:space="preserve">стоимостного объема на </w:t>
      </w:r>
      <w:r w:rsidR="00FB7560" w:rsidRPr="00465547">
        <w:t xml:space="preserve"> </w:t>
      </w:r>
      <w:r w:rsidR="005D62A4">
        <w:t>9,5 процентных пунктов.</w:t>
      </w:r>
    </w:p>
    <w:p w:rsidR="008433B7" w:rsidRPr="00C8656E" w:rsidRDefault="008433B7" w:rsidP="006B3CE3">
      <w:pPr>
        <w:autoSpaceDE w:val="0"/>
        <w:autoSpaceDN w:val="0"/>
        <w:adjustRightInd w:val="0"/>
        <w:spacing w:line="23" w:lineRule="atLeast"/>
        <w:jc w:val="both"/>
      </w:pPr>
      <w:r>
        <w:rPr>
          <w:rFonts w:eastAsia="Calibri"/>
          <w:color w:val="000000"/>
        </w:rPr>
        <w:lastRenderedPageBreak/>
        <w:t xml:space="preserve">       </w:t>
      </w:r>
      <w:r w:rsidRPr="00F6711B">
        <w:rPr>
          <w:rFonts w:eastAsia="Calibri"/>
          <w:color w:val="000000"/>
        </w:rPr>
        <w:t xml:space="preserve">При общем </w:t>
      </w:r>
      <w:r>
        <w:rPr>
          <w:rFonts w:eastAsia="Calibri"/>
          <w:color w:val="000000"/>
        </w:rPr>
        <w:t>росте</w:t>
      </w:r>
      <w:r w:rsidRPr="00F6711B">
        <w:rPr>
          <w:rFonts w:eastAsia="Calibri"/>
          <w:color w:val="000000"/>
        </w:rPr>
        <w:t xml:space="preserve"> количества объявленных </w:t>
      </w:r>
      <w:r w:rsidRPr="00536CE3">
        <w:rPr>
          <w:rFonts w:eastAsia="Calibri"/>
          <w:color w:val="000000"/>
        </w:rPr>
        <w:t xml:space="preserve">контрактов, заключенных заказчиками по итогам </w:t>
      </w:r>
      <w:r>
        <w:rPr>
          <w:rFonts w:eastAsia="Calibri"/>
          <w:color w:val="000000"/>
        </w:rPr>
        <w:t>закупочных</w:t>
      </w:r>
      <w:r w:rsidRPr="00536CE3">
        <w:rPr>
          <w:rFonts w:eastAsia="Calibri"/>
          <w:color w:val="000000"/>
        </w:rPr>
        <w:t xml:space="preserve"> процедур</w:t>
      </w:r>
      <w:r w:rsidRPr="00F6711B">
        <w:rPr>
          <w:rFonts w:eastAsia="Calibri"/>
          <w:color w:val="000000"/>
        </w:rPr>
        <w:t xml:space="preserve">, такие конкурентные способы закупок, как </w:t>
      </w:r>
      <w:r w:rsidRPr="008433B7">
        <w:rPr>
          <w:rFonts w:eastAsia="Calibri"/>
          <w:b/>
          <w:color w:val="000000"/>
        </w:rPr>
        <w:t>Электронный запрос котировок</w:t>
      </w:r>
      <w:r w:rsidR="007530F3">
        <w:rPr>
          <w:rFonts w:eastAsia="Calibri"/>
          <w:b/>
          <w:color w:val="000000"/>
        </w:rPr>
        <w:t xml:space="preserve"> </w:t>
      </w:r>
      <w:r w:rsidR="007530F3" w:rsidRPr="007530F3">
        <w:rPr>
          <w:rFonts w:eastAsia="Calibri"/>
          <w:color w:val="000000"/>
        </w:rPr>
        <w:t>и</w:t>
      </w:r>
      <w:r w:rsidR="007530F3">
        <w:rPr>
          <w:rFonts w:eastAsia="Calibri"/>
          <w:b/>
          <w:color w:val="000000"/>
        </w:rPr>
        <w:t xml:space="preserve"> Электронный конкурс</w:t>
      </w:r>
      <w:r w:rsidRPr="00F6711B">
        <w:rPr>
          <w:rFonts w:eastAsia="Calibri"/>
          <w:color w:val="000000"/>
        </w:rPr>
        <w:t>, показыва</w:t>
      </w:r>
      <w:r w:rsidR="007530F3">
        <w:rPr>
          <w:rFonts w:eastAsia="Calibri"/>
          <w:color w:val="000000"/>
        </w:rPr>
        <w:t>ют</w:t>
      </w:r>
      <w:r w:rsidRPr="00F6711B">
        <w:rPr>
          <w:rFonts w:eastAsia="Calibri"/>
          <w:color w:val="000000"/>
        </w:rPr>
        <w:t xml:space="preserve"> </w:t>
      </w:r>
      <w:r>
        <w:rPr>
          <w:rFonts w:eastAsia="Calibri"/>
          <w:color w:val="000000"/>
        </w:rPr>
        <w:t xml:space="preserve">отрицательную динамику, как  </w:t>
      </w:r>
      <w:r w:rsidRPr="00F6711B">
        <w:rPr>
          <w:rFonts w:eastAsia="Calibri"/>
          <w:color w:val="000000"/>
        </w:rPr>
        <w:t>в количественном</w:t>
      </w:r>
      <w:proofErr w:type="gramStart"/>
      <w:r w:rsidRPr="00F6711B">
        <w:rPr>
          <w:rFonts w:eastAsia="Calibri"/>
          <w:color w:val="000000"/>
        </w:rPr>
        <w:t xml:space="preserve"> </w:t>
      </w:r>
      <w:r>
        <w:rPr>
          <w:rFonts w:eastAsia="Calibri"/>
          <w:color w:val="000000"/>
        </w:rPr>
        <w:t>,</w:t>
      </w:r>
      <w:proofErr w:type="gramEnd"/>
      <w:r>
        <w:rPr>
          <w:rFonts w:eastAsia="Calibri"/>
          <w:color w:val="000000"/>
        </w:rPr>
        <w:t xml:space="preserve"> так и в суммовом </w:t>
      </w:r>
      <w:r w:rsidRPr="00F6711B">
        <w:rPr>
          <w:rFonts w:eastAsia="Calibri"/>
          <w:color w:val="000000"/>
        </w:rPr>
        <w:t>выражении, по сравнению с аналогичным периодом 20</w:t>
      </w:r>
      <w:r>
        <w:rPr>
          <w:rFonts w:eastAsia="Calibri"/>
          <w:color w:val="000000"/>
        </w:rPr>
        <w:t>21</w:t>
      </w:r>
      <w:r w:rsidRPr="00F6711B">
        <w:rPr>
          <w:rFonts w:eastAsia="Calibri"/>
          <w:color w:val="000000"/>
        </w:rPr>
        <w:t xml:space="preserve"> года</w:t>
      </w:r>
      <w:r>
        <w:rPr>
          <w:rFonts w:eastAsia="Calibri"/>
          <w:color w:val="000000"/>
        </w:rPr>
        <w:t xml:space="preserve"> .</w:t>
      </w:r>
      <w:r w:rsidR="00D1671B">
        <w:rPr>
          <w:rFonts w:eastAsia="Calibri"/>
          <w:color w:val="000000"/>
        </w:rPr>
        <w:t xml:space="preserve"> </w:t>
      </w:r>
      <w:r>
        <w:rPr>
          <w:rFonts w:eastAsia="Calibri"/>
          <w:color w:val="000000"/>
        </w:rPr>
        <w:t>В базисном периоде</w:t>
      </w:r>
      <w:r>
        <w:t xml:space="preserve"> по результатам данн</w:t>
      </w:r>
      <w:r w:rsidR="00D1671B">
        <w:t>ых</w:t>
      </w:r>
      <w:r>
        <w:t xml:space="preserve"> способ</w:t>
      </w:r>
      <w:r w:rsidR="00D1671B">
        <w:t>ов</w:t>
      </w:r>
      <w:r>
        <w:t xml:space="preserve"> определения поставщика был</w:t>
      </w:r>
      <w:r w:rsidR="00D1671B">
        <w:t>и</w:t>
      </w:r>
      <w:r>
        <w:t xml:space="preserve"> заключен</w:t>
      </w:r>
      <w:r w:rsidR="00D1671B">
        <w:t>ы:</w:t>
      </w:r>
      <w:r>
        <w:t xml:space="preserve"> 1 контракт со стоимостным объемом 103,4 тыс. руб</w:t>
      </w:r>
      <w:r w:rsidR="00D1671B">
        <w:t>. и  5 контрактов объемом в 22 693,7 тыс. руб. соответственно.</w:t>
      </w:r>
    </w:p>
    <w:p w:rsidR="00BD1836" w:rsidRPr="00BD1836" w:rsidRDefault="00BD1836" w:rsidP="00BD1836">
      <w:pPr>
        <w:shd w:val="clear" w:color="auto" w:fill="FFFFFF"/>
        <w:spacing w:line="286" w:lineRule="atLeast"/>
        <w:jc w:val="both"/>
        <w:textAlignment w:val="top"/>
        <w:rPr>
          <w:bCs/>
          <w:color w:val="0E0E0E"/>
        </w:rPr>
      </w:pPr>
      <w:r>
        <w:t xml:space="preserve">       </w:t>
      </w:r>
      <w:r w:rsidR="008D271F">
        <w:t xml:space="preserve">Необходимо отметить, </w:t>
      </w:r>
      <w:r>
        <w:t xml:space="preserve">что </w:t>
      </w:r>
      <w:r w:rsidRPr="00BD1836">
        <w:rPr>
          <w:b/>
        </w:rPr>
        <w:t>с</w:t>
      </w:r>
      <w:r w:rsidRPr="00BD1836">
        <w:rPr>
          <w:b/>
          <w:bCs/>
          <w:color w:val="0E0E0E"/>
        </w:rPr>
        <w:t xml:space="preserve"> 1 января 2022</w:t>
      </w:r>
      <w:r>
        <w:rPr>
          <w:bCs/>
          <w:color w:val="0E0E0E"/>
        </w:rPr>
        <w:t xml:space="preserve"> </w:t>
      </w:r>
      <w:r w:rsidRPr="00BD1836">
        <w:rPr>
          <w:b/>
          <w:bCs/>
          <w:color w:val="0E0E0E"/>
        </w:rPr>
        <w:t>года</w:t>
      </w:r>
      <w:r w:rsidRPr="00BD1836">
        <w:rPr>
          <w:bCs/>
          <w:color w:val="0E0E0E"/>
        </w:rPr>
        <w:t xml:space="preserve"> заработал новый порядок проведения </w:t>
      </w:r>
      <w:r w:rsidRPr="00BD1836">
        <w:rPr>
          <w:b/>
          <w:bCs/>
          <w:color w:val="0E0E0E"/>
        </w:rPr>
        <w:t>электронного запроса котировок</w:t>
      </w:r>
      <w:r w:rsidRPr="00BD1836">
        <w:rPr>
          <w:bCs/>
          <w:color w:val="0E0E0E"/>
        </w:rPr>
        <w:t xml:space="preserve">. Годовой лимит закупок таким способом увеличили. Определили случаи несоблюдения ограничений по лимиту и цене. Требования к участникам расширили. Ввели возможность изменить извещение. </w:t>
      </w:r>
    </w:p>
    <w:p w:rsidR="006B3CE3" w:rsidRPr="004B179B" w:rsidRDefault="007530F3" w:rsidP="007530F3">
      <w:pPr>
        <w:ind w:firstLine="426"/>
        <w:jc w:val="both"/>
        <w:rPr>
          <w:rFonts w:ascii="PT Sans" w:hAnsi="PT Sans"/>
          <w:color w:val="333333"/>
        </w:rPr>
      </w:pPr>
      <w:r>
        <w:t>Не смотря на принятые меры</w:t>
      </w:r>
      <w:proofErr w:type="gramStart"/>
      <w:r>
        <w:t xml:space="preserve"> ,</w:t>
      </w:r>
      <w:proofErr w:type="gramEnd"/>
      <w:r>
        <w:t xml:space="preserve"> направленные на совершенствования порядка проведения и на расширение возможностей применения  </w:t>
      </w:r>
      <w:r w:rsidR="00D1671B">
        <w:t xml:space="preserve">Запроса котировок в электронной форме  </w:t>
      </w:r>
      <w:r>
        <w:t>(Федеральные законы от 08.03.2022 г. №46-ФЗ; от 16.04.2022г. №104-ФЗ), о</w:t>
      </w:r>
      <w:r w:rsidR="006F775A" w:rsidRPr="0093643C">
        <w:t>пределени</w:t>
      </w:r>
      <w:r w:rsidR="006F775A">
        <w:t>е</w:t>
      </w:r>
      <w:r w:rsidR="006F775A" w:rsidRPr="0093643C">
        <w:t xml:space="preserve"> поставщика  </w:t>
      </w:r>
      <w:r w:rsidR="00BE32FA">
        <w:t>данным способом закупок</w:t>
      </w:r>
      <w:r w:rsidR="006F775A" w:rsidRPr="00C8656E">
        <w:t xml:space="preserve">  в отчетном периоде 20</w:t>
      </w:r>
      <w:r>
        <w:t>22</w:t>
      </w:r>
      <w:r w:rsidR="006F775A" w:rsidRPr="00C8656E">
        <w:t xml:space="preserve"> года </w:t>
      </w:r>
      <w:r>
        <w:t xml:space="preserve">администрациями городских и сельских поселений Приозерского муниципального района </w:t>
      </w:r>
      <w:r w:rsidR="006F775A" w:rsidRPr="007530F3">
        <w:rPr>
          <w:b/>
        </w:rPr>
        <w:t>не осуществлялось</w:t>
      </w:r>
      <w:r>
        <w:t>.</w:t>
      </w:r>
    </w:p>
    <w:p w:rsidR="007530F3" w:rsidRDefault="009C4A6A" w:rsidP="00C12933">
      <w:pPr>
        <w:jc w:val="both"/>
        <w:rPr>
          <w:i/>
        </w:rPr>
      </w:pPr>
      <w:r>
        <w:rPr>
          <w:i/>
        </w:rPr>
        <w:t xml:space="preserve">      </w:t>
      </w:r>
      <w:r w:rsidRPr="00AC13D6">
        <w:rPr>
          <w:i/>
        </w:rPr>
        <w:t xml:space="preserve">Изменение структуры контрактов может быть обусловлено </w:t>
      </w:r>
      <w:r w:rsidR="00AC13D6" w:rsidRPr="00AC13D6">
        <w:rPr>
          <w:i/>
        </w:rPr>
        <w:t xml:space="preserve">вступившими в силу изменениями законодательства о контрактной системе в части введения специальных </w:t>
      </w:r>
      <w:proofErr w:type="spellStart"/>
      <w:r w:rsidR="00AC13D6" w:rsidRPr="00AC13D6">
        <w:rPr>
          <w:i/>
        </w:rPr>
        <w:t>антисанкционных</w:t>
      </w:r>
      <w:proofErr w:type="spellEnd"/>
      <w:r w:rsidR="00AC13D6" w:rsidRPr="00AC13D6">
        <w:rPr>
          <w:i/>
        </w:rPr>
        <w:t xml:space="preserve"> мер по нивелированию негативных последствий от введения иностранными государствами санкций, предусматривающими возможность осуществления заказчиками закупок у единственного поставщика (подрядчика, исполнителя</w:t>
      </w:r>
      <w:r w:rsidR="00AC13D6">
        <w:rPr>
          <w:i/>
        </w:rPr>
        <w:t>).</w:t>
      </w:r>
    </w:p>
    <w:p w:rsidR="00AC13D6" w:rsidRPr="00AC13D6" w:rsidRDefault="00AC13D6" w:rsidP="00C12933">
      <w:pPr>
        <w:jc w:val="both"/>
        <w:rPr>
          <w:rFonts w:eastAsia="Calibri"/>
          <w:b/>
          <w:i/>
          <w:color w:val="000000"/>
        </w:rPr>
      </w:pPr>
    </w:p>
    <w:p w:rsidR="00C12933" w:rsidRPr="00C12933" w:rsidRDefault="00C12933" w:rsidP="00C12933">
      <w:pPr>
        <w:jc w:val="both"/>
        <w:rPr>
          <w:rFonts w:eastAsia="Calibri"/>
          <w:b/>
          <w:color w:val="000000"/>
        </w:rPr>
      </w:pPr>
      <w:r w:rsidRPr="00C12933">
        <w:rPr>
          <w:rFonts w:eastAsia="Calibri"/>
          <w:b/>
          <w:color w:val="000000"/>
        </w:rPr>
        <w:t>5.1. Анализ расторгнутых контрактов</w:t>
      </w:r>
    </w:p>
    <w:p w:rsidR="00C12933" w:rsidRDefault="00C12933" w:rsidP="008D13DC">
      <w:pPr>
        <w:spacing w:line="120" w:lineRule="auto"/>
        <w:ind w:firstLine="284"/>
        <w:jc w:val="both"/>
        <w:rPr>
          <w:rFonts w:eastAsia="Calibri"/>
          <w:color w:val="000000"/>
        </w:rPr>
      </w:pPr>
    </w:p>
    <w:p w:rsidR="00C12933" w:rsidRDefault="007D52FC" w:rsidP="00C12933">
      <w:pPr>
        <w:ind w:firstLine="284"/>
        <w:jc w:val="both"/>
        <w:rPr>
          <w:rFonts w:eastAsia="Calibri"/>
          <w:color w:val="000000"/>
        </w:rPr>
      </w:pPr>
      <w:r>
        <w:rPr>
          <w:rFonts w:eastAsia="Calibri"/>
          <w:color w:val="000000"/>
        </w:rPr>
        <w:t xml:space="preserve">  </w:t>
      </w:r>
      <w:r w:rsidR="00C12933" w:rsidRPr="00C12933">
        <w:rPr>
          <w:rFonts w:eastAsia="Calibri"/>
          <w:color w:val="000000"/>
        </w:rPr>
        <w:t>По данным ЕИС в отчетном периоде 20</w:t>
      </w:r>
      <w:r w:rsidR="007530F3">
        <w:rPr>
          <w:rFonts w:eastAsia="Calibri"/>
          <w:color w:val="000000"/>
        </w:rPr>
        <w:t>22</w:t>
      </w:r>
      <w:r w:rsidR="00C12933" w:rsidRPr="00C12933">
        <w:rPr>
          <w:rFonts w:eastAsia="Calibri"/>
          <w:color w:val="000000"/>
        </w:rPr>
        <w:t xml:space="preserve"> года Заказчик</w:t>
      </w:r>
      <w:r w:rsidR="007530F3">
        <w:rPr>
          <w:rFonts w:eastAsia="Calibri"/>
          <w:color w:val="000000"/>
        </w:rPr>
        <w:t>ами</w:t>
      </w:r>
      <w:r w:rsidR="00C12933" w:rsidRPr="00C12933">
        <w:rPr>
          <w:rFonts w:eastAsia="Calibri"/>
          <w:color w:val="000000"/>
        </w:rPr>
        <w:t xml:space="preserve"> расторгнуто </w:t>
      </w:r>
      <w:r w:rsidR="00D24F48">
        <w:rPr>
          <w:rFonts w:eastAsia="Calibri"/>
          <w:color w:val="000000"/>
        </w:rPr>
        <w:t xml:space="preserve">                       </w:t>
      </w:r>
      <w:r w:rsidR="00D24F48">
        <w:rPr>
          <w:rFonts w:eastAsia="Calibri"/>
          <w:b/>
          <w:color w:val="000000"/>
        </w:rPr>
        <w:t>3 контракта</w:t>
      </w:r>
      <w:r w:rsidR="00C12933" w:rsidRPr="00C12933">
        <w:rPr>
          <w:rFonts w:eastAsia="Calibri"/>
          <w:color w:val="000000"/>
        </w:rPr>
        <w:t xml:space="preserve"> на общую </w:t>
      </w:r>
      <w:r w:rsidR="007563B1">
        <w:rPr>
          <w:rFonts w:eastAsia="Calibri"/>
          <w:color w:val="000000"/>
        </w:rPr>
        <w:t xml:space="preserve"> </w:t>
      </w:r>
      <w:r w:rsidR="00C12933" w:rsidRPr="00C12933">
        <w:rPr>
          <w:rFonts w:eastAsia="Calibri"/>
          <w:color w:val="000000"/>
        </w:rPr>
        <w:t xml:space="preserve">сумму </w:t>
      </w:r>
      <w:r w:rsidR="007563B1">
        <w:rPr>
          <w:rFonts w:eastAsia="Calibri"/>
          <w:color w:val="000000"/>
        </w:rPr>
        <w:t xml:space="preserve"> </w:t>
      </w:r>
      <w:r w:rsidR="00D24F48">
        <w:rPr>
          <w:rFonts w:eastAsia="Calibri"/>
          <w:b/>
          <w:color w:val="000000"/>
        </w:rPr>
        <w:t>6 939,</w:t>
      </w:r>
      <w:r w:rsidR="009C732D">
        <w:rPr>
          <w:rFonts w:eastAsia="Calibri"/>
          <w:b/>
          <w:color w:val="000000"/>
        </w:rPr>
        <w:t>6</w:t>
      </w:r>
      <w:r w:rsidR="00C12933" w:rsidRPr="007563B1">
        <w:rPr>
          <w:rFonts w:eastAsia="Calibri"/>
          <w:b/>
          <w:color w:val="000000"/>
        </w:rPr>
        <w:t xml:space="preserve"> тыс</w:t>
      </w:r>
      <w:r w:rsidR="00C12933" w:rsidRPr="00C12933">
        <w:rPr>
          <w:rFonts w:eastAsia="Calibri"/>
          <w:b/>
          <w:color w:val="000000"/>
        </w:rPr>
        <w:t xml:space="preserve">. руб. </w:t>
      </w:r>
      <w:r w:rsidR="00C12933" w:rsidRPr="00C12933">
        <w:rPr>
          <w:rFonts w:eastAsia="Calibri"/>
          <w:color w:val="000000"/>
        </w:rPr>
        <w:t>,</w:t>
      </w:r>
      <w:r w:rsidR="00C12933" w:rsidRPr="00C12933">
        <w:rPr>
          <w:rFonts w:eastAsia="Calibri"/>
          <w:b/>
          <w:color w:val="000000"/>
        </w:rPr>
        <w:t xml:space="preserve"> </w:t>
      </w:r>
      <w:r w:rsidR="00C12933" w:rsidRPr="00C12933">
        <w:rPr>
          <w:rFonts w:eastAsia="Calibri"/>
          <w:color w:val="000000"/>
        </w:rPr>
        <w:t>(</w:t>
      </w:r>
      <w:r w:rsidR="00863341">
        <w:rPr>
          <w:rFonts w:eastAsia="Calibri"/>
          <w:color w:val="000000"/>
        </w:rPr>
        <w:t>0,8</w:t>
      </w:r>
      <w:r w:rsidR="00C12933" w:rsidRPr="00C12933">
        <w:rPr>
          <w:rFonts w:eastAsia="Calibri"/>
          <w:color w:val="000000"/>
        </w:rPr>
        <w:t>%  от общего количества контрактов)</w:t>
      </w:r>
      <w:proofErr w:type="gramStart"/>
      <w:r w:rsidR="00C12933" w:rsidRPr="00C12933">
        <w:rPr>
          <w:rFonts w:eastAsia="Calibri"/>
          <w:color w:val="000000"/>
        </w:rPr>
        <w:t xml:space="preserve"> ,</w:t>
      </w:r>
      <w:proofErr w:type="gramEnd"/>
      <w:r w:rsidR="00C12933" w:rsidRPr="00C12933">
        <w:rPr>
          <w:rFonts w:eastAsia="Calibri"/>
          <w:color w:val="000000"/>
        </w:rPr>
        <w:t xml:space="preserve"> что </w:t>
      </w:r>
      <w:r w:rsidR="00863341">
        <w:rPr>
          <w:rFonts w:eastAsia="Calibri"/>
          <w:color w:val="000000"/>
        </w:rPr>
        <w:t>меньше на 81,8%</w:t>
      </w:r>
      <w:r w:rsidR="00C12933" w:rsidRPr="00C12933">
        <w:rPr>
          <w:rFonts w:eastAsia="Calibri"/>
          <w:color w:val="000000"/>
        </w:rPr>
        <w:t xml:space="preserve">  по количеству и </w:t>
      </w:r>
      <w:r w:rsidR="007563B1">
        <w:rPr>
          <w:rFonts w:eastAsia="Calibri"/>
          <w:color w:val="000000"/>
        </w:rPr>
        <w:t xml:space="preserve">меньше на </w:t>
      </w:r>
      <w:r w:rsidR="00863341">
        <w:rPr>
          <w:rFonts w:eastAsia="Calibri"/>
          <w:color w:val="000000"/>
        </w:rPr>
        <w:t>29,3</w:t>
      </w:r>
      <w:r w:rsidR="007563B1">
        <w:rPr>
          <w:rFonts w:eastAsia="Calibri"/>
          <w:color w:val="000000"/>
        </w:rPr>
        <w:t>%</w:t>
      </w:r>
      <w:r w:rsidR="00C12933" w:rsidRPr="00C12933">
        <w:rPr>
          <w:rFonts w:eastAsia="Calibri"/>
          <w:color w:val="000000"/>
        </w:rPr>
        <w:t xml:space="preserve">  по сумме в сравнении с </w:t>
      </w:r>
      <w:r w:rsidR="007563B1">
        <w:rPr>
          <w:rFonts w:eastAsia="Calibri"/>
          <w:color w:val="000000"/>
        </w:rPr>
        <w:t>аналогичным периодом 20</w:t>
      </w:r>
      <w:r w:rsidR="00863341">
        <w:rPr>
          <w:rFonts w:eastAsia="Calibri"/>
          <w:color w:val="000000"/>
        </w:rPr>
        <w:t>21</w:t>
      </w:r>
      <w:r w:rsidR="007563B1">
        <w:rPr>
          <w:rFonts w:eastAsia="Calibri"/>
          <w:color w:val="000000"/>
        </w:rPr>
        <w:t xml:space="preserve"> года</w:t>
      </w:r>
      <w:r w:rsidR="00C12933" w:rsidRPr="00C12933">
        <w:rPr>
          <w:rFonts w:eastAsia="Calibri"/>
          <w:color w:val="000000"/>
        </w:rPr>
        <w:t>, когда Заказчик</w:t>
      </w:r>
      <w:r w:rsidR="007563B1">
        <w:rPr>
          <w:rFonts w:eastAsia="Calibri"/>
          <w:color w:val="000000"/>
        </w:rPr>
        <w:t>ами</w:t>
      </w:r>
      <w:r w:rsidR="00C12933" w:rsidRPr="00C12933">
        <w:rPr>
          <w:rFonts w:eastAsia="Calibri"/>
          <w:color w:val="000000"/>
        </w:rPr>
        <w:t xml:space="preserve"> было расторгнуто </w:t>
      </w:r>
      <w:r w:rsidR="00863341">
        <w:rPr>
          <w:rFonts w:eastAsia="Calibri"/>
          <w:color w:val="000000"/>
        </w:rPr>
        <w:t>11</w:t>
      </w:r>
      <w:r w:rsidR="00C12933" w:rsidRPr="00C12933">
        <w:rPr>
          <w:rFonts w:eastAsia="Calibri"/>
          <w:color w:val="000000"/>
        </w:rPr>
        <w:t xml:space="preserve"> контракт</w:t>
      </w:r>
      <w:r w:rsidR="007563B1">
        <w:rPr>
          <w:rFonts w:eastAsia="Calibri"/>
          <w:color w:val="000000"/>
        </w:rPr>
        <w:t>ов</w:t>
      </w:r>
      <w:r w:rsidR="00C12933" w:rsidRPr="00C12933">
        <w:rPr>
          <w:rFonts w:eastAsia="Calibri"/>
          <w:color w:val="000000"/>
        </w:rPr>
        <w:t xml:space="preserve"> на общую сумму </w:t>
      </w:r>
      <w:r w:rsidR="009C732D">
        <w:rPr>
          <w:rFonts w:eastAsia="Calibri"/>
          <w:color w:val="000000"/>
        </w:rPr>
        <w:t xml:space="preserve"> </w:t>
      </w:r>
      <w:r w:rsidR="00863341">
        <w:rPr>
          <w:rFonts w:eastAsia="Calibri"/>
          <w:color w:val="000000"/>
        </w:rPr>
        <w:t>9 821,9</w:t>
      </w:r>
      <w:r w:rsidR="00C12933" w:rsidRPr="00C12933">
        <w:rPr>
          <w:rFonts w:eastAsia="Calibri"/>
          <w:color w:val="000000"/>
        </w:rPr>
        <w:t xml:space="preserve"> тыс. руб. (</w:t>
      </w:r>
      <w:r w:rsidR="00863341">
        <w:rPr>
          <w:rFonts w:eastAsia="Calibri"/>
          <w:color w:val="000000"/>
        </w:rPr>
        <w:t>5,7</w:t>
      </w:r>
      <w:r w:rsidR="00C12933" w:rsidRPr="00C12933">
        <w:rPr>
          <w:rFonts w:eastAsia="Calibri"/>
          <w:color w:val="000000"/>
        </w:rPr>
        <w:t>% о</w:t>
      </w:r>
      <w:r>
        <w:rPr>
          <w:rFonts w:eastAsia="Calibri"/>
          <w:color w:val="000000"/>
        </w:rPr>
        <w:t>т общего количества контрактов).</w:t>
      </w:r>
    </w:p>
    <w:p w:rsidR="004702BC" w:rsidRDefault="00FF1A56" w:rsidP="00A1507B">
      <w:pPr>
        <w:widowControl w:val="0"/>
        <w:tabs>
          <w:tab w:val="left" w:pos="709"/>
        </w:tabs>
        <w:jc w:val="both"/>
      </w:pPr>
      <w:r>
        <w:t xml:space="preserve">      </w:t>
      </w:r>
      <w:r w:rsidR="004702BC">
        <w:t>Сумма фактической оплаты по расторгнутым контрактам</w:t>
      </w:r>
      <w:r w:rsidR="00A1507B">
        <w:t xml:space="preserve"> составила </w:t>
      </w:r>
      <w:r w:rsidR="009C732D">
        <w:t xml:space="preserve"> </w:t>
      </w:r>
      <w:r w:rsidR="00A1507B" w:rsidRPr="00A1507B">
        <w:rPr>
          <w:b/>
        </w:rPr>
        <w:t>2</w:t>
      </w:r>
      <w:r w:rsidR="009C732D">
        <w:rPr>
          <w:b/>
        </w:rPr>
        <w:t>,2</w:t>
      </w:r>
      <w:r w:rsidR="00A1507B" w:rsidRPr="00A1507B">
        <w:rPr>
          <w:b/>
        </w:rPr>
        <w:t xml:space="preserve"> тыс. руб</w:t>
      </w:r>
      <w:r w:rsidR="00A1507B">
        <w:t>.</w:t>
      </w:r>
    </w:p>
    <w:p w:rsidR="002F646E" w:rsidRDefault="00A1507B" w:rsidP="00FF1A56">
      <w:pPr>
        <w:widowControl w:val="0"/>
        <w:tabs>
          <w:tab w:val="left" w:pos="709"/>
        </w:tabs>
        <w:spacing w:after="120" w:line="300" w:lineRule="exact"/>
        <w:jc w:val="both"/>
        <w:rPr>
          <w:i/>
        </w:rPr>
      </w:pPr>
      <w:r>
        <w:t xml:space="preserve">      </w:t>
      </w:r>
      <w:r w:rsidR="002F646E">
        <w:t>Более наглядно сведения, отражающие количество и суммарную цену расторгнутых  в 20</w:t>
      </w:r>
      <w:r w:rsidR="00863341">
        <w:t>22</w:t>
      </w:r>
      <w:r w:rsidR="002F646E">
        <w:t xml:space="preserve"> году контрактов в разбивке </w:t>
      </w:r>
      <w:r w:rsidR="002F646E" w:rsidRPr="00D04390">
        <w:t>по способам определения поставщика (подрядчика, исполнителя), представлены</w:t>
      </w:r>
      <w:r w:rsidR="002F646E">
        <w:t xml:space="preserve"> </w:t>
      </w:r>
      <w:r w:rsidR="002F646E" w:rsidRPr="00D04390">
        <w:t xml:space="preserve">на </w:t>
      </w:r>
      <w:r w:rsidR="002F646E">
        <w:rPr>
          <w:i/>
        </w:rPr>
        <w:t>Диаграмме 6:</w:t>
      </w:r>
      <w:r w:rsidR="002F646E" w:rsidRPr="009613AF">
        <w:rPr>
          <w:i/>
        </w:rPr>
        <w:t xml:space="preserve"> </w:t>
      </w:r>
    </w:p>
    <w:p w:rsidR="0000733B" w:rsidRDefault="0000733B" w:rsidP="0000733B">
      <w:pPr>
        <w:ind w:firstLine="426"/>
        <w:jc w:val="both"/>
      </w:pPr>
      <w:r>
        <w:t xml:space="preserve">Как видно из выше приведенных данных  </w:t>
      </w:r>
      <w:r>
        <w:rPr>
          <w:b/>
        </w:rPr>
        <w:t>99,1%</w:t>
      </w:r>
      <w:r>
        <w:t xml:space="preserve"> суммарного объема расторгнутых контрактов приходится  на долю электронных аукционов (6 936,8 тыс. руб.). </w:t>
      </w:r>
    </w:p>
    <w:p w:rsidR="0000733B" w:rsidRDefault="0000733B" w:rsidP="0000733B">
      <w:pPr>
        <w:ind w:firstLine="426"/>
        <w:jc w:val="both"/>
        <w:rPr>
          <w:rFonts w:eastAsia="Calibri"/>
          <w:color w:val="000000"/>
        </w:rPr>
      </w:pPr>
      <w:r>
        <w:t xml:space="preserve">Из числа расторгнутых в отчетном периоде  </w:t>
      </w:r>
      <w:r>
        <w:rPr>
          <w:b/>
        </w:rPr>
        <w:t>2</w:t>
      </w:r>
      <w:r w:rsidRPr="006D45E4">
        <w:rPr>
          <w:b/>
        </w:rPr>
        <w:t xml:space="preserve"> контракт</w:t>
      </w:r>
      <w:r>
        <w:rPr>
          <w:b/>
        </w:rPr>
        <w:t>а</w:t>
      </w:r>
      <w:r>
        <w:t xml:space="preserve"> (66,7% от общего количества расторгнутых контрактов) на общую сумму 2,4 тыс. руб.  приходится на контракты, заключенные с единственным поставщиком (</w:t>
      </w:r>
      <w:r w:rsidRPr="00AA6D8A">
        <w:rPr>
          <w:b/>
        </w:rPr>
        <w:t>0,1%</w:t>
      </w:r>
      <w:r>
        <w:t xml:space="preserve"> от суммарного объема расторгнутых контрактов).</w:t>
      </w:r>
    </w:p>
    <w:p w:rsidR="0000733B" w:rsidRDefault="0000733B" w:rsidP="0000733B">
      <w:pPr>
        <w:ind w:firstLine="426"/>
        <w:jc w:val="both"/>
        <w:rPr>
          <w:rFonts w:eastAsia="Calibri"/>
          <w:color w:val="000000"/>
        </w:rPr>
      </w:pPr>
      <w:r>
        <w:rPr>
          <w:rFonts w:eastAsia="Calibri"/>
          <w:color w:val="000000"/>
        </w:rPr>
        <w:t xml:space="preserve"> Из анализа представленных данных по основаниям расторжения контрактов следует, что в отчетном периоде 2022 года, как и в аналогичном  периоде 2021  года, расторжение контрактов осуществлялось </w:t>
      </w:r>
      <w:r w:rsidRPr="00E500A4">
        <w:rPr>
          <w:rFonts w:eastAsia="Calibri"/>
          <w:b/>
          <w:color w:val="000000"/>
        </w:rPr>
        <w:t>по соглашению сторон</w:t>
      </w:r>
      <w:r>
        <w:rPr>
          <w:rFonts w:eastAsia="Calibri"/>
          <w:color w:val="000000"/>
        </w:rPr>
        <w:t xml:space="preserve"> (100,0% от общего количества расторгнутых контрактов).</w:t>
      </w:r>
    </w:p>
    <w:p w:rsidR="0000733B" w:rsidRDefault="0000733B" w:rsidP="0000733B">
      <w:pPr>
        <w:ind w:firstLine="426"/>
        <w:jc w:val="both"/>
        <w:rPr>
          <w:rFonts w:eastAsia="Calibri"/>
          <w:color w:val="000000"/>
        </w:rPr>
      </w:pPr>
    </w:p>
    <w:p w:rsidR="002100DF" w:rsidRPr="008622A2" w:rsidRDefault="002F646E" w:rsidP="002100DF">
      <w:pPr>
        <w:jc w:val="center"/>
        <w:rPr>
          <w:b/>
        </w:rPr>
      </w:pPr>
      <w:r w:rsidRPr="008622A2">
        <w:rPr>
          <w:b/>
        </w:rPr>
        <w:t xml:space="preserve">Диаграмма </w:t>
      </w:r>
      <w:r w:rsidR="002100DF" w:rsidRPr="008622A2">
        <w:rPr>
          <w:b/>
        </w:rPr>
        <w:t>6</w:t>
      </w:r>
      <w:r w:rsidRPr="008622A2">
        <w:rPr>
          <w:b/>
        </w:rPr>
        <w:t>.  Распределение расторгнутых контрактов по  способам определения поставщика</w:t>
      </w:r>
      <w:r w:rsidR="002100DF" w:rsidRPr="008622A2">
        <w:rPr>
          <w:b/>
        </w:rPr>
        <w:t xml:space="preserve"> </w:t>
      </w:r>
      <w:r w:rsidRPr="008622A2">
        <w:rPr>
          <w:b/>
        </w:rPr>
        <w:t xml:space="preserve"> (подрядчика, исполнителя) </w:t>
      </w:r>
    </w:p>
    <w:p w:rsidR="002F646E" w:rsidRDefault="002F646E" w:rsidP="002100DF">
      <w:pPr>
        <w:jc w:val="center"/>
        <w:rPr>
          <w:b/>
        </w:rPr>
      </w:pPr>
      <w:r w:rsidRPr="008622A2">
        <w:rPr>
          <w:b/>
        </w:rPr>
        <w:t>в 20</w:t>
      </w:r>
      <w:r w:rsidR="00863341">
        <w:rPr>
          <w:b/>
        </w:rPr>
        <w:t>22</w:t>
      </w:r>
      <w:r w:rsidRPr="008622A2">
        <w:rPr>
          <w:b/>
        </w:rPr>
        <w:t xml:space="preserve"> году</w:t>
      </w:r>
    </w:p>
    <w:p w:rsidR="00A1507B" w:rsidRDefault="00A1507B" w:rsidP="00A1507B">
      <w:pPr>
        <w:jc w:val="center"/>
        <w:rPr>
          <w:b/>
        </w:rPr>
      </w:pPr>
    </w:p>
    <w:p w:rsidR="002F646E" w:rsidRDefault="00A1507B" w:rsidP="00A1507B">
      <w:pPr>
        <w:jc w:val="center"/>
      </w:pPr>
      <w:r>
        <w:rPr>
          <w:noProof/>
        </w:rPr>
        <w:lastRenderedPageBreak/>
        <w:drawing>
          <wp:inline distT="0" distB="0" distL="0" distR="0" wp14:anchorId="3A9F7BCE" wp14:editId="135D6415">
            <wp:extent cx="5607170" cy="3329797"/>
            <wp:effectExtent l="0" t="0" r="0" b="444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9"/>
              </a:graphicData>
            </a:graphic>
          </wp:inline>
        </w:drawing>
      </w:r>
    </w:p>
    <w:p w:rsidR="00EA5BBE" w:rsidRPr="00EC4F6E" w:rsidRDefault="00EC4F6E" w:rsidP="00EC4F6E">
      <w:pPr>
        <w:pStyle w:val="ab"/>
        <w:ind w:left="0" w:firstLine="426"/>
        <w:rPr>
          <w:rFonts w:ascii="Times New Roman" w:hAnsi="Times New Roman" w:cs="Times New Roman"/>
        </w:rPr>
      </w:pPr>
      <w:r>
        <w:rPr>
          <w:rFonts w:ascii="Times New Roman" w:hAnsi="Times New Roman" w:cs="Times New Roman"/>
        </w:rPr>
        <w:t>Расторжение контрактов  в одностороннем порядке, а также по решению суда в 20</w:t>
      </w:r>
      <w:r w:rsidR="00CA5126">
        <w:rPr>
          <w:rFonts w:ascii="Times New Roman" w:hAnsi="Times New Roman" w:cs="Times New Roman"/>
        </w:rPr>
        <w:t>22</w:t>
      </w:r>
      <w:r>
        <w:rPr>
          <w:rFonts w:ascii="Times New Roman" w:hAnsi="Times New Roman" w:cs="Times New Roman"/>
        </w:rPr>
        <w:t xml:space="preserve"> году не осуществлялось, что может свидетельствовать о том, что проведение процедур обеспечило отбор квалифицированных поставщиков, способных выполнить условия контракта.</w:t>
      </w:r>
    </w:p>
    <w:p w:rsidR="00FC161E" w:rsidRDefault="00FC161E" w:rsidP="001A1DED">
      <w:pPr>
        <w:ind w:firstLine="426"/>
        <w:jc w:val="both"/>
        <w:rPr>
          <w:i/>
        </w:rPr>
      </w:pPr>
    </w:p>
    <w:p w:rsidR="008A007F" w:rsidRPr="00920C72" w:rsidRDefault="000E76AB" w:rsidP="008A007F">
      <w:pPr>
        <w:rPr>
          <w:b/>
        </w:rPr>
      </w:pPr>
      <w:r w:rsidRPr="00920C72">
        <w:t xml:space="preserve"> </w:t>
      </w:r>
      <w:r w:rsidR="008A007F" w:rsidRPr="00920C72">
        <w:rPr>
          <w:b/>
        </w:rPr>
        <w:t>6. Анализ эффективности расходов на закупки</w:t>
      </w:r>
    </w:p>
    <w:p w:rsidR="00255F11" w:rsidRDefault="00255F11" w:rsidP="00280D03">
      <w:pPr>
        <w:spacing w:line="120" w:lineRule="auto"/>
        <w:ind w:firstLine="425"/>
        <w:jc w:val="both"/>
        <w:rPr>
          <w:bCs/>
        </w:rPr>
      </w:pPr>
    </w:p>
    <w:p w:rsidR="00F37FC3" w:rsidRDefault="00F37FC3" w:rsidP="001A1DBA">
      <w:pPr>
        <w:pStyle w:val="Pa11"/>
        <w:spacing w:before="100"/>
        <w:ind w:firstLine="426"/>
        <w:jc w:val="both"/>
        <w:rPr>
          <w:rFonts w:ascii="Times New Roman" w:hAnsi="Times New Roman"/>
          <w:b/>
          <w:color w:val="000000"/>
        </w:rPr>
      </w:pPr>
      <w:r w:rsidRPr="001A1DBA">
        <w:rPr>
          <w:rFonts w:ascii="Times New Roman" w:hAnsi="Times New Roman"/>
          <w:color w:val="000000"/>
        </w:rPr>
        <w:t xml:space="preserve">В соответствии с действующим законодательством, одними из важнейших принципов контрактной системы являются обеспечение </w:t>
      </w:r>
      <w:r w:rsidRPr="00B27467">
        <w:rPr>
          <w:rFonts w:ascii="Times New Roman" w:hAnsi="Times New Roman"/>
          <w:b/>
          <w:color w:val="000000"/>
        </w:rPr>
        <w:t>конкуренции</w:t>
      </w:r>
      <w:r w:rsidRPr="001A1DBA">
        <w:rPr>
          <w:rFonts w:ascii="Times New Roman" w:hAnsi="Times New Roman"/>
          <w:color w:val="000000"/>
        </w:rPr>
        <w:t xml:space="preserve"> и </w:t>
      </w:r>
      <w:r w:rsidRPr="00B27467">
        <w:rPr>
          <w:rFonts w:ascii="Times New Roman" w:hAnsi="Times New Roman"/>
          <w:b/>
          <w:color w:val="000000"/>
        </w:rPr>
        <w:t xml:space="preserve">эффективность осуществления закупок. </w:t>
      </w:r>
    </w:p>
    <w:p w:rsidR="00A52A98" w:rsidRPr="001A1DBA" w:rsidRDefault="00A52A98" w:rsidP="00A52A98">
      <w:pPr>
        <w:ind w:firstLine="426"/>
        <w:jc w:val="both"/>
        <w:rPr>
          <w:bCs/>
        </w:rPr>
      </w:pPr>
      <w:r w:rsidRPr="001A1DBA">
        <w:rPr>
          <w:color w:val="000000"/>
        </w:rPr>
        <w:t xml:space="preserve">В соответствии с существующей позицией регулятора контрактной системы (Минфин России) в качестве общего показателя уровня конкуренции рассматривается </w:t>
      </w:r>
      <w:r w:rsidRPr="00A52A98">
        <w:rPr>
          <w:b/>
          <w:color w:val="000000"/>
        </w:rPr>
        <w:t>среднее количество заявок</w:t>
      </w:r>
      <w:r w:rsidRPr="001A1DBA">
        <w:rPr>
          <w:color w:val="000000"/>
        </w:rPr>
        <w:t xml:space="preserve">, поданных на 1 лот, а в качестве показателя эффективности закупок – величина </w:t>
      </w:r>
      <w:r w:rsidRPr="00A52A98">
        <w:rPr>
          <w:b/>
          <w:color w:val="000000"/>
        </w:rPr>
        <w:t>относительной экономии</w:t>
      </w:r>
      <w:r w:rsidRPr="001A1DBA">
        <w:rPr>
          <w:color w:val="000000"/>
        </w:rPr>
        <w:t xml:space="preserve"> предусмотренных финансовых средств по результатам заключения контрактов.</w:t>
      </w:r>
    </w:p>
    <w:p w:rsidR="00A52A98" w:rsidRPr="00A52A98" w:rsidRDefault="00A52A98" w:rsidP="00A52A98">
      <w:pPr>
        <w:pStyle w:val="Default"/>
        <w:spacing w:line="120" w:lineRule="auto"/>
      </w:pPr>
    </w:p>
    <w:p w:rsidR="002D5E6C" w:rsidRPr="00E4607E" w:rsidRDefault="002D5E6C" w:rsidP="002D5E6C">
      <w:pPr>
        <w:ind w:firstLine="426"/>
        <w:jc w:val="both"/>
        <w:rPr>
          <w:bCs/>
        </w:rPr>
      </w:pPr>
      <w:r w:rsidRPr="00E4607E">
        <w:rPr>
          <w:bCs/>
        </w:rPr>
        <w:t xml:space="preserve">В ходе </w:t>
      </w:r>
      <w:r>
        <w:rPr>
          <w:bCs/>
        </w:rPr>
        <w:t xml:space="preserve">подготовки настоящего Отчета далее </w:t>
      </w:r>
      <w:r w:rsidRPr="00E4607E">
        <w:rPr>
          <w:bCs/>
        </w:rPr>
        <w:t xml:space="preserve">была осуществлена проверка и анализ эффективности расходов на закупки в процессе планирования закупок товаров (работ, услуг), определения поставщиков (исполнителей, подрядчиков), заключения контрактов. </w:t>
      </w:r>
    </w:p>
    <w:p w:rsidR="002D5E6C" w:rsidRPr="00E4607E" w:rsidRDefault="002D5E6C" w:rsidP="002D5E6C">
      <w:pPr>
        <w:autoSpaceDE w:val="0"/>
        <w:autoSpaceDN w:val="0"/>
        <w:adjustRightInd w:val="0"/>
        <w:spacing w:after="120" w:line="280" w:lineRule="exact"/>
        <w:ind w:firstLine="426"/>
        <w:jc w:val="both"/>
        <w:rPr>
          <w:bCs/>
        </w:rPr>
      </w:pPr>
      <w:r w:rsidRPr="00E4607E">
        <w:t>При оценке эффективности расходов на закупки рекомендуется применять следующие показатели:</w:t>
      </w:r>
    </w:p>
    <w:p w:rsidR="002D5E6C" w:rsidRDefault="002D5E6C" w:rsidP="002D5E6C">
      <w:pPr>
        <w:numPr>
          <w:ilvl w:val="0"/>
          <w:numId w:val="5"/>
        </w:numPr>
        <w:spacing w:after="120" w:line="280" w:lineRule="exact"/>
        <w:ind w:left="0" w:firstLine="426"/>
        <w:jc w:val="both"/>
      </w:pPr>
      <w:r w:rsidRPr="004577CE">
        <w:rPr>
          <w:b/>
        </w:rPr>
        <w:t xml:space="preserve">экономия бюджетных средств, </w:t>
      </w:r>
      <w:r w:rsidRPr="00E4607E">
        <w:t>в процессе осуществления закупок (определения поставщиков (исполнителей, подрядчиков) - это снижение начальной (максимальной) цены контрактов относительно цены заключенных контрактов;</w:t>
      </w:r>
    </w:p>
    <w:p w:rsidR="002D5E6C" w:rsidRDefault="002D5E6C" w:rsidP="002D5E6C">
      <w:pPr>
        <w:numPr>
          <w:ilvl w:val="0"/>
          <w:numId w:val="5"/>
        </w:numPr>
        <w:spacing w:after="120" w:line="23" w:lineRule="atLeast"/>
        <w:ind w:left="0" w:firstLine="426"/>
        <w:jc w:val="both"/>
      </w:pPr>
      <w:r w:rsidRPr="002D5E6C">
        <w:rPr>
          <w:b/>
        </w:rPr>
        <w:t>абсолютный объем экономии</w:t>
      </w:r>
      <w:r w:rsidRPr="00E4607E">
        <w:t xml:space="preserve"> (в рублях) за соответствующий период (показатель рассчитывается как разница между общей суммой начальных (максимальных) цен контрактов и стоимостью заключенных контрактов;</w:t>
      </w:r>
    </w:p>
    <w:p w:rsidR="002D5E6C" w:rsidRDefault="002D5E6C" w:rsidP="002D5E6C">
      <w:pPr>
        <w:numPr>
          <w:ilvl w:val="0"/>
          <w:numId w:val="5"/>
        </w:numPr>
        <w:spacing w:after="120" w:line="23" w:lineRule="atLeast"/>
        <w:ind w:left="0" w:firstLine="426"/>
        <w:jc w:val="both"/>
      </w:pPr>
      <w:r w:rsidRPr="002D5E6C">
        <w:rPr>
          <w:b/>
        </w:rPr>
        <w:t xml:space="preserve">относительный объем экономии </w:t>
      </w:r>
      <w:r w:rsidRPr="00E4607E">
        <w:t xml:space="preserve">(в процентах) за соответствующий период </w:t>
      </w:r>
      <w:proofErr w:type="gramStart"/>
      <w:r w:rsidRPr="00E4607E">
        <w:t xml:space="preserve">( </w:t>
      </w:r>
      <w:proofErr w:type="gramEnd"/>
      <w:r w:rsidRPr="00E4607E">
        <w:t>показатель рассчитывается как отношение абсолютной экономии к общей сумме начальных (максимальных) цен контрактов</w:t>
      </w:r>
      <w:r>
        <w:t>.</w:t>
      </w:r>
    </w:p>
    <w:p w:rsidR="00242D6E" w:rsidRDefault="00314826" w:rsidP="002D5E6C">
      <w:pPr>
        <w:spacing w:after="120" w:line="23" w:lineRule="atLeast"/>
        <w:jc w:val="both"/>
      </w:pPr>
      <w:r w:rsidRPr="002D5E6C">
        <w:rPr>
          <w:b/>
        </w:rPr>
        <w:lastRenderedPageBreak/>
        <w:t xml:space="preserve">      </w:t>
      </w:r>
      <w:r w:rsidR="00161F86" w:rsidRPr="002D5E6C">
        <w:rPr>
          <w:b/>
        </w:rPr>
        <w:t xml:space="preserve">1. </w:t>
      </w:r>
      <w:r w:rsidRPr="002D5E6C">
        <w:rPr>
          <w:b/>
        </w:rPr>
        <w:t xml:space="preserve">Экономия бюджетных средств, </w:t>
      </w:r>
      <w:r w:rsidRPr="00B1140B">
        <w:t>в процессе осуществления закупок (определения поставщиков</w:t>
      </w:r>
      <w:r>
        <w:t>)  по итогам 20</w:t>
      </w:r>
      <w:r w:rsidR="00A54E96">
        <w:t>22</w:t>
      </w:r>
      <w:r>
        <w:t xml:space="preserve"> года определена в размере  </w:t>
      </w:r>
      <w:r w:rsidR="00916C1B" w:rsidRPr="002D5E6C">
        <w:rPr>
          <w:b/>
        </w:rPr>
        <w:t>26</w:t>
      </w:r>
      <w:r w:rsidR="00A54E96">
        <w:rPr>
          <w:b/>
        </w:rPr>
        <w:t> 249,3</w:t>
      </w:r>
      <w:r w:rsidR="00916C1B" w:rsidRPr="002D5E6C">
        <w:rPr>
          <w:b/>
        </w:rPr>
        <w:t xml:space="preserve"> </w:t>
      </w:r>
      <w:r w:rsidRPr="002D5E6C">
        <w:rPr>
          <w:b/>
        </w:rPr>
        <w:t>тыс. руб.</w:t>
      </w:r>
      <w:r>
        <w:t xml:space="preserve">  или  </w:t>
      </w:r>
      <w:r w:rsidR="00A54E96">
        <w:rPr>
          <w:b/>
        </w:rPr>
        <w:t>2,8</w:t>
      </w:r>
      <w:r w:rsidRPr="002D5E6C">
        <w:rPr>
          <w:b/>
        </w:rPr>
        <w:t>%</w:t>
      </w:r>
      <w:r>
        <w:t xml:space="preserve"> снижения начальной (максимальной) цены контрактов относительно цены заключенных контрактов</w:t>
      </w:r>
      <w:r w:rsidRPr="002D5E6C">
        <w:rPr>
          <w:i/>
        </w:rPr>
        <w:t xml:space="preserve"> (столбец 18 </w:t>
      </w:r>
      <w:r w:rsidR="00A545A0" w:rsidRPr="002D5E6C">
        <w:rPr>
          <w:i/>
        </w:rPr>
        <w:t>Приложения</w:t>
      </w:r>
      <w:r w:rsidR="009A168C">
        <w:rPr>
          <w:i/>
        </w:rPr>
        <w:t xml:space="preserve"> №2</w:t>
      </w:r>
      <w:r w:rsidRPr="002D5E6C">
        <w:rPr>
          <w:i/>
        </w:rPr>
        <w:t>)</w:t>
      </w:r>
      <w:r w:rsidR="00242D6E" w:rsidRPr="002D5E6C">
        <w:rPr>
          <w:i/>
        </w:rPr>
        <w:t>,</w:t>
      </w:r>
      <w:r w:rsidR="00242D6E" w:rsidRPr="00242D6E">
        <w:t xml:space="preserve"> </w:t>
      </w:r>
      <w:r w:rsidR="00242D6E">
        <w:t>в том числе по итогам:</w:t>
      </w:r>
    </w:p>
    <w:p w:rsidR="00242D6E" w:rsidRPr="0052581C" w:rsidRDefault="00242D6E" w:rsidP="00456F59">
      <w:pPr>
        <w:numPr>
          <w:ilvl w:val="0"/>
          <w:numId w:val="25"/>
        </w:numPr>
        <w:spacing w:line="23" w:lineRule="atLeast"/>
        <w:jc w:val="both"/>
        <w:rPr>
          <w:b/>
        </w:rPr>
      </w:pPr>
      <w:r>
        <w:t xml:space="preserve">Электронный аукцион – </w:t>
      </w:r>
      <w:r w:rsidRPr="0052581C">
        <w:rPr>
          <w:b/>
        </w:rPr>
        <w:t>2</w:t>
      </w:r>
      <w:r w:rsidR="00A54E96">
        <w:rPr>
          <w:b/>
        </w:rPr>
        <w:t>5 022,1</w:t>
      </w:r>
      <w:r w:rsidRPr="0052581C">
        <w:rPr>
          <w:b/>
        </w:rPr>
        <w:t xml:space="preserve"> тыс. руб.</w:t>
      </w:r>
    </w:p>
    <w:p w:rsidR="00242D6E" w:rsidRDefault="00A54E96" w:rsidP="00456F59">
      <w:pPr>
        <w:numPr>
          <w:ilvl w:val="0"/>
          <w:numId w:val="25"/>
        </w:numPr>
        <w:spacing w:line="23" w:lineRule="atLeast"/>
        <w:jc w:val="both"/>
        <w:rPr>
          <w:b/>
        </w:rPr>
      </w:pPr>
      <w:r>
        <w:t>Электронный конкурс</w:t>
      </w:r>
      <w:r w:rsidR="00242D6E">
        <w:t xml:space="preserve">  – </w:t>
      </w:r>
      <w:r w:rsidRPr="00A54E96">
        <w:rPr>
          <w:b/>
        </w:rPr>
        <w:t>1 227,2</w:t>
      </w:r>
      <w:r w:rsidR="00242D6E" w:rsidRPr="00A54E96">
        <w:rPr>
          <w:b/>
        </w:rPr>
        <w:t xml:space="preserve"> тыс</w:t>
      </w:r>
      <w:r w:rsidR="00242D6E" w:rsidRPr="0052581C">
        <w:rPr>
          <w:b/>
        </w:rPr>
        <w:t>. руб.</w:t>
      </w:r>
    </w:p>
    <w:p w:rsidR="00242D6E" w:rsidRPr="000F67CC" w:rsidRDefault="00242D6E" w:rsidP="00456F59">
      <w:pPr>
        <w:numPr>
          <w:ilvl w:val="0"/>
          <w:numId w:val="25"/>
        </w:numPr>
        <w:spacing w:line="23" w:lineRule="atLeast"/>
        <w:jc w:val="both"/>
        <w:rPr>
          <w:b/>
        </w:rPr>
      </w:pPr>
      <w:r w:rsidRPr="00242D6E">
        <w:t>Запрос котировок</w:t>
      </w:r>
      <w:r w:rsidRPr="000F67CC">
        <w:rPr>
          <w:b/>
        </w:rPr>
        <w:t xml:space="preserve"> – </w:t>
      </w:r>
      <w:r w:rsidR="000F67CC" w:rsidRPr="000F67CC">
        <w:rPr>
          <w:b/>
        </w:rPr>
        <w:t>0,</w:t>
      </w:r>
      <w:r w:rsidR="000F67CC">
        <w:rPr>
          <w:b/>
        </w:rPr>
        <w:t>0</w:t>
      </w:r>
      <w:r w:rsidRPr="000F67CC">
        <w:rPr>
          <w:b/>
        </w:rPr>
        <w:t xml:space="preserve"> тыс. руб.</w:t>
      </w:r>
    </w:p>
    <w:p w:rsidR="00242D6E" w:rsidRDefault="00242D6E" w:rsidP="00242D6E">
      <w:pPr>
        <w:ind w:firstLine="426"/>
        <w:jc w:val="both"/>
      </w:pPr>
      <w:r>
        <w:t xml:space="preserve">Наибольшая доля экономии приходится на закупки, осуществленные посредством Электронного аукциона – </w:t>
      </w:r>
      <w:r w:rsidRPr="0052581C">
        <w:rPr>
          <w:b/>
        </w:rPr>
        <w:t>9</w:t>
      </w:r>
      <w:r w:rsidR="000F67CC">
        <w:rPr>
          <w:b/>
        </w:rPr>
        <w:t>5,3</w:t>
      </w:r>
      <w:r w:rsidRPr="0052581C">
        <w:rPr>
          <w:b/>
        </w:rPr>
        <w:t>%</w:t>
      </w:r>
      <w:r>
        <w:t xml:space="preserve"> от общей суммы экономии, наименьшая – на закупки, проведенные </w:t>
      </w:r>
      <w:r w:rsidR="000F67CC">
        <w:t xml:space="preserve"> Электронным конкурсом</w:t>
      </w:r>
      <w:r>
        <w:t xml:space="preserve"> – </w:t>
      </w:r>
      <w:r w:rsidR="000F67CC">
        <w:rPr>
          <w:b/>
        </w:rPr>
        <w:t>4,7%</w:t>
      </w:r>
      <w:r>
        <w:t xml:space="preserve"> от общей суммы экономии.</w:t>
      </w:r>
    </w:p>
    <w:p w:rsidR="00314826" w:rsidRDefault="00314826" w:rsidP="00242D6E">
      <w:pPr>
        <w:spacing w:line="120" w:lineRule="auto"/>
        <w:jc w:val="both"/>
      </w:pPr>
    </w:p>
    <w:p w:rsidR="00314826" w:rsidRDefault="00314826" w:rsidP="00314826">
      <w:pPr>
        <w:spacing w:line="23" w:lineRule="atLeast"/>
        <w:jc w:val="both"/>
      </w:pPr>
      <w:r>
        <w:t xml:space="preserve">      </w:t>
      </w:r>
      <w:r w:rsidRPr="007557BC">
        <w:t>При оценке эффективности расходов на закупки</w:t>
      </w:r>
      <w:r w:rsidR="00186AD3">
        <w:t>, произведенные в 20</w:t>
      </w:r>
      <w:r w:rsidR="000F67CC">
        <w:t>22</w:t>
      </w:r>
      <w:r>
        <w:t xml:space="preserve"> году</w:t>
      </w:r>
      <w:proofErr w:type="gramStart"/>
      <w:r>
        <w:t xml:space="preserve"> ,</w:t>
      </w:r>
      <w:proofErr w:type="gramEnd"/>
      <w:r>
        <w:t xml:space="preserve"> </w:t>
      </w:r>
      <w:r w:rsidRPr="007557BC">
        <w:t xml:space="preserve">был определен </w:t>
      </w:r>
      <w:r w:rsidRPr="00795AFB">
        <w:rPr>
          <w:b/>
          <w:u w:val="single"/>
        </w:rPr>
        <w:t>абсолютный объем экономии</w:t>
      </w:r>
      <w:r w:rsidRPr="00795AFB">
        <w:rPr>
          <w:b/>
        </w:rPr>
        <w:t>.</w:t>
      </w:r>
      <w:r w:rsidRPr="007557BC">
        <w:t xml:space="preserve"> </w:t>
      </w:r>
      <w:r>
        <w:t xml:space="preserve"> </w:t>
      </w:r>
    </w:p>
    <w:p w:rsidR="00314826" w:rsidRPr="00F61190" w:rsidRDefault="00314826" w:rsidP="00314826">
      <w:pPr>
        <w:pStyle w:val="ConsPlusNormal"/>
        <w:tabs>
          <w:tab w:val="num" w:pos="709"/>
        </w:tabs>
        <w:ind w:firstLine="426"/>
        <w:jc w:val="both"/>
        <w:rPr>
          <w:rFonts w:ascii="Times New Roman" w:hAnsi="Times New Roman" w:cs="Times New Roman"/>
          <w:sz w:val="24"/>
          <w:szCs w:val="24"/>
        </w:rPr>
      </w:pPr>
      <w:r w:rsidRPr="00F61190">
        <w:rPr>
          <w:rFonts w:ascii="Times New Roman" w:hAnsi="Times New Roman" w:cs="Times New Roman"/>
          <w:sz w:val="24"/>
          <w:szCs w:val="24"/>
        </w:rPr>
        <w:t>--------------------------------</w:t>
      </w:r>
    </w:p>
    <w:p w:rsidR="00314826" w:rsidRPr="00714584" w:rsidRDefault="00314826" w:rsidP="00314826">
      <w:pPr>
        <w:spacing w:line="23" w:lineRule="atLeast"/>
        <w:ind w:firstLine="426"/>
        <w:jc w:val="both"/>
        <w:rPr>
          <w:rFonts w:ascii="Calibri" w:eastAsia="Calibri" w:hAnsi="Calibri" w:cs="Calibri"/>
        </w:rPr>
      </w:pPr>
      <w:r w:rsidRPr="00714584">
        <w:rPr>
          <w:rFonts w:ascii="Calibri" w:eastAsia="Calibri" w:hAnsi="Calibri" w:cs="Calibri"/>
        </w:rPr>
        <w:t>При расчете данного показателя учитывались состоявшиеся закупки (т.е. определен победитель и заключен контракт) в текущем отчетном периоде 20</w:t>
      </w:r>
      <w:r w:rsidR="000F67CC">
        <w:rPr>
          <w:rFonts w:ascii="Calibri" w:eastAsia="Calibri" w:hAnsi="Calibri" w:cs="Calibri"/>
        </w:rPr>
        <w:t>22</w:t>
      </w:r>
      <w:r w:rsidRPr="00714584">
        <w:rPr>
          <w:rFonts w:ascii="Calibri" w:eastAsia="Calibri" w:hAnsi="Calibri" w:cs="Calibri"/>
        </w:rPr>
        <w:t xml:space="preserve"> года.</w:t>
      </w:r>
    </w:p>
    <w:p w:rsidR="00314826" w:rsidRPr="00714584" w:rsidRDefault="00314826" w:rsidP="00314826">
      <w:pPr>
        <w:widowControl w:val="0"/>
        <w:tabs>
          <w:tab w:val="left" w:pos="709"/>
        </w:tabs>
        <w:ind w:firstLine="426"/>
        <w:jc w:val="both"/>
        <w:rPr>
          <w:rFonts w:ascii="Calibri" w:eastAsia="Calibri" w:hAnsi="Calibri" w:cs="Calibri"/>
        </w:rPr>
      </w:pPr>
      <w:r w:rsidRPr="00714584">
        <w:rPr>
          <w:rFonts w:ascii="Calibri" w:eastAsia="Calibri" w:hAnsi="Calibri" w:cs="Calibri"/>
        </w:rPr>
        <w:t xml:space="preserve">  По итогам  </w:t>
      </w:r>
      <w:r w:rsidR="000F67CC">
        <w:rPr>
          <w:rFonts w:ascii="Calibri" w:eastAsia="Calibri" w:hAnsi="Calibri" w:cs="Calibri"/>
        </w:rPr>
        <w:t>1</w:t>
      </w:r>
      <w:r w:rsidRPr="00714584">
        <w:rPr>
          <w:rFonts w:ascii="Calibri" w:eastAsia="Calibri" w:hAnsi="Calibri" w:cs="Calibri"/>
        </w:rPr>
        <w:t xml:space="preserve"> (</w:t>
      </w:r>
      <w:r w:rsidR="000F67CC">
        <w:rPr>
          <w:rFonts w:ascii="Calibri" w:eastAsia="Calibri" w:hAnsi="Calibri" w:cs="Calibri"/>
        </w:rPr>
        <w:t>одной</w:t>
      </w:r>
      <w:r w:rsidRPr="00714584">
        <w:rPr>
          <w:rFonts w:ascii="Calibri" w:eastAsia="Calibri" w:hAnsi="Calibri" w:cs="Calibri"/>
        </w:rPr>
        <w:t>) закупоч</w:t>
      </w:r>
      <w:r w:rsidR="000F67CC">
        <w:rPr>
          <w:rFonts w:ascii="Calibri" w:eastAsia="Calibri" w:hAnsi="Calibri" w:cs="Calibri"/>
        </w:rPr>
        <w:t>ной</w:t>
      </w:r>
      <w:r w:rsidRPr="00714584">
        <w:rPr>
          <w:rFonts w:ascii="Calibri" w:eastAsia="Calibri" w:hAnsi="Calibri" w:cs="Calibri"/>
        </w:rPr>
        <w:t xml:space="preserve"> процедур</w:t>
      </w:r>
      <w:r w:rsidR="000F67CC">
        <w:rPr>
          <w:rFonts w:ascii="Calibri" w:eastAsia="Calibri" w:hAnsi="Calibri" w:cs="Calibri"/>
        </w:rPr>
        <w:t xml:space="preserve">ы </w:t>
      </w:r>
      <w:r w:rsidRPr="00714584">
        <w:rPr>
          <w:rFonts w:ascii="Calibri" w:eastAsia="Calibri" w:hAnsi="Calibri" w:cs="Calibri"/>
        </w:rPr>
        <w:t xml:space="preserve"> (в декабре 20</w:t>
      </w:r>
      <w:r w:rsidR="000F67CC">
        <w:rPr>
          <w:rFonts w:ascii="Calibri" w:eastAsia="Calibri" w:hAnsi="Calibri" w:cs="Calibri"/>
        </w:rPr>
        <w:t>22</w:t>
      </w:r>
      <w:r w:rsidR="00186AD3">
        <w:rPr>
          <w:rFonts w:ascii="Calibri" w:eastAsia="Calibri" w:hAnsi="Calibri" w:cs="Calibri"/>
        </w:rPr>
        <w:t xml:space="preserve"> </w:t>
      </w:r>
      <w:r w:rsidRPr="00714584">
        <w:rPr>
          <w:rFonts w:ascii="Calibri" w:eastAsia="Calibri" w:hAnsi="Calibri" w:cs="Calibri"/>
        </w:rPr>
        <w:t xml:space="preserve">года) на сумму  </w:t>
      </w:r>
      <w:r w:rsidR="000F67CC">
        <w:rPr>
          <w:rFonts w:ascii="Calibri" w:eastAsia="Calibri" w:hAnsi="Calibri" w:cs="Calibri"/>
        </w:rPr>
        <w:t xml:space="preserve">    </w:t>
      </w:r>
      <w:r w:rsidR="000F67CC" w:rsidRPr="000F67CC">
        <w:rPr>
          <w:rFonts w:ascii="Calibri" w:eastAsia="Calibri" w:hAnsi="Calibri" w:cs="Calibri"/>
          <w:b/>
        </w:rPr>
        <w:t>1 097,</w:t>
      </w:r>
      <w:r w:rsidR="00126254">
        <w:rPr>
          <w:rFonts w:ascii="Calibri" w:eastAsia="Calibri" w:hAnsi="Calibri" w:cs="Calibri"/>
          <w:b/>
        </w:rPr>
        <w:t>9</w:t>
      </w:r>
      <w:r w:rsidRPr="000F67CC">
        <w:rPr>
          <w:rFonts w:ascii="Calibri" w:eastAsia="Calibri" w:hAnsi="Calibri" w:cs="Calibri"/>
          <w:b/>
        </w:rPr>
        <w:t xml:space="preserve"> тыс.</w:t>
      </w:r>
      <w:r w:rsidRPr="00714584">
        <w:rPr>
          <w:rFonts w:ascii="Calibri" w:eastAsia="Calibri" w:hAnsi="Calibri" w:cs="Calibri"/>
          <w:b/>
        </w:rPr>
        <w:t xml:space="preserve"> руб</w:t>
      </w:r>
      <w:r w:rsidRPr="00714584">
        <w:rPr>
          <w:rFonts w:ascii="Calibri" w:eastAsia="Calibri" w:hAnsi="Calibri" w:cs="Calibri"/>
        </w:rPr>
        <w:t>. контракт был</w:t>
      </w:r>
      <w:r w:rsidR="000F67CC">
        <w:rPr>
          <w:rFonts w:ascii="Calibri" w:eastAsia="Calibri" w:hAnsi="Calibri" w:cs="Calibri"/>
        </w:rPr>
        <w:t xml:space="preserve"> заключен</w:t>
      </w:r>
      <w:r w:rsidRPr="00714584">
        <w:rPr>
          <w:rFonts w:ascii="Calibri" w:eastAsia="Calibri" w:hAnsi="Calibri" w:cs="Calibri"/>
        </w:rPr>
        <w:t xml:space="preserve"> в 20</w:t>
      </w:r>
      <w:r w:rsidR="000F67CC">
        <w:rPr>
          <w:rFonts w:ascii="Calibri" w:eastAsia="Calibri" w:hAnsi="Calibri" w:cs="Calibri"/>
        </w:rPr>
        <w:t>23</w:t>
      </w:r>
      <w:r w:rsidRPr="00714584">
        <w:rPr>
          <w:rFonts w:ascii="Calibri" w:eastAsia="Calibri" w:hAnsi="Calibri" w:cs="Calibri"/>
        </w:rPr>
        <w:t xml:space="preserve"> году. Данная сумма не учитывалась при расчете показателя абсолютного объема экономии.</w:t>
      </w:r>
    </w:p>
    <w:p w:rsidR="00314826" w:rsidRDefault="00314826" w:rsidP="00314826">
      <w:pPr>
        <w:spacing w:line="120" w:lineRule="auto"/>
        <w:ind w:firstLine="567"/>
        <w:jc w:val="both"/>
      </w:pPr>
    </w:p>
    <w:p w:rsidR="00314826" w:rsidRDefault="00314826" w:rsidP="00314826">
      <w:pPr>
        <w:spacing w:line="23" w:lineRule="atLeast"/>
        <w:ind w:firstLine="426"/>
        <w:jc w:val="both"/>
      </w:pPr>
      <w:r w:rsidRPr="007557BC">
        <w:t>Данный показатель рассчитывается по следующей формуле:</w:t>
      </w:r>
    </w:p>
    <w:p w:rsidR="00314826" w:rsidRPr="007557BC" w:rsidRDefault="00314826" w:rsidP="00314826">
      <w:pPr>
        <w:spacing w:line="23" w:lineRule="atLeast"/>
        <w:ind w:firstLine="720"/>
        <w:jc w:val="both"/>
      </w:pPr>
    </w:p>
    <w:p w:rsidR="00314826" w:rsidRPr="005266B7" w:rsidRDefault="00314826" w:rsidP="00314826">
      <w:pPr>
        <w:spacing w:line="23" w:lineRule="atLeast"/>
        <w:ind w:firstLine="720"/>
        <w:rPr>
          <w:b/>
        </w:rPr>
      </w:pPr>
      <w:r>
        <w:rPr>
          <w:b/>
        </w:rPr>
        <w:t xml:space="preserve">                                        </w:t>
      </w:r>
      <w:r w:rsidRPr="005266B7">
        <w:rPr>
          <w:b/>
        </w:rPr>
        <w:t xml:space="preserve">(НМЦК – ЦК = АОЭ), </w:t>
      </w:r>
      <w:r w:rsidRPr="00591B9A">
        <w:t>где:</w:t>
      </w:r>
    </w:p>
    <w:p w:rsidR="00314826" w:rsidRPr="007557BC" w:rsidRDefault="00314826" w:rsidP="00314826">
      <w:pPr>
        <w:spacing w:line="23" w:lineRule="atLeast"/>
        <w:ind w:firstLine="720"/>
        <w:jc w:val="center"/>
      </w:pPr>
    </w:p>
    <w:p w:rsidR="00314826" w:rsidRDefault="00314826" w:rsidP="00314826">
      <w:pPr>
        <w:spacing w:line="23" w:lineRule="atLeast"/>
        <w:ind w:firstLine="426"/>
        <w:jc w:val="both"/>
      </w:pPr>
      <w:r w:rsidRPr="007557BC">
        <w:t xml:space="preserve">НМЦК – сумма всех начальных (максимальных) цен контрактов </w:t>
      </w:r>
    </w:p>
    <w:p w:rsidR="00314826" w:rsidRPr="007557BC" w:rsidRDefault="00314826" w:rsidP="00314826">
      <w:pPr>
        <w:spacing w:line="23" w:lineRule="atLeast"/>
        <w:ind w:firstLine="426"/>
        <w:jc w:val="both"/>
      </w:pPr>
      <w:r w:rsidRPr="007557BC">
        <w:t>ЦК – сумма заключенных контрактов,</w:t>
      </w:r>
    </w:p>
    <w:p w:rsidR="00314826" w:rsidRPr="007557BC" w:rsidRDefault="00314826" w:rsidP="00314826">
      <w:pPr>
        <w:spacing w:line="23" w:lineRule="atLeast"/>
        <w:ind w:firstLine="426"/>
        <w:jc w:val="both"/>
      </w:pPr>
      <w:r w:rsidRPr="007557BC">
        <w:t>АОЭ -  абсолютный объем экономии.</w:t>
      </w:r>
    </w:p>
    <w:p w:rsidR="00314826" w:rsidRDefault="00314826" w:rsidP="000F67CC">
      <w:pPr>
        <w:spacing w:line="120" w:lineRule="auto"/>
        <w:ind w:firstLine="720"/>
        <w:jc w:val="both"/>
        <w:rPr>
          <w:u w:val="single"/>
        </w:rPr>
      </w:pPr>
    </w:p>
    <w:p w:rsidR="00314826" w:rsidRPr="007557BC" w:rsidRDefault="00314826" w:rsidP="004C3FDB">
      <w:pPr>
        <w:numPr>
          <w:ilvl w:val="0"/>
          <w:numId w:val="8"/>
        </w:numPr>
        <w:tabs>
          <w:tab w:val="left" w:pos="567"/>
        </w:tabs>
        <w:spacing w:line="23" w:lineRule="atLeast"/>
        <w:ind w:left="0" w:firstLine="426"/>
        <w:jc w:val="both"/>
      </w:pPr>
      <w:r w:rsidRPr="004577CE">
        <w:t xml:space="preserve"> </w:t>
      </w:r>
      <w:r w:rsidRPr="00795AFB">
        <w:rPr>
          <w:u w:val="single"/>
        </w:rPr>
        <w:t>Абсолютный объем экономии</w:t>
      </w:r>
      <w:r w:rsidRPr="007557BC">
        <w:t xml:space="preserve"> при проведении закупок путем проведения </w:t>
      </w:r>
      <w:r w:rsidRPr="00E761D2">
        <w:rPr>
          <w:i/>
        </w:rPr>
        <w:t>конкурентных процедур</w:t>
      </w:r>
      <w:r w:rsidRPr="007557BC">
        <w:t xml:space="preserve"> определения поставщика (подрядчика, исполнителя) составил</w:t>
      </w:r>
      <w:r>
        <w:t xml:space="preserve">  </w:t>
      </w:r>
      <w:r w:rsidR="00186AD3">
        <w:rPr>
          <w:b/>
        </w:rPr>
        <w:t>26</w:t>
      </w:r>
      <w:r w:rsidR="000F67CC">
        <w:rPr>
          <w:b/>
        </w:rPr>
        <w:t> 249,3</w:t>
      </w:r>
      <w:r w:rsidRPr="00714584">
        <w:rPr>
          <w:b/>
        </w:rPr>
        <w:t xml:space="preserve"> тыс.</w:t>
      </w:r>
      <w:r w:rsidRPr="005F7B29">
        <w:rPr>
          <w:b/>
        </w:rPr>
        <w:t xml:space="preserve"> руб</w:t>
      </w:r>
      <w:r>
        <w:rPr>
          <w:b/>
        </w:rPr>
        <w:t xml:space="preserve">. </w:t>
      </w:r>
      <w:r>
        <w:rPr>
          <w:i/>
        </w:rPr>
        <w:t xml:space="preserve"> </w:t>
      </w:r>
      <w:r w:rsidRPr="007557BC">
        <w:t>согласно нижеприведенному расчету:</w:t>
      </w:r>
    </w:p>
    <w:p w:rsidR="00314826" w:rsidRDefault="00314826" w:rsidP="00314826">
      <w:pPr>
        <w:tabs>
          <w:tab w:val="left" w:pos="567"/>
        </w:tabs>
        <w:spacing w:line="23" w:lineRule="atLeast"/>
        <w:ind w:firstLine="426"/>
        <w:jc w:val="both"/>
      </w:pPr>
    </w:p>
    <w:p w:rsidR="00314826" w:rsidRPr="008D4594" w:rsidRDefault="00314826" w:rsidP="00314826">
      <w:pPr>
        <w:tabs>
          <w:tab w:val="left" w:pos="567"/>
        </w:tabs>
        <w:spacing w:line="23" w:lineRule="atLeast"/>
        <w:ind w:firstLine="426"/>
        <w:jc w:val="both"/>
        <w:rPr>
          <w:b/>
        </w:rPr>
      </w:pPr>
      <w:r>
        <w:t xml:space="preserve">   </w:t>
      </w:r>
      <w:r w:rsidRPr="00C65004">
        <w:t xml:space="preserve">( </w:t>
      </w:r>
      <w:r w:rsidR="000F67CC">
        <w:t>480 829,0</w:t>
      </w:r>
      <w:r w:rsidRPr="00C65004">
        <w:t xml:space="preserve"> тыс. руб. + </w:t>
      </w:r>
      <w:r w:rsidR="000F67CC">
        <w:t>110 284,9  тыс. руб.</w:t>
      </w:r>
      <w:r w:rsidRPr="00C65004">
        <w:t>) – (</w:t>
      </w:r>
      <w:r w:rsidR="000F67CC">
        <w:t>454 709,0</w:t>
      </w:r>
      <w:r w:rsidRPr="00C65004">
        <w:t xml:space="preserve"> тыс. руб. + </w:t>
      </w:r>
      <w:r w:rsidR="00126254">
        <w:t>109 057,7</w:t>
      </w:r>
      <w:r w:rsidRPr="00C65004">
        <w:t xml:space="preserve"> тыс. руб.) = </w:t>
      </w:r>
      <w:r w:rsidR="00126254">
        <w:t>591 113,9</w:t>
      </w:r>
      <w:r w:rsidRPr="00C65004">
        <w:t xml:space="preserve"> – </w:t>
      </w:r>
      <w:r w:rsidR="00126254">
        <w:t>563 766,7 – 1</w:t>
      </w:r>
      <w:r w:rsidR="00A60DF4">
        <w:t> 097,9</w:t>
      </w:r>
      <w:r w:rsidRPr="00C65004">
        <w:t xml:space="preserve"> = </w:t>
      </w:r>
      <w:r w:rsidR="00126254">
        <w:rPr>
          <w:b/>
        </w:rPr>
        <w:t>26 249,3</w:t>
      </w:r>
      <w:r w:rsidRPr="00C65004">
        <w:rPr>
          <w:b/>
        </w:rPr>
        <w:t xml:space="preserve"> тыс. руб.</w:t>
      </w:r>
      <w:proofErr w:type="gramStart"/>
      <w:r w:rsidRPr="00C65004">
        <w:rPr>
          <w:b/>
        </w:rPr>
        <w:t xml:space="preserve"> </w:t>
      </w:r>
      <w:r w:rsidRPr="00C65004">
        <w:t>.</w:t>
      </w:r>
      <w:proofErr w:type="gramEnd"/>
    </w:p>
    <w:p w:rsidR="00314826" w:rsidRDefault="00314826" w:rsidP="00242D6E">
      <w:pPr>
        <w:tabs>
          <w:tab w:val="left" w:pos="567"/>
        </w:tabs>
        <w:spacing w:line="120" w:lineRule="auto"/>
        <w:ind w:firstLine="425"/>
        <w:jc w:val="both"/>
        <w:rPr>
          <w:b/>
        </w:rPr>
      </w:pPr>
    </w:p>
    <w:p w:rsidR="00314826" w:rsidRDefault="00314826" w:rsidP="00314826">
      <w:pPr>
        <w:keepNext/>
        <w:keepLines/>
        <w:tabs>
          <w:tab w:val="left" w:pos="567"/>
        </w:tabs>
        <w:autoSpaceDE w:val="0"/>
        <w:autoSpaceDN w:val="0"/>
        <w:adjustRightInd w:val="0"/>
        <w:ind w:firstLine="426"/>
        <w:jc w:val="both"/>
        <w:rPr>
          <w:b/>
        </w:rPr>
      </w:pPr>
      <w:r>
        <w:t>Экономия бюджетных средств по итогам проведенных закупок, проведенных в соответствии с планами – графиками на 20</w:t>
      </w:r>
      <w:r w:rsidR="00A60DF4">
        <w:t>22</w:t>
      </w:r>
      <w:r>
        <w:t xml:space="preserve"> год </w:t>
      </w:r>
      <w:r w:rsidR="00A60DF4">
        <w:t>не</w:t>
      </w:r>
      <w:r>
        <w:t xml:space="preserve">значительно </w:t>
      </w:r>
      <w:r w:rsidR="00A52A98">
        <w:t>ниже</w:t>
      </w:r>
      <w:r>
        <w:t xml:space="preserve">  аналогичного  показателя  20</w:t>
      </w:r>
      <w:r w:rsidR="00A60DF4">
        <w:t>21</w:t>
      </w:r>
      <w:r>
        <w:t xml:space="preserve"> года  </w:t>
      </w:r>
      <w:r w:rsidR="00A52A98">
        <w:t xml:space="preserve">на  </w:t>
      </w:r>
      <w:r w:rsidR="00A60DF4">
        <w:rPr>
          <w:b/>
        </w:rPr>
        <w:t xml:space="preserve">0,3 </w:t>
      </w:r>
      <w:r w:rsidR="00A52A98" w:rsidRPr="00A52A98">
        <w:rPr>
          <w:b/>
        </w:rPr>
        <w:t xml:space="preserve"> процентных пункт</w:t>
      </w:r>
      <w:r w:rsidR="00A60DF4">
        <w:rPr>
          <w:b/>
        </w:rPr>
        <w:t>ов</w:t>
      </w:r>
      <w:r>
        <w:t xml:space="preserve">. В абсолютном значении  </w:t>
      </w:r>
      <w:r w:rsidR="00A52A98">
        <w:t>уменьшение</w:t>
      </w:r>
      <w:r>
        <w:t xml:space="preserve"> экономии составляет </w:t>
      </w:r>
      <w:r w:rsidR="00A60DF4">
        <w:t xml:space="preserve"> </w:t>
      </w:r>
      <w:r w:rsidR="003356C6">
        <w:t>79,4</w:t>
      </w:r>
      <w:r>
        <w:t xml:space="preserve"> тыс. руб. (Для сравнения в 20</w:t>
      </w:r>
      <w:r w:rsidR="003356C6">
        <w:t>21</w:t>
      </w:r>
      <w:r>
        <w:t xml:space="preserve"> году экономия составляла -  </w:t>
      </w:r>
      <w:r w:rsidR="003356C6">
        <w:rPr>
          <w:b/>
        </w:rPr>
        <w:t>26 328,7</w:t>
      </w:r>
      <w:r w:rsidRPr="00242D6E">
        <w:rPr>
          <w:b/>
        </w:rPr>
        <w:t xml:space="preserve"> тыс</w:t>
      </w:r>
      <w:r w:rsidRPr="008B27AC">
        <w:rPr>
          <w:b/>
        </w:rPr>
        <w:t>. руб</w:t>
      </w:r>
      <w:r w:rsidR="009B379E">
        <w:t>.</w:t>
      </w:r>
      <w:r>
        <w:t xml:space="preserve">). </w:t>
      </w:r>
    </w:p>
    <w:p w:rsidR="00314826" w:rsidRDefault="00314826" w:rsidP="00314826">
      <w:pPr>
        <w:tabs>
          <w:tab w:val="left" w:pos="567"/>
        </w:tabs>
        <w:spacing w:line="120" w:lineRule="auto"/>
        <w:ind w:firstLine="425"/>
        <w:jc w:val="both"/>
        <w:rPr>
          <w:i/>
        </w:rPr>
      </w:pPr>
    </w:p>
    <w:p w:rsidR="00314826" w:rsidRPr="00C0425B" w:rsidRDefault="00314826" w:rsidP="004C3FDB">
      <w:pPr>
        <w:numPr>
          <w:ilvl w:val="0"/>
          <w:numId w:val="9"/>
        </w:numPr>
        <w:tabs>
          <w:tab w:val="left" w:pos="709"/>
        </w:tabs>
        <w:ind w:left="0" w:firstLine="426"/>
        <w:jc w:val="both"/>
        <w:rPr>
          <w:u w:val="single"/>
        </w:rPr>
      </w:pPr>
      <w:r w:rsidRPr="00C40539">
        <w:rPr>
          <w:i/>
          <w:u w:val="single"/>
        </w:rPr>
        <w:t>В разрезе городских и сельских поселений</w:t>
      </w:r>
      <w:r>
        <w:t xml:space="preserve">  лучший показатель экономии бюджетных средств  по данным Таблицы №1 зафиксирован  в </w:t>
      </w:r>
      <w:r w:rsidRPr="00B24F12">
        <w:rPr>
          <w:b/>
        </w:rPr>
        <w:t xml:space="preserve">МО </w:t>
      </w:r>
      <w:r w:rsidR="00C14570">
        <w:rPr>
          <w:b/>
        </w:rPr>
        <w:t>Запорожское сельское</w:t>
      </w:r>
      <w:r w:rsidRPr="00B24F12">
        <w:rPr>
          <w:b/>
        </w:rPr>
        <w:t xml:space="preserve"> поселение</w:t>
      </w:r>
      <w:r>
        <w:t xml:space="preserve"> </w:t>
      </w:r>
      <w:r w:rsidRPr="00C0425B">
        <w:t>–</w:t>
      </w:r>
      <w:r w:rsidRPr="00C0425B">
        <w:rPr>
          <w:u w:val="single"/>
        </w:rPr>
        <w:t xml:space="preserve"> </w:t>
      </w:r>
      <w:r w:rsidR="00C14570">
        <w:rPr>
          <w:u w:val="single"/>
        </w:rPr>
        <w:t>6 977,4</w:t>
      </w:r>
      <w:r w:rsidRPr="00C0425B">
        <w:rPr>
          <w:u w:val="single"/>
        </w:rPr>
        <w:t xml:space="preserve"> тыс. руб.</w:t>
      </w:r>
    </w:p>
    <w:p w:rsidR="00314826" w:rsidRPr="00772B1E" w:rsidRDefault="00314826" w:rsidP="00314826">
      <w:pPr>
        <w:tabs>
          <w:tab w:val="left" w:pos="709"/>
        </w:tabs>
        <w:ind w:firstLine="426"/>
        <w:jc w:val="both"/>
        <w:rPr>
          <w:u w:val="single"/>
        </w:rPr>
      </w:pPr>
      <w:r w:rsidRPr="00B24F12">
        <w:t xml:space="preserve">На </w:t>
      </w:r>
      <w:r>
        <w:t xml:space="preserve">втором месте по объему экономии бюджетных средств - </w:t>
      </w:r>
      <w:proofErr w:type="spellStart"/>
      <w:r w:rsidR="00617FEF">
        <w:rPr>
          <w:b/>
        </w:rPr>
        <w:t>Приозерское</w:t>
      </w:r>
      <w:proofErr w:type="spellEnd"/>
      <w:r w:rsidR="00617FEF">
        <w:rPr>
          <w:b/>
        </w:rPr>
        <w:t xml:space="preserve"> городское</w:t>
      </w:r>
      <w:r w:rsidRPr="00B24F12">
        <w:rPr>
          <w:b/>
        </w:rPr>
        <w:t xml:space="preserve"> поселение</w:t>
      </w:r>
      <w:r>
        <w:rPr>
          <w:b/>
        </w:rPr>
        <w:t xml:space="preserve"> </w:t>
      </w:r>
      <w:r>
        <w:t xml:space="preserve">– </w:t>
      </w:r>
      <w:r w:rsidR="00C14570">
        <w:rPr>
          <w:u w:val="single"/>
        </w:rPr>
        <w:t>6 824,7</w:t>
      </w:r>
      <w:r w:rsidRPr="00617FEF">
        <w:rPr>
          <w:u w:val="single"/>
        </w:rPr>
        <w:t xml:space="preserve"> тыс</w:t>
      </w:r>
      <w:r w:rsidRPr="00772B1E">
        <w:rPr>
          <w:u w:val="single"/>
        </w:rPr>
        <w:t>. руб.</w:t>
      </w:r>
    </w:p>
    <w:p w:rsidR="00314826" w:rsidRPr="00225EEF" w:rsidRDefault="00314826" w:rsidP="00314826">
      <w:pPr>
        <w:tabs>
          <w:tab w:val="left" w:pos="709"/>
        </w:tabs>
        <w:ind w:firstLine="426"/>
        <w:jc w:val="both"/>
        <w:rPr>
          <w:i/>
          <w:u w:val="single"/>
        </w:rPr>
      </w:pPr>
      <w:r>
        <w:t xml:space="preserve">Самый низкий показатель абсолютной экономии бюджетных средств наблюдается в </w:t>
      </w:r>
      <w:r w:rsidRPr="00D53875">
        <w:rPr>
          <w:b/>
        </w:rPr>
        <w:t xml:space="preserve">МО </w:t>
      </w:r>
      <w:r w:rsidR="00C14570">
        <w:rPr>
          <w:b/>
        </w:rPr>
        <w:t>Сосновское</w:t>
      </w:r>
      <w:r w:rsidRPr="00D53875">
        <w:rPr>
          <w:b/>
        </w:rPr>
        <w:t xml:space="preserve"> сельское поселение</w:t>
      </w:r>
      <w:r>
        <w:t xml:space="preserve"> – </w:t>
      </w:r>
      <w:r w:rsidR="00C14570">
        <w:rPr>
          <w:u w:val="single"/>
        </w:rPr>
        <w:t>3,6</w:t>
      </w:r>
      <w:r w:rsidRPr="00617FEF">
        <w:rPr>
          <w:u w:val="single"/>
        </w:rPr>
        <w:t xml:space="preserve"> тыс</w:t>
      </w:r>
      <w:r w:rsidRPr="00772B1E">
        <w:rPr>
          <w:u w:val="single"/>
        </w:rPr>
        <w:t>. руб</w:t>
      </w:r>
      <w:r w:rsidRPr="009C7323">
        <w:rPr>
          <w:u w:val="single"/>
        </w:rPr>
        <w:t>.</w:t>
      </w:r>
    </w:p>
    <w:p w:rsidR="004E62FC" w:rsidRDefault="004E62FC" w:rsidP="004E62FC">
      <w:pPr>
        <w:tabs>
          <w:tab w:val="left" w:pos="709"/>
        </w:tabs>
        <w:spacing w:line="23" w:lineRule="atLeast"/>
        <w:ind w:firstLine="426"/>
        <w:jc w:val="both"/>
        <w:rPr>
          <w:i/>
        </w:rPr>
      </w:pPr>
      <w:r>
        <w:t xml:space="preserve">При </w:t>
      </w:r>
      <w:r w:rsidRPr="007557BC">
        <w:t>осуществлен</w:t>
      </w:r>
      <w:r>
        <w:t xml:space="preserve">ии закупочных процедур </w:t>
      </w:r>
      <w:r w:rsidRPr="007557BC">
        <w:t xml:space="preserve">определения поставщика </w:t>
      </w:r>
      <w:r>
        <w:t xml:space="preserve">с целью заключения контрактов </w:t>
      </w:r>
      <w:r w:rsidRPr="007557BC">
        <w:t xml:space="preserve">путем проведения </w:t>
      </w:r>
      <w:r>
        <w:t xml:space="preserve">конкурентных способов показатель абсолютной экономии бюджетных средств  в </w:t>
      </w:r>
      <w:r w:rsidRPr="00D53875">
        <w:rPr>
          <w:b/>
        </w:rPr>
        <w:t>МО</w:t>
      </w:r>
      <w:r w:rsidR="00C14570">
        <w:rPr>
          <w:b/>
        </w:rPr>
        <w:t xml:space="preserve"> </w:t>
      </w:r>
      <w:proofErr w:type="spellStart"/>
      <w:r w:rsidR="00C14570">
        <w:rPr>
          <w:b/>
        </w:rPr>
        <w:t>Красноозерное</w:t>
      </w:r>
      <w:proofErr w:type="spellEnd"/>
      <w:r w:rsidR="00C14570">
        <w:rPr>
          <w:b/>
        </w:rPr>
        <w:t xml:space="preserve"> сельское поселение,                      МО </w:t>
      </w:r>
      <w:proofErr w:type="spellStart"/>
      <w:r w:rsidR="00C14570">
        <w:rPr>
          <w:b/>
        </w:rPr>
        <w:t>Ларионовское</w:t>
      </w:r>
      <w:proofErr w:type="spellEnd"/>
      <w:r w:rsidR="00C14570">
        <w:rPr>
          <w:b/>
        </w:rPr>
        <w:t xml:space="preserve"> сельское поселение, МО Мичуринское сельское поселение, МО</w:t>
      </w:r>
      <w:r>
        <w:t xml:space="preserve"> </w:t>
      </w:r>
      <w:proofErr w:type="spellStart"/>
      <w:r w:rsidR="00C14570" w:rsidRPr="00C14570">
        <w:rPr>
          <w:b/>
        </w:rPr>
        <w:lastRenderedPageBreak/>
        <w:t>Плодовское</w:t>
      </w:r>
      <w:proofErr w:type="spellEnd"/>
      <w:r w:rsidR="00C14570" w:rsidRPr="00C14570">
        <w:rPr>
          <w:b/>
        </w:rPr>
        <w:t xml:space="preserve"> сельское поселение</w:t>
      </w:r>
      <w:r w:rsidR="00C14570">
        <w:t xml:space="preserve">, </w:t>
      </w:r>
      <w:r w:rsidR="00C14570" w:rsidRPr="000136F9">
        <w:rPr>
          <w:b/>
        </w:rPr>
        <w:t xml:space="preserve">МО </w:t>
      </w:r>
      <w:proofErr w:type="spellStart"/>
      <w:r w:rsidR="00C14570" w:rsidRPr="000136F9">
        <w:rPr>
          <w:b/>
        </w:rPr>
        <w:t>Раздольевское</w:t>
      </w:r>
      <w:proofErr w:type="spellEnd"/>
      <w:r w:rsidR="00C14570" w:rsidRPr="000136F9">
        <w:rPr>
          <w:b/>
        </w:rPr>
        <w:t xml:space="preserve"> сельское поселение</w:t>
      </w:r>
      <w:r w:rsidR="00C14570">
        <w:t xml:space="preserve">, МО </w:t>
      </w:r>
      <w:r>
        <w:t xml:space="preserve">равен </w:t>
      </w:r>
      <w:r w:rsidRPr="001A062B">
        <w:rPr>
          <w:b/>
          <w:i/>
          <w:u w:val="single"/>
        </w:rPr>
        <w:t>нулю</w:t>
      </w:r>
      <w:r w:rsidRPr="00D53875">
        <w:rPr>
          <w:i/>
          <w:u w:val="single"/>
        </w:rPr>
        <w:t>.</w:t>
      </w:r>
      <w:r w:rsidRPr="00AC7473">
        <w:rPr>
          <w:i/>
        </w:rPr>
        <w:t xml:space="preserve"> </w:t>
      </w:r>
    </w:p>
    <w:p w:rsidR="00475FF2" w:rsidRPr="00286BB6" w:rsidRDefault="00475FF2" w:rsidP="00475FF2">
      <w:pPr>
        <w:tabs>
          <w:tab w:val="left" w:pos="709"/>
        </w:tabs>
        <w:ind w:firstLine="425"/>
        <w:jc w:val="both"/>
        <w:rPr>
          <w:b/>
          <w:i/>
        </w:rPr>
      </w:pPr>
      <w:r w:rsidRPr="00286BB6">
        <w:rPr>
          <w:i/>
        </w:rPr>
        <w:t>Указанное</w:t>
      </w:r>
      <w:r w:rsidR="00286BB6">
        <w:rPr>
          <w:i/>
        </w:rPr>
        <w:t xml:space="preserve"> выше</w:t>
      </w:r>
      <w:proofErr w:type="gramStart"/>
      <w:r w:rsidR="00286BB6" w:rsidRPr="00286BB6">
        <w:rPr>
          <w:i/>
        </w:rPr>
        <w:t xml:space="preserve"> </w:t>
      </w:r>
      <w:r w:rsidRPr="00286BB6">
        <w:rPr>
          <w:i/>
        </w:rPr>
        <w:t>,</w:t>
      </w:r>
      <w:proofErr w:type="gramEnd"/>
      <w:r w:rsidRPr="00286BB6">
        <w:rPr>
          <w:i/>
        </w:rPr>
        <w:t xml:space="preserve"> может быть обусловлено вступившими в силу изменениями законодательства о контрактной системе</w:t>
      </w:r>
      <w:r w:rsidR="00C05880" w:rsidRPr="00286BB6">
        <w:rPr>
          <w:i/>
        </w:rPr>
        <w:t xml:space="preserve"> </w:t>
      </w:r>
      <w:r w:rsidRPr="00286BB6">
        <w:rPr>
          <w:i/>
        </w:rPr>
        <w:t xml:space="preserve"> в части введения специальных </w:t>
      </w:r>
      <w:proofErr w:type="spellStart"/>
      <w:r w:rsidRPr="00286BB6">
        <w:rPr>
          <w:i/>
        </w:rPr>
        <w:t>антисанкционных</w:t>
      </w:r>
      <w:proofErr w:type="spellEnd"/>
      <w:r w:rsidRPr="00286BB6">
        <w:rPr>
          <w:i/>
        </w:rPr>
        <w:t xml:space="preserve"> мер по нивелированию негативных последствий от введения иностранными государствами санкций, предусматривающими возможность осуществления заказчиками закупок у единственного поставщика (подрядчика, исполнителя) без проведения конкурентных процедур и </w:t>
      </w:r>
      <w:r w:rsidR="00114AA0">
        <w:rPr>
          <w:i/>
        </w:rPr>
        <w:t xml:space="preserve">как следствие отсутствие </w:t>
      </w:r>
      <w:r w:rsidR="00C05880" w:rsidRPr="00286BB6">
        <w:rPr>
          <w:i/>
        </w:rPr>
        <w:t>вероятности получения экономии бюджетных средств</w:t>
      </w:r>
      <w:r w:rsidR="00114AA0">
        <w:rPr>
          <w:i/>
        </w:rPr>
        <w:t xml:space="preserve"> от НМЦК</w:t>
      </w:r>
      <w:r w:rsidRPr="00286BB6">
        <w:rPr>
          <w:i/>
        </w:rPr>
        <w:t>.</w:t>
      </w:r>
    </w:p>
    <w:p w:rsidR="00D53875" w:rsidRDefault="00D53875" w:rsidP="00161F86">
      <w:pPr>
        <w:tabs>
          <w:tab w:val="left" w:pos="709"/>
        </w:tabs>
        <w:spacing w:line="120" w:lineRule="auto"/>
        <w:ind w:firstLine="425"/>
        <w:jc w:val="both"/>
        <w:rPr>
          <w:i/>
          <w:u w:val="single"/>
        </w:rPr>
      </w:pPr>
    </w:p>
    <w:p w:rsidR="00B5707B" w:rsidRPr="008C683D" w:rsidRDefault="00B5707B" w:rsidP="004C3FDB">
      <w:pPr>
        <w:numPr>
          <w:ilvl w:val="0"/>
          <w:numId w:val="9"/>
        </w:numPr>
        <w:tabs>
          <w:tab w:val="left" w:pos="709"/>
        </w:tabs>
        <w:spacing w:line="23" w:lineRule="atLeast"/>
        <w:ind w:left="0" w:firstLine="426"/>
        <w:jc w:val="both"/>
      </w:pPr>
      <w:r w:rsidRPr="00845004">
        <w:rPr>
          <w:i/>
          <w:u w:val="single"/>
        </w:rPr>
        <w:t xml:space="preserve">В разрезе способов размещения заказов </w:t>
      </w:r>
      <w:r w:rsidRPr="00F23C5F">
        <w:t>наибольший объем экономии бюджетных средств</w:t>
      </w:r>
      <w:r w:rsidR="00314826">
        <w:t>, как и в предыдущем периоде 20</w:t>
      </w:r>
      <w:r w:rsidR="00A73805">
        <w:t>2</w:t>
      </w:r>
      <w:r w:rsidR="00C14570">
        <w:t>1</w:t>
      </w:r>
      <w:r w:rsidR="00314826">
        <w:t xml:space="preserve"> года, </w:t>
      </w:r>
      <w:r w:rsidRPr="00F23C5F">
        <w:t xml:space="preserve">приходится </w:t>
      </w:r>
      <w:r>
        <w:t xml:space="preserve">на такой конкурентный способ проведения процедур </w:t>
      </w:r>
      <w:r w:rsidRPr="007557BC">
        <w:t xml:space="preserve">определения поставщика (подрядчика, исполнителя) </w:t>
      </w:r>
      <w:r>
        <w:t>как</w:t>
      </w:r>
      <w:r w:rsidR="008C683D">
        <w:t xml:space="preserve"> </w:t>
      </w:r>
      <w:r w:rsidRPr="008C683D">
        <w:rPr>
          <w:b/>
          <w:i/>
        </w:rPr>
        <w:t>Электронный аукцион.</w:t>
      </w:r>
      <w:r w:rsidR="008C683D">
        <w:rPr>
          <w:b/>
          <w:i/>
        </w:rPr>
        <w:t xml:space="preserve"> </w:t>
      </w:r>
      <w:r w:rsidR="008C683D" w:rsidRPr="008C683D">
        <w:t>(</w:t>
      </w:r>
      <w:r w:rsidR="00C14570">
        <w:t>95,3</w:t>
      </w:r>
      <w:r w:rsidR="008C683D" w:rsidRPr="008C683D">
        <w:t xml:space="preserve">% </w:t>
      </w:r>
      <w:r w:rsidR="008C683D">
        <w:t xml:space="preserve"> от общего объема экономии бюджетных средств)</w:t>
      </w:r>
    </w:p>
    <w:p w:rsidR="00FE57E4" w:rsidRDefault="00FE57E4" w:rsidP="00A36993">
      <w:pPr>
        <w:spacing w:line="120" w:lineRule="auto"/>
        <w:ind w:firstLine="567"/>
        <w:jc w:val="both"/>
      </w:pPr>
    </w:p>
    <w:p w:rsidR="00B5707B" w:rsidRPr="007557BC" w:rsidRDefault="00A73805" w:rsidP="00137EE4">
      <w:pPr>
        <w:spacing w:line="23" w:lineRule="atLeast"/>
        <w:ind w:firstLine="426"/>
        <w:jc w:val="both"/>
      </w:pPr>
      <w:r w:rsidRPr="007557BC">
        <w:t xml:space="preserve">Так же, был </w:t>
      </w:r>
      <w:r w:rsidR="00B5707B" w:rsidRPr="007557BC">
        <w:t xml:space="preserve">определен </w:t>
      </w:r>
      <w:r w:rsidR="00B5707B" w:rsidRPr="00013300">
        <w:rPr>
          <w:b/>
          <w:u w:val="single"/>
        </w:rPr>
        <w:t>относительный объем экономии</w:t>
      </w:r>
      <w:r w:rsidR="00B5707B" w:rsidRPr="00013300">
        <w:rPr>
          <w:b/>
        </w:rPr>
        <w:t>.</w:t>
      </w:r>
      <w:r w:rsidR="00B5707B" w:rsidRPr="007557BC">
        <w:t xml:space="preserve"> Данный показатель рассчитывается по следующей формуле:</w:t>
      </w:r>
    </w:p>
    <w:p w:rsidR="00137EE4" w:rsidRDefault="00137EE4" w:rsidP="00137EE4">
      <w:pPr>
        <w:spacing w:line="120" w:lineRule="auto"/>
        <w:ind w:firstLine="720"/>
        <w:jc w:val="center"/>
        <w:rPr>
          <w:b/>
        </w:rPr>
      </w:pPr>
    </w:p>
    <w:p w:rsidR="00B5707B" w:rsidRPr="00591B9A" w:rsidRDefault="00B5707B" w:rsidP="00C540B8">
      <w:pPr>
        <w:spacing w:line="23" w:lineRule="atLeast"/>
        <w:ind w:firstLine="720"/>
        <w:jc w:val="center"/>
      </w:pPr>
      <w:r w:rsidRPr="00C540B8">
        <w:rPr>
          <w:b/>
        </w:rPr>
        <w:t>(АО</w:t>
      </w:r>
      <w:r>
        <w:rPr>
          <w:b/>
        </w:rPr>
        <w:t>Э</w:t>
      </w:r>
      <w:r w:rsidRPr="00C540B8">
        <w:rPr>
          <w:b/>
        </w:rPr>
        <w:t xml:space="preserve"> / НМЦК) х 100 % = ООЭ, </w:t>
      </w:r>
      <w:r w:rsidRPr="00591B9A">
        <w:t>где:</w:t>
      </w:r>
    </w:p>
    <w:p w:rsidR="00B5707B" w:rsidRPr="00C540B8" w:rsidRDefault="00B5707B" w:rsidP="00122EA8">
      <w:pPr>
        <w:ind w:firstLine="720"/>
        <w:jc w:val="center"/>
        <w:rPr>
          <w:b/>
        </w:rPr>
      </w:pPr>
    </w:p>
    <w:p w:rsidR="00B5707B" w:rsidRPr="007557BC" w:rsidRDefault="00B5707B" w:rsidP="00C540B8">
      <w:pPr>
        <w:spacing w:line="23" w:lineRule="atLeast"/>
        <w:ind w:firstLine="567"/>
        <w:jc w:val="both"/>
      </w:pPr>
      <w:r w:rsidRPr="007557BC">
        <w:t>АОЭ -  абсолютный объем экономии,</w:t>
      </w:r>
    </w:p>
    <w:p w:rsidR="00B5707B" w:rsidRPr="007557BC" w:rsidRDefault="00B5707B" w:rsidP="00C540B8">
      <w:pPr>
        <w:spacing w:line="23" w:lineRule="atLeast"/>
        <w:ind w:firstLine="567"/>
        <w:jc w:val="both"/>
      </w:pPr>
      <w:r w:rsidRPr="007557BC">
        <w:t>НМЦК – сумма всех начальных (максимальных) цен контрактов</w:t>
      </w:r>
      <w:proofErr w:type="gramStart"/>
      <w:r w:rsidRPr="007557BC">
        <w:t xml:space="preserve"> ,</w:t>
      </w:r>
      <w:proofErr w:type="gramEnd"/>
    </w:p>
    <w:p w:rsidR="00B5707B" w:rsidRPr="007557BC" w:rsidRDefault="00B5707B" w:rsidP="00C540B8">
      <w:pPr>
        <w:spacing w:line="23" w:lineRule="atLeast"/>
        <w:ind w:firstLine="567"/>
        <w:jc w:val="both"/>
      </w:pPr>
      <w:r w:rsidRPr="007557BC">
        <w:t>ООЭ – относительный объем экономии.</w:t>
      </w:r>
    </w:p>
    <w:p w:rsidR="00B5707B" w:rsidRDefault="00B5707B" w:rsidP="0006551F">
      <w:pPr>
        <w:spacing w:line="120" w:lineRule="auto"/>
        <w:ind w:firstLine="720"/>
        <w:jc w:val="both"/>
      </w:pPr>
    </w:p>
    <w:p w:rsidR="00B5707B" w:rsidRDefault="00B5707B" w:rsidP="004C3FDB">
      <w:pPr>
        <w:numPr>
          <w:ilvl w:val="0"/>
          <w:numId w:val="8"/>
        </w:numPr>
        <w:spacing w:line="23" w:lineRule="atLeast"/>
        <w:ind w:left="0" w:firstLine="426"/>
        <w:jc w:val="both"/>
      </w:pPr>
      <w:r w:rsidRPr="007557BC">
        <w:t xml:space="preserve">Показатель </w:t>
      </w:r>
      <w:r w:rsidRPr="007557BC">
        <w:rPr>
          <w:u w:val="single"/>
        </w:rPr>
        <w:t>относительного объема экономии</w:t>
      </w:r>
      <w:r w:rsidRPr="007557BC">
        <w:t xml:space="preserve"> при проведении закупок путем проведения </w:t>
      </w:r>
      <w:r w:rsidR="00A36993" w:rsidRPr="00E761D2">
        <w:rPr>
          <w:i/>
        </w:rPr>
        <w:t xml:space="preserve">конкурентных </w:t>
      </w:r>
      <w:r w:rsidRPr="00E761D2">
        <w:rPr>
          <w:i/>
        </w:rPr>
        <w:t>процедур</w:t>
      </w:r>
      <w:r>
        <w:t xml:space="preserve"> </w:t>
      </w:r>
      <w:r w:rsidRPr="007557BC">
        <w:t>определения поставщика (под</w:t>
      </w:r>
      <w:r>
        <w:t xml:space="preserve">рядчика, исполнителя) составил </w:t>
      </w:r>
      <w:r w:rsidR="00A36993">
        <w:t xml:space="preserve"> </w:t>
      </w:r>
      <w:r w:rsidR="00475FF2">
        <w:rPr>
          <w:b/>
        </w:rPr>
        <w:t>4,4</w:t>
      </w:r>
      <w:r w:rsidR="0005561D" w:rsidRPr="00A73805">
        <w:rPr>
          <w:b/>
        </w:rPr>
        <w:t>%</w:t>
      </w:r>
      <w:r w:rsidR="002A576F">
        <w:rPr>
          <w:b/>
        </w:rPr>
        <w:t xml:space="preserve"> </w:t>
      </w:r>
      <w:r w:rsidRPr="005266B7">
        <w:rPr>
          <w:i/>
        </w:rPr>
        <w:t xml:space="preserve">(столбец </w:t>
      </w:r>
      <w:r w:rsidR="00895B53">
        <w:rPr>
          <w:i/>
        </w:rPr>
        <w:t>19</w:t>
      </w:r>
      <w:r w:rsidRPr="005266B7">
        <w:rPr>
          <w:i/>
        </w:rPr>
        <w:t xml:space="preserve"> </w:t>
      </w:r>
      <w:r w:rsidR="00A545A0">
        <w:rPr>
          <w:i/>
        </w:rPr>
        <w:t>Приложения</w:t>
      </w:r>
      <w:r w:rsidRPr="005266B7">
        <w:rPr>
          <w:i/>
        </w:rPr>
        <w:t xml:space="preserve"> №</w:t>
      </w:r>
      <w:r w:rsidR="009A168C">
        <w:rPr>
          <w:i/>
        </w:rPr>
        <w:t>2</w:t>
      </w:r>
      <w:r w:rsidRPr="005266B7">
        <w:rPr>
          <w:i/>
        </w:rPr>
        <w:t>)</w:t>
      </w:r>
      <w:r w:rsidR="00E67410">
        <w:rPr>
          <w:i/>
        </w:rPr>
        <w:t xml:space="preserve"> </w:t>
      </w:r>
      <w:r w:rsidRPr="007557BC">
        <w:t>согласно нижеприведенному расчету:</w:t>
      </w:r>
    </w:p>
    <w:p w:rsidR="00B5707B" w:rsidRPr="007557BC" w:rsidRDefault="00B5707B" w:rsidP="00C243CD">
      <w:pPr>
        <w:spacing w:line="23" w:lineRule="atLeast"/>
        <w:ind w:firstLine="567"/>
        <w:jc w:val="both"/>
      </w:pPr>
    </w:p>
    <w:p w:rsidR="00B5707B" w:rsidRPr="00A73805" w:rsidRDefault="00FE0118" w:rsidP="00994157">
      <w:pPr>
        <w:spacing w:line="23" w:lineRule="atLeast"/>
        <w:ind w:firstLine="567"/>
        <w:jc w:val="both"/>
        <w:rPr>
          <w:b/>
        </w:rPr>
      </w:pPr>
      <w:r w:rsidRPr="00FE0118">
        <w:t>26</w:t>
      </w:r>
      <w:r w:rsidR="00C44079">
        <w:t> 249,3</w:t>
      </w:r>
      <w:r w:rsidRPr="00FE0118">
        <w:t xml:space="preserve"> </w:t>
      </w:r>
      <w:r w:rsidR="00B5707B" w:rsidRPr="00FE0118">
        <w:t>тыс. руб. / (</w:t>
      </w:r>
      <w:r w:rsidR="00C44079">
        <w:t>480 829,0</w:t>
      </w:r>
      <w:r w:rsidR="007F50FC" w:rsidRPr="00FE0118">
        <w:t xml:space="preserve"> тыс. руб. + </w:t>
      </w:r>
      <w:r w:rsidR="00C44079">
        <w:t>110 284,9 ты</w:t>
      </w:r>
      <w:r w:rsidR="007F50FC" w:rsidRPr="00FE0118">
        <w:t>с. руб.</w:t>
      </w:r>
      <w:r w:rsidR="00703807" w:rsidRPr="00FE0118">
        <w:t>)</w:t>
      </w:r>
      <w:r w:rsidR="0005561D" w:rsidRPr="00FE0118">
        <w:t xml:space="preserve"> = </w:t>
      </w:r>
      <w:r w:rsidRPr="00FE0118">
        <w:t>26</w:t>
      </w:r>
      <w:r w:rsidR="00C44079">
        <w:t> 249,3</w:t>
      </w:r>
      <w:r w:rsidR="00A36993" w:rsidRPr="00FE0118">
        <w:t xml:space="preserve"> </w:t>
      </w:r>
      <w:r w:rsidR="0005561D" w:rsidRPr="00FE0118">
        <w:t>/</w:t>
      </w:r>
      <w:r w:rsidR="00A36993" w:rsidRPr="00FE0118">
        <w:t xml:space="preserve"> </w:t>
      </w:r>
      <w:r w:rsidR="00C44079">
        <w:t>591 113,9</w:t>
      </w:r>
      <w:r w:rsidR="008E021B" w:rsidRPr="00FE0118">
        <w:t xml:space="preserve"> </w:t>
      </w:r>
      <w:r w:rsidR="00751A49" w:rsidRPr="00FE0118">
        <w:t>х</w:t>
      </w:r>
      <w:r w:rsidR="001163B7" w:rsidRPr="00FE0118">
        <w:t xml:space="preserve"> </w:t>
      </w:r>
      <w:r w:rsidR="00751A49" w:rsidRPr="00FE0118">
        <w:t>100%</w:t>
      </w:r>
      <w:r w:rsidR="00B5707B" w:rsidRPr="00FE0118">
        <w:t xml:space="preserve"> =</w:t>
      </w:r>
      <w:r w:rsidR="00751A49" w:rsidRPr="00FE0118">
        <w:t xml:space="preserve">   </w:t>
      </w:r>
      <w:r w:rsidR="00C44079">
        <w:rPr>
          <w:b/>
        </w:rPr>
        <w:t>4,4</w:t>
      </w:r>
      <w:r w:rsidR="00B5707B" w:rsidRPr="00FE0118">
        <w:rPr>
          <w:b/>
        </w:rPr>
        <w:t>%.</w:t>
      </w:r>
    </w:p>
    <w:p w:rsidR="004B2A87" w:rsidRDefault="004B2A87" w:rsidP="00C44079">
      <w:pPr>
        <w:spacing w:line="120" w:lineRule="auto"/>
        <w:ind w:firstLine="567"/>
        <w:jc w:val="both"/>
      </w:pPr>
    </w:p>
    <w:p w:rsidR="00493BEC" w:rsidRDefault="00493BEC" w:rsidP="00493BEC">
      <w:pPr>
        <w:ind w:firstLine="425"/>
        <w:jc w:val="both"/>
      </w:pPr>
      <w:r>
        <w:t xml:space="preserve">Для сравнения относительная экономия от сумм НМЦК закупок, проведенных конкурентными способами определения поставщика (подрядчика, исполнителя), по </w:t>
      </w:r>
      <w:proofErr w:type="gramStart"/>
      <w:r>
        <w:t>результатам</w:t>
      </w:r>
      <w:proofErr w:type="gramEnd"/>
      <w:r w:rsidR="00C44079">
        <w:t xml:space="preserve"> </w:t>
      </w:r>
      <w:r>
        <w:t xml:space="preserve"> которых заключены контракты  в предыдущем периоде </w:t>
      </w:r>
      <w:r w:rsidR="00114AA0">
        <w:t xml:space="preserve"> </w:t>
      </w:r>
      <w:r w:rsidRPr="00493BEC">
        <w:rPr>
          <w:b/>
        </w:rPr>
        <w:t>20</w:t>
      </w:r>
      <w:r w:rsidR="00A73805">
        <w:rPr>
          <w:b/>
        </w:rPr>
        <w:t>2</w:t>
      </w:r>
      <w:r w:rsidR="00C44079">
        <w:rPr>
          <w:b/>
        </w:rPr>
        <w:t>1</w:t>
      </w:r>
      <w:r w:rsidRPr="00493BEC">
        <w:rPr>
          <w:b/>
        </w:rPr>
        <w:t xml:space="preserve"> года</w:t>
      </w:r>
      <w:r>
        <w:t xml:space="preserve"> составляла ла  </w:t>
      </w:r>
      <w:r w:rsidR="00C44079">
        <w:rPr>
          <w:b/>
        </w:rPr>
        <w:t>9,6</w:t>
      </w:r>
      <w:r w:rsidRPr="00493BEC">
        <w:rPr>
          <w:b/>
        </w:rPr>
        <w:t>%.</w:t>
      </w:r>
      <w:r w:rsidR="00C44079">
        <w:rPr>
          <w:b/>
        </w:rPr>
        <w:t xml:space="preserve"> </w:t>
      </w:r>
      <w:r>
        <w:t xml:space="preserve"> </w:t>
      </w:r>
      <w:r w:rsidR="00C44079">
        <w:t>Снижение</w:t>
      </w:r>
      <w:r w:rsidR="0014496D">
        <w:t xml:space="preserve"> показателя относительной экономии в 20</w:t>
      </w:r>
      <w:r w:rsidR="00C44079">
        <w:t>22</w:t>
      </w:r>
      <w:r w:rsidR="0014496D">
        <w:t xml:space="preserve"> году </w:t>
      </w:r>
      <w:r w:rsidR="00C44079">
        <w:t xml:space="preserve">по сравнению с базисным периодом </w:t>
      </w:r>
      <w:r w:rsidR="003A14C2">
        <w:t xml:space="preserve"> </w:t>
      </w:r>
      <w:r w:rsidR="0014496D">
        <w:t>составил</w:t>
      </w:r>
      <w:r w:rsidR="00114AA0">
        <w:t>о</w:t>
      </w:r>
      <w:r w:rsidR="0014496D">
        <w:t xml:space="preserve"> </w:t>
      </w:r>
      <w:r w:rsidR="003A14C2">
        <w:t xml:space="preserve"> </w:t>
      </w:r>
      <w:r w:rsidR="00114AA0">
        <w:t>5,2 процентных пунктов</w:t>
      </w:r>
      <w:r w:rsidR="0014496D">
        <w:t>.</w:t>
      </w:r>
    </w:p>
    <w:p w:rsidR="009568B8" w:rsidRPr="009568B8" w:rsidRDefault="009568B8" w:rsidP="00794EC3">
      <w:pPr>
        <w:ind w:firstLine="425"/>
        <w:jc w:val="both"/>
        <w:rPr>
          <w:i/>
        </w:rPr>
      </w:pPr>
      <w:r w:rsidRPr="009568B8">
        <w:rPr>
          <w:i/>
        </w:rPr>
        <w:t>Причина</w:t>
      </w:r>
      <w:r w:rsidR="00794EC3" w:rsidRPr="009568B8">
        <w:rPr>
          <w:i/>
        </w:rPr>
        <w:t xml:space="preserve"> снижения относительной экономии по сравнению с 2021 годом </w:t>
      </w:r>
      <w:r w:rsidRPr="009568B8">
        <w:rPr>
          <w:i/>
        </w:rPr>
        <w:t>может быть обусловлена следующими факторами:</w:t>
      </w:r>
    </w:p>
    <w:p w:rsidR="009568B8" w:rsidRDefault="00794EC3" w:rsidP="009568B8">
      <w:pPr>
        <w:pStyle w:val="ab"/>
        <w:numPr>
          <w:ilvl w:val="0"/>
          <w:numId w:val="8"/>
        </w:numPr>
        <w:ind w:left="0" w:firstLine="426"/>
        <w:rPr>
          <w:rFonts w:ascii="Times New Roman" w:hAnsi="Times New Roman" w:cs="Times New Roman"/>
        </w:rPr>
      </w:pPr>
      <w:r w:rsidRPr="009568B8">
        <w:rPr>
          <w:rFonts w:ascii="Times New Roman" w:hAnsi="Times New Roman" w:cs="Times New Roman"/>
        </w:rPr>
        <w:t>общее повышение цен на товары и материалы из-за возникшего в 2022 году дефицита на рынке товаров и материалов, используемых при выполнении работ и оказании услуг, связанных с импортными поставками, либо имеющих высокую долю комплектующих (</w:t>
      </w:r>
      <w:r w:rsidR="009568B8">
        <w:rPr>
          <w:rFonts w:ascii="Times New Roman" w:hAnsi="Times New Roman" w:cs="Times New Roman"/>
        </w:rPr>
        <w:t>сырья) импортного производства.</w:t>
      </w:r>
    </w:p>
    <w:p w:rsidR="00674948" w:rsidRPr="009568B8" w:rsidRDefault="009568B8" w:rsidP="009568B8">
      <w:pPr>
        <w:pStyle w:val="ab"/>
        <w:numPr>
          <w:ilvl w:val="0"/>
          <w:numId w:val="8"/>
        </w:numPr>
        <w:ind w:left="0" w:firstLine="426"/>
        <w:rPr>
          <w:rFonts w:ascii="Times New Roman" w:hAnsi="Times New Roman" w:cs="Times New Roman"/>
        </w:rPr>
      </w:pPr>
      <w:r>
        <w:rPr>
          <w:rFonts w:ascii="Times New Roman" w:hAnsi="Times New Roman" w:cs="Times New Roman"/>
        </w:rPr>
        <w:t>к</w:t>
      </w:r>
      <w:r w:rsidR="00794EC3" w:rsidRPr="009568B8">
        <w:rPr>
          <w:rFonts w:ascii="Times New Roman" w:hAnsi="Times New Roman" w:cs="Times New Roman"/>
        </w:rPr>
        <w:t>роме того, на снижение относительной экономии оказал влияние тот факт, что крупнейш</w:t>
      </w:r>
      <w:r>
        <w:rPr>
          <w:rFonts w:ascii="Times New Roman" w:hAnsi="Times New Roman" w:cs="Times New Roman"/>
        </w:rPr>
        <w:t xml:space="preserve">ие </w:t>
      </w:r>
      <w:r w:rsidR="00794EC3" w:rsidRPr="009568B8">
        <w:rPr>
          <w:rFonts w:ascii="Times New Roman" w:hAnsi="Times New Roman" w:cs="Times New Roman"/>
        </w:rPr>
        <w:t xml:space="preserve"> за 2022 год </w:t>
      </w:r>
      <w:r>
        <w:rPr>
          <w:rFonts w:ascii="Times New Roman" w:hAnsi="Times New Roman" w:cs="Times New Roman"/>
        </w:rPr>
        <w:t xml:space="preserve">контракты </w:t>
      </w:r>
      <w:r w:rsidRPr="009568B8">
        <w:rPr>
          <w:rFonts w:ascii="Times New Roman" w:hAnsi="Times New Roman" w:cs="Times New Roman"/>
        </w:rPr>
        <w:t>в сфере  с</w:t>
      </w:r>
      <w:r w:rsidRPr="009568B8">
        <w:rPr>
          <w:rFonts w:ascii="Times New Roman" w:hAnsi="Times New Roman" w:cs="Times New Roman"/>
          <w:color w:val="000000"/>
        </w:rPr>
        <w:t>троительства, реконструкции, капитального ремонта, сноса объекта капитального строительства, проведения работ по сохранению</w:t>
      </w:r>
      <w:r>
        <w:rPr>
          <w:rFonts w:ascii="Times New Roman" w:hAnsi="Times New Roman" w:cs="Times New Roman"/>
          <w:color w:val="000000"/>
        </w:rPr>
        <w:t xml:space="preserve"> объектов культурного наследия</w:t>
      </w:r>
      <w:r w:rsidR="00794EC3" w:rsidRPr="009568B8">
        <w:rPr>
          <w:rFonts w:ascii="Times New Roman" w:hAnsi="Times New Roman" w:cs="Times New Roman"/>
        </w:rPr>
        <w:t>,</w:t>
      </w:r>
      <w:r>
        <w:rPr>
          <w:rFonts w:ascii="Times New Roman" w:hAnsi="Times New Roman" w:cs="Times New Roman"/>
        </w:rPr>
        <w:t xml:space="preserve"> составляющие</w:t>
      </w:r>
      <w:r w:rsidR="00794EC3" w:rsidRPr="009568B8">
        <w:rPr>
          <w:rFonts w:ascii="Times New Roman" w:hAnsi="Times New Roman" w:cs="Times New Roman"/>
        </w:rPr>
        <w:t xml:space="preserve"> более </w:t>
      </w:r>
      <w:r>
        <w:rPr>
          <w:rFonts w:ascii="Times New Roman" w:hAnsi="Times New Roman" w:cs="Times New Roman"/>
        </w:rPr>
        <w:t>27,0%</w:t>
      </w:r>
      <w:r w:rsidR="00794EC3" w:rsidRPr="009568B8">
        <w:rPr>
          <w:rFonts w:ascii="Times New Roman" w:hAnsi="Times New Roman" w:cs="Times New Roman"/>
        </w:rPr>
        <w:t xml:space="preserve"> от общей суммы всех контрактов, заключённых в отчётном году, </w:t>
      </w:r>
      <w:r w:rsidRPr="009568B8">
        <w:rPr>
          <w:rFonts w:ascii="Times New Roman" w:hAnsi="Times New Roman" w:cs="Times New Roman"/>
        </w:rPr>
        <w:t>заключен</w:t>
      </w:r>
      <w:r>
        <w:rPr>
          <w:rFonts w:ascii="Times New Roman" w:hAnsi="Times New Roman" w:cs="Times New Roman"/>
        </w:rPr>
        <w:t>ы</w:t>
      </w:r>
      <w:r w:rsidR="00794EC3" w:rsidRPr="009568B8">
        <w:rPr>
          <w:rFonts w:ascii="Times New Roman" w:hAnsi="Times New Roman" w:cs="Times New Roman"/>
        </w:rPr>
        <w:t xml:space="preserve"> с единственным поставщиком без экономии от </w:t>
      </w:r>
      <w:proofErr w:type="gramStart"/>
      <w:r w:rsidR="00794EC3" w:rsidRPr="009568B8">
        <w:rPr>
          <w:rFonts w:ascii="Times New Roman" w:hAnsi="Times New Roman" w:cs="Times New Roman"/>
        </w:rPr>
        <w:t>Н(</w:t>
      </w:r>
      <w:proofErr w:type="gramEnd"/>
      <w:r w:rsidR="00794EC3" w:rsidRPr="009568B8">
        <w:rPr>
          <w:rFonts w:ascii="Times New Roman" w:hAnsi="Times New Roman" w:cs="Times New Roman"/>
        </w:rPr>
        <w:t>м)ЦК.</w:t>
      </w:r>
    </w:p>
    <w:p w:rsidR="00674948" w:rsidRDefault="00674948" w:rsidP="00493BEC">
      <w:pPr>
        <w:spacing w:line="120" w:lineRule="auto"/>
        <w:ind w:firstLine="425"/>
        <w:jc w:val="both"/>
      </w:pPr>
    </w:p>
    <w:p w:rsidR="009568B8" w:rsidRDefault="009568B8" w:rsidP="009568B8">
      <w:pPr>
        <w:ind w:firstLine="425"/>
        <w:jc w:val="both"/>
      </w:pPr>
      <w:r>
        <w:t>Экономия, сложившаяся по результатам определения поставщика, может быть инструментом управления расходами бюджета.</w:t>
      </w:r>
    </w:p>
    <w:p w:rsidR="009568B8" w:rsidRDefault="009568B8" w:rsidP="009568B8">
      <w:pPr>
        <w:ind w:firstLine="425"/>
        <w:jc w:val="both"/>
      </w:pPr>
      <w:r>
        <w:t>Для этого необходимо установить порядок учета и расходования экономии по закупкам.</w:t>
      </w:r>
    </w:p>
    <w:p w:rsidR="009568B8" w:rsidRPr="004E62FC" w:rsidRDefault="009568B8" w:rsidP="009568B8">
      <w:pPr>
        <w:ind w:firstLine="425"/>
        <w:jc w:val="both"/>
        <w:rPr>
          <w:i/>
          <w:u w:val="single"/>
        </w:rPr>
      </w:pPr>
      <w:r w:rsidRPr="004E62FC">
        <w:rPr>
          <w:rFonts w:cs="TT Jenevers"/>
          <w:i/>
          <w:color w:val="000000"/>
        </w:rPr>
        <w:lastRenderedPageBreak/>
        <w:t>Использование показателя относительной экономии, как одного из критериев эффективной закупки, представляется не всегда оправданным, поскольку его величина в значительной степени зависит от обоснованности самой начальной (максимальной) цены контракта, что, в первую очередь, зависит от достоверности используемых источников для определения цен.</w:t>
      </w:r>
    </w:p>
    <w:p w:rsidR="004E62FC" w:rsidRPr="004E62FC" w:rsidRDefault="004E62FC" w:rsidP="004E62FC">
      <w:pPr>
        <w:spacing w:line="120" w:lineRule="auto"/>
        <w:ind w:firstLine="425"/>
        <w:jc w:val="both"/>
        <w:rPr>
          <w:i/>
          <w:u w:val="single"/>
        </w:rPr>
      </w:pPr>
    </w:p>
    <w:p w:rsidR="00E17429" w:rsidRDefault="00E17429" w:rsidP="004C3FDB">
      <w:pPr>
        <w:numPr>
          <w:ilvl w:val="0"/>
          <w:numId w:val="9"/>
        </w:numPr>
        <w:ind w:left="0" w:firstLine="426"/>
        <w:jc w:val="both"/>
      </w:pPr>
      <w:r w:rsidRPr="00C40539">
        <w:rPr>
          <w:i/>
          <w:u w:val="single"/>
        </w:rPr>
        <w:t>В разрезе городских и сельских поселений</w:t>
      </w:r>
      <w:r>
        <w:t xml:space="preserve">  показатель относительной экономии бюджетных средств  по данным </w:t>
      </w:r>
      <w:r w:rsidR="00847EC6">
        <w:t>Т</w:t>
      </w:r>
      <w:r>
        <w:t>аблицы №</w:t>
      </w:r>
      <w:r w:rsidR="0049099B">
        <w:t>1</w:t>
      </w:r>
      <w:r>
        <w:t xml:space="preserve">  сложился в диапазоне от </w:t>
      </w:r>
      <w:r w:rsidRPr="0049099B">
        <w:rPr>
          <w:b/>
        </w:rPr>
        <w:t>0,</w:t>
      </w:r>
      <w:r w:rsidR="009568B8">
        <w:rPr>
          <w:b/>
        </w:rPr>
        <w:t>1</w:t>
      </w:r>
      <w:r w:rsidRPr="0049099B">
        <w:rPr>
          <w:b/>
        </w:rPr>
        <w:t>%</w:t>
      </w:r>
      <w:r>
        <w:t xml:space="preserve"> в МО </w:t>
      </w:r>
      <w:r w:rsidR="009568B8">
        <w:t>Сосновское</w:t>
      </w:r>
      <w:r w:rsidR="0049099B">
        <w:t xml:space="preserve"> </w:t>
      </w:r>
      <w:r>
        <w:t xml:space="preserve">сельское поселение (самый низкий показатель) до </w:t>
      </w:r>
      <w:r w:rsidR="00A545A0">
        <w:t xml:space="preserve"> </w:t>
      </w:r>
      <w:r w:rsidR="00A545A0" w:rsidRPr="00A545A0">
        <w:rPr>
          <w:b/>
        </w:rPr>
        <w:t>1</w:t>
      </w:r>
      <w:r w:rsidR="00B90260">
        <w:rPr>
          <w:b/>
        </w:rPr>
        <w:t>3,3</w:t>
      </w:r>
      <w:r w:rsidRPr="0049099B">
        <w:rPr>
          <w:b/>
        </w:rPr>
        <w:t>%</w:t>
      </w:r>
      <w:r>
        <w:t xml:space="preserve"> в МО </w:t>
      </w:r>
      <w:proofErr w:type="spellStart"/>
      <w:r w:rsidR="00B90260">
        <w:t>Ромашкинское</w:t>
      </w:r>
      <w:proofErr w:type="spellEnd"/>
      <w:r w:rsidR="00B90260">
        <w:t xml:space="preserve"> сельское</w:t>
      </w:r>
      <w:r w:rsidR="004E62FC">
        <w:t xml:space="preserve"> поселение</w:t>
      </w:r>
      <w:r w:rsidR="00493BEC">
        <w:t xml:space="preserve"> </w:t>
      </w:r>
      <w:r>
        <w:t>(самый высокий показатель).</w:t>
      </w:r>
    </w:p>
    <w:p w:rsidR="00B5707B" w:rsidRDefault="00B5707B" w:rsidP="0084405E">
      <w:pPr>
        <w:spacing w:line="120" w:lineRule="auto"/>
        <w:ind w:firstLine="567"/>
        <w:jc w:val="both"/>
      </w:pPr>
    </w:p>
    <w:p w:rsidR="00493BEC" w:rsidRDefault="00D9360A" w:rsidP="00D9360A">
      <w:pPr>
        <w:jc w:val="both"/>
      </w:pPr>
      <w:r>
        <w:t xml:space="preserve">       </w:t>
      </w:r>
      <w:r w:rsidR="00161F86" w:rsidRPr="00D9360A">
        <w:rPr>
          <w:b/>
        </w:rPr>
        <w:t>2.</w:t>
      </w:r>
      <w:r>
        <w:t xml:space="preserve"> </w:t>
      </w:r>
      <w:r w:rsidR="00493BEC" w:rsidRPr="001A60BB">
        <w:t xml:space="preserve">В рамках анализа и оценки эффективности расходов на закупки целесообразно оценивать соблюдение заказчиком </w:t>
      </w:r>
      <w:r w:rsidR="00493BEC" w:rsidRPr="00D9360A">
        <w:rPr>
          <w:b/>
        </w:rPr>
        <w:t>принципа обеспечения конкуренции</w:t>
      </w:r>
      <w:r w:rsidR="00493BEC" w:rsidRPr="001A60BB">
        <w:t>, непосредственно влияющего на эффективность осуществления закупок.</w:t>
      </w:r>
    </w:p>
    <w:p w:rsidR="00493BEC" w:rsidRPr="001A60BB" w:rsidRDefault="00493BEC" w:rsidP="00493BEC">
      <w:pPr>
        <w:ind w:firstLine="426"/>
        <w:jc w:val="both"/>
      </w:pPr>
      <w:r w:rsidRPr="001A60BB">
        <w:t>При анализе конкуренции при осуществлении закупок за отчетный период рекомендуется применять следующие показатели:</w:t>
      </w:r>
    </w:p>
    <w:p w:rsidR="00493BEC" w:rsidRPr="001A60BB" w:rsidRDefault="00493BEC" w:rsidP="00493BEC">
      <w:pPr>
        <w:ind w:firstLine="426"/>
        <w:jc w:val="both"/>
      </w:pPr>
      <w:r>
        <w:t xml:space="preserve">- </w:t>
      </w:r>
      <w:r w:rsidRPr="00E42294">
        <w:rPr>
          <w:b/>
        </w:rPr>
        <w:t>среднее количество поданных заявок на одну закупку</w:t>
      </w:r>
      <w:r w:rsidRPr="001A60BB">
        <w:t xml:space="preserve"> - это отношение общего количества заявок, поданных участниками, к общему количеству процедур закупок;</w:t>
      </w:r>
    </w:p>
    <w:p w:rsidR="00493BEC" w:rsidRPr="001A60BB" w:rsidRDefault="00493BEC" w:rsidP="00493BEC">
      <w:pPr>
        <w:ind w:firstLine="426"/>
        <w:jc w:val="both"/>
      </w:pPr>
      <w:r>
        <w:t xml:space="preserve">- </w:t>
      </w:r>
      <w:r w:rsidRPr="00E42294">
        <w:rPr>
          <w:b/>
        </w:rPr>
        <w:t>среднее количество допущенных заявок на одну закупку</w:t>
      </w:r>
      <w:r w:rsidRPr="001A60BB">
        <w:t xml:space="preserve"> - это отношение общего количества заявок участников, допущенных комиссией заказчика к процедурам закупок, к общему количеству процедур закупок;</w:t>
      </w:r>
    </w:p>
    <w:p w:rsidR="00493BEC" w:rsidRPr="001A60BB" w:rsidRDefault="00493BEC" w:rsidP="00493BEC">
      <w:pPr>
        <w:ind w:firstLine="426"/>
        <w:jc w:val="both"/>
      </w:pPr>
      <w:r>
        <w:t xml:space="preserve">- </w:t>
      </w:r>
      <w:r w:rsidRPr="00E42294">
        <w:rPr>
          <w:b/>
        </w:rPr>
        <w:t>доля закупок у единственного поставщика (подрядчика, исполнителя</w:t>
      </w:r>
      <w:r w:rsidRPr="001A60BB">
        <w:t xml:space="preserve">) - это отношение закупок, осуществленных в соответствии со </w:t>
      </w:r>
      <w:hyperlink r:id="rId120" w:history="1">
        <w:r w:rsidRPr="00881317">
          <w:t>статьей 93</w:t>
        </w:r>
      </w:hyperlink>
      <w:r w:rsidRPr="001A60BB">
        <w:t xml:space="preserve"> Федерального закона N 44-ФЗ, к общему объему закупок (в стоимостном выражении).</w:t>
      </w:r>
    </w:p>
    <w:p w:rsidR="00493BEC" w:rsidRDefault="00493BEC" w:rsidP="00B90260">
      <w:pPr>
        <w:spacing w:line="120" w:lineRule="auto"/>
        <w:ind w:firstLine="567"/>
        <w:jc w:val="both"/>
      </w:pPr>
    </w:p>
    <w:p w:rsidR="00493BEC" w:rsidRPr="00881317" w:rsidRDefault="00493BEC" w:rsidP="00493BEC">
      <w:pPr>
        <w:spacing w:line="23" w:lineRule="atLeast"/>
        <w:ind w:firstLine="720"/>
        <w:jc w:val="center"/>
        <w:rPr>
          <w:i/>
        </w:rPr>
      </w:pPr>
      <w:r w:rsidRPr="005B2CAF">
        <w:rPr>
          <w:i/>
        </w:rPr>
        <w:t>Информация о поданных заявках на участие в процедурах закупок, а так же о допущенных</w:t>
      </w:r>
      <w:r w:rsidRPr="00881317">
        <w:rPr>
          <w:i/>
        </w:rPr>
        <w:t xml:space="preserve"> заявках отражена в таблице № </w:t>
      </w:r>
      <w:r>
        <w:rPr>
          <w:i/>
        </w:rPr>
        <w:t>11</w:t>
      </w:r>
      <w:r w:rsidRPr="00881317">
        <w:rPr>
          <w:i/>
        </w:rPr>
        <w:t>.</w:t>
      </w:r>
    </w:p>
    <w:p w:rsidR="00493BEC" w:rsidRPr="00122EA8" w:rsidRDefault="00493BEC" w:rsidP="00493BEC">
      <w:pPr>
        <w:spacing w:line="23" w:lineRule="atLeast"/>
        <w:ind w:firstLine="720"/>
        <w:jc w:val="right"/>
        <w:rPr>
          <w:b/>
          <w:sz w:val="22"/>
          <w:szCs w:val="22"/>
        </w:rPr>
      </w:pPr>
      <w:r w:rsidRPr="00122EA8">
        <w:rPr>
          <w:b/>
          <w:sz w:val="22"/>
          <w:szCs w:val="22"/>
        </w:rPr>
        <w:t>Таблица №11</w:t>
      </w:r>
    </w:p>
    <w:tbl>
      <w:tblPr>
        <w:tblpPr w:leftFromText="180" w:rightFromText="180" w:vertAnchor="text" w:horzAnchor="margin" w:tblpX="108" w:tblpY="221"/>
        <w:tblW w:w="9464" w:type="dxa"/>
        <w:tblLook w:val="0000" w:firstRow="0" w:lastRow="0" w:firstColumn="0" w:lastColumn="0" w:noHBand="0" w:noVBand="0"/>
      </w:tblPr>
      <w:tblGrid>
        <w:gridCol w:w="512"/>
        <w:gridCol w:w="1811"/>
        <w:gridCol w:w="1471"/>
        <w:gridCol w:w="1559"/>
        <w:gridCol w:w="1638"/>
        <w:gridCol w:w="2473"/>
      </w:tblGrid>
      <w:tr w:rsidR="00B90260" w:rsidRPr="00847642" w:rsidTr="00B90260">
        <w:trPr>
          <w:trHeight w:val="530"/>
        </w:trPr>
        <w:tc>
          <w:tcPr>
            <w:tcW w:w="512" w:type="dxa"/>
            <w:tcBorders>
              <w:top w:val="single" w:sz="4" w:space="0" w:color="auto"/>
              <w:left w:val="single" w:sz="4" w:space="0" w:color="auto"/>
              <w:bottom w:val="single" w:sz="4" w:space="0" w:color="000000"/>
              <w:right w:val="single" w:sz="4" w:space="0" w:color="auto"/>
            </w:tcBorders>
            <w:shd w:val="clear" w:color="auto" w:fill="EEECE1" w:themeFill="background2"/>
            <w:vAlign w:val="center"/>
          </w:tcPr>
          <w:p w:rsidR="00493BEC" w:rsidRPr="00A82865" w:rsidRDefault="00493BEC" w:rsidP="003A516F">
            <w:pPr>
              <w:pStyle w:val="ConsPlusNormal"/>
              <w:spacing w:line="23" w:lineRule="atLeast"/>
              <w:jc w:val="center"/>
              <w:rPr>
                <w:rFonts w:ascii="Times New Roman" w:hAnsi="Times New Roman" w:cs="Times New Roman"/>
                <w:b/>
              </w:rPr>
            </w:pPr>
            <w:r w:rsidRPr="00A82865">
              <w:rPr>
                <w:rFonts w:ascii="Times New Roman" w:hAnsi="Times New Roman" w:cs="Times New Roman"/>
                <w:b/>
              </w:rPr>
              <w:t xml:space="preserve">№ </w:t>
            </w:r>
            <w:proofErr w:type="gramStart"/>
            <w:r w:rsidRPr="00A82865">
              <w:rPr>
                <w:rFonts w:ascii="Times New Roman" w:hAnsi="Times New Roman" w:cs="Times New Roman"/>
                <w:b/>
              </w:rPr>
              <w:t>п</w:t>
            </w:r>
            <w:proofErr w:type="gramEnd"/>
            <w:r w:rsidRPr="00A82865">
              <w:rPr>
                <w:rFonts w:ascii="Times New Roman" w:hAnsi="Times New Roman" w:cs="Times New Roman"/>
                <w:b/>
              </w:rPr>
              <w:t>/п</w:t>
            </w:r>
          </w:p>
        </w:tc>
        <w:tc>
          <w:tcPr>
            <w:tcW w:w="181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93BEC" w:rsidRPr="00A82865" w:rsidRDefault="00493BEC" w:rsidP="003A516F">
            <w:pPr>
              <w:pStyle w:val="ConsPlusNormal"/>
              <w:spacing w:line="23" w:lineRule="atLeast"/>
              <w:jc w:val="center"/>
              <w:rPr>
                <w:rFonts w:ascii="Times New Roman" w:hAnsi="Times New Roman" w:cs="Times New Roman"/>
                <w:b/>
              </w:rPr>
            </w:pPr>
            <w:r w:rsidRPr="00503CDC">
              <w:rPr>
                <w:rFonts w:ascii="Times New Roman" w:hAnsi="Times New Roman" w:cs="Times New Roman"/>
                <w:b/>
              </w:rPr>
              <w:t>Способ определения поставщика</w:t>
            </w:r>
          </w:p>
        </w:tc>
        <w:tc>
          <w:tcPr>
            <w:tcW w:w="147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93BEC" w:rsidRPr="00A82865" w:rsidRDefault="00493BEC" w:rsidP="003A516F">
            <w:pPr>
              <w:pStyle w:val="ConsPlusNormal"/>
              <w:spacing w:line="23" w:lineRule="atLeast"/>
              <w:jc w:val="center"/>
              <w:rPr>
                <w:rFonts w:ascii="Times New Roman" w:hAnsi="Times New Roman" w:cs="Times New Roman"/>
                <w:b/>
              </w:rPr>
            </w:pPr>
            <w:r w:rsidRPr="00A82865">
              <w:rPr>
                <w:rFonts w:ascii="Times New Roman" w:hAnsi="Times New Roman" w:cs="Times New Roman"/>
                <w:b/>
              </w:rPr>
              <w:t>Кол-во заявок поданных на участие</w:t>
            </w:r>
          </w:p>
        </w:tc>
        <w:tc>
          <w:tcPr>
            <w:tcW w:w="155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93BEC" w:rsidRPr="00A82865" w:rsidRDefault="00493BEC" w:rsidP="003A516F">
            <w:pPr>
              <w:pStyle w:val="ConsPlusNormal"/>
              <w:spacing w:line="23" w:lineRule="atLeast"/>
              <w:jc w:val="center"/>
              <w:rPr>
                <w:rFonts w:ascii="Times New Roman" w:hAnsi="Times New Roman" w:cs="Times New Roman"/>
                <w:b/>
              </w:rPr>
            </w:pPr>
            <w:r w:rsidRPr="00A82865">
              <w:rPr>
                <w:rFonts w:ascii="Times New Roman" w:hAnsi="Times New Roman" w:cs="Times New Roman"/>
                <w:b/>
              </w:rPr>
              <w:t xml:space="preserve">Кол-во заявок допущенных к участию </w:t>
            </w:r>
          </w:p>
        </w:tc>
        <w:tc>
          <w:tcPr>
            <w:tcW w:w="1638" w:type="dxa"/>
            <w:tcBorders>
              <w:top w:val="single" w:sz="4" w:space="0" w:color="auto"/>
              <w:left w:val="single" w:sz="4" w:space="0" w:color="auto"/>
              <w:bottom w:val="single" w:sz="4" w:space="0" w:color="auto"/>
              <w:right w:val="single" w:sz="4" w:space="0" w:color="000000"/>
            </w:tcBorders>
            <w:shd w:val="clear" w:color="auto" w:fill="EEECE1" w:themeFill="background2"/>
            <w:vAlign w:val="center"/>
          </w:tcPr>
          <w:p w:rsidR="00493BEC" w:rsidRPr="00A82865" w:rsidRDefault="00493BEC" w:rsidP="003A516F">
            <w:pPr>
              <w:pStyle w:val="ConsPlusNormal"/>
              <w:spacing w:line="23" w:lineRule="atLeast"/>
              <w:jc w:val="center"/>
              <w:rPr>
                <w:rFonts w:ascii="Times New Roman" w:hAnsi="Times New Roman" w:cs="Times New Roman"/>
                <w:b/>
              </w:rPr>
            </w:pPr>
            <w:r>
              <w:rPr>
                <w:rFonts w:ascii="Times New Roman" w:hAnsi="Times New Roman" w:cs="Times New Roman"/>
                <w:b/>
              </w:rPr>
              <w:t>Общее кол-во процедур закупок</w:t>
            </w:r>
          </w:p>
        </w:tc>
        <w:tc>
          <w:tcPr>
            <w:tcW w:w="2473" w:type="dxa"/>
            <w:tcBorders>
              <w:top w:val="single" w:sz="4" w:space="0" w:color="auto"/>
              <w:left w:val="single" w:sz="4" w:space="0" w:color="auto"/>
              <w:bottom w:val="single" w:sz="4" w:space="0" w:color="auto"/>
              <w:right w:val="single" w:sz="4" w:space="0" w:color="000000"/>
            </w:tcBorders>
            <w:shd w:val="clear" w:color="auto" w:fill="EEECE1" w:themeFill="background2"/>
            <w:vAlign w:val="center"/>
          </w:tcPr>
          <w:p w:rsidR="00493BEC" w:rsidRPr="00A82865" w:rsidRDefault="00493BEC" w:rsidP="003A516F">
            <w:pPr>
              <w:pStyle w:val="ConsPlusNormal"/>
              <w:spacing w:line="23" w:lineRule="atLeast"/>
              <w:jc w:val="center"/>
              <w:rPr>
                <w:rFonts w:ascii="Times New Roman" w:hAnsi="Times New Roman" w:cs="Times New Roman"/>
                <w:b/>
              </w:rPr>
            </w:pPr>
            <w:r w:rsidRPr="00A82865">
              <w:rPr>
                <w:rFonts w:ascii="Times New Roman" w:hAnsi="Times New Roman" w:cs="Times New Roman"/>
                <w:b/>
              </w:rPr>
              <w:t xml:space="preserve">Итог рассмотрения поданных заявок на участие </w:t>
            </w:r>
          </w:p>
        </w:tc>
      </w:tr>
      <w:tr w:rsidR="00B90260" w:rsidRPr="00847642" w:rsidTr="003A516F">
        <w:trPr>
          <w:trHeight w:val="440"/>
        </w:trPr>
        <w:tc>
          <w:tcPr>
            <w:tcW w:w="512" w:type="dxa"/>
            <w:tcBorders>
              <w:top w:val="nil"/>
              <w:left w:val="single" w:sz="4" w:space="0" w:color="auto"/>
              <w:bottom w:val="single" w:sz="4" w:space="0" w:color="auto"/>
              <w:right w:val="single" w:sz="4" w:space="0" w:color="auto"/>
            </w:tcBorders>
            <w:vAlign w:val="center"/>
          </w:tcPr>
          <w:p w:rsidR="00493BEC" w:rsidRPr="00847642" w:rsidRDefault="00493BEC" w:rsidP="003A516F">
            <w:pPr>
              <w:spacing w:line="23" w:lineRule="atLeast"/>
              <w:jc w:val="center"/>
              <w:rPr>
                <w:sz w:val="20"/>
                <w:szCs w:val="20"/>
              </w:rPr>
            </w:pPr>
            <w:r w:rsidRPr="00847642">
              <w:rPr>
                <w:sz w:val="20"/>
                <w:szCs w:val="20"/>
              </w:rPr>
              <w:t>1</w:t>
            </w:r>
          </w:p>
        </w:tc>
        <w:tc>
          <w:tcPr>
            <w:tcW w:w="1811" w:type="dxa"/>
            <w:tcBorders>
              <w:top w:val="single" w:sz="4" w:space="0" w:color="auto"/>
              <w:left w:val="nil"/>
              <w:bottom w:val="single" w:sz="4" w:space="0" w:color="auto"/>
              <w:right w:val="single" w:sz="4" w:space="0" w:color="auto"/>
            </w:tcBorders>
            <w:vAlign w:val="center"/>
          </w:tcPr>
          <w:p w:rsidR="00493BEC" w:rsidRPr="00847642" w:rsidRDefault="00493BEC" w:rsidP="003A516F">
            <w:pPr>
              <w:spacing w:line="23" w:lineRule="atLeast"/>
              <w:jc w:val="center"/>
              <w:rPr>
                <w:sz w:val="20"/>
                <w:szCs w:val="20"/>
              </w:rPr>
            </w:pPr>
            <w:r>
              <w:rPr>
                <w:sz w:val="20"/>
                <w:szCs w:val="20"/>
              </w:rPr>
              <w:t>Электронный аукцион</w:t>
            </w:r>
          </w:p>
        </w:tc>
        <w:tc>
          <w:tcPr>
            <w:tcW w:w="1471" w:type="dxa"/>
            <w:tcBorders>
              <w:top w:val="single" w:sz="4" w:space="0" w:color="auto"/>
              <w:left w:val="nil"/>
              <w:bottom w:val="single" w:sz="4" w:space="0" w:color="auto"/>
              <w:right w:val="single" w:sz="4" w:space="0" w:color="auto"/>
            </w:tcBorders>
            <w:vAlign w:val="center"/>
          </w:tcPr>
          <w:p w:rsidR="00493BEC" w:rsidRPr="00847642" w:rsidRDefault="00B90260" w:rsidP="002255BB">
            <w:pPr>
              <w:pStyle w:val="ConsPlusNormal"/>
              <w:spacing w:line="23" w:lineRule="atLeast"/>
              <w:jc w:val="center"/>
              <w:rPr>
                <w:rFonts w:ascii="Times New Roman" w:hAnsi="Times New Roman" w:cs="Times New Roman"/>
              </w:rPr>
            </w:pPr>
            <w:r>
              <w:rPr>
                <w:rFonts w:ascii="Times New Roman" w:hAnsi="Times New Roman" w:cs="Times New Roman"/>
              </w:rPr>
              <w:t>160</w:t>
            </w:r>
          </w:p>
        </w:tc>
        <w:tc>
          <w:tcPr>
            <w:tcW w:w="1559" w:type="dxa"/>
            <w:tcBorders>
              <w:top w:val="single" w:sz="4" w:space="0" w:color="auto"/>
              <w:left w:val="nil"/>
              <w:bottom w:val="single" w:sz="4" w:space="0" w:color="auto"/>
              <w:right w:val="single" w:sz="4" w:space="0" w:color="auto"/>
            </w:tcBorders>
            <w:vAlign w:val="center"/>
          </w:tcPr>
          <w:p w:rsidR="00493BEC" w:rsidRPr="00847642" w:rsidRDefault="00B90260" w:rsidP="002255BB">
            <w:pPr>
              <w:pStyle w:val="ConsPlusNormal"/>
              <w:spacing w:line="23" w:lineRule="atLeast"/>
              <w:jc w:val="center"/>
              <w:rPr>
                <w:rFonts w:ascii="Times New Roman" w:hAnsi="Times New Roman" w:cs="Times New Roman"/>
              </w:rPr>
            </w:pPr>
            <w:r>
              <w:rPr>
                <w:rFonts w:ascii="Times New Roman" w:hAnsi="Times New Roman" w:cs="Times New Roman"/>
              </w:rPr>
              <w:t>160</w:t>
            </w:r>
          </w:p>
        </w:tc>
        <w:tc>
          <w:tcPr>
            <w:tcW w:w="1638" w:type="dxa"/>
            <w:tcBorders>
              <w:top w:val="single" w:sz="4" w:space="0" w:color="auto"/>
              <w:left w:val="nil"/>
              <w:bottom w:val="single" w:sz="4" w:space="0" w:color="auto"/>
              <w:right w:val="single" w:sz="4" w:space="0" w:color="auto"/>
            </w:tcBorders>
            <w:vAlign w:val="center"/>
          </w:tcPr>
          <w:p w:rsidR="00493BEC" w:rsidRPr="00847642" w:rsidRDefault="00B90260" w:rsidP="002255BB">
            <w:pPr>
              <w:pStyle w:val="ConsPlusNormal"/>
              <w:spacing w:line="23" w:lineRule="atLeast"/>
              <w:jc w:val="center"/>
              <w:rPr>
                <w:rFonts w:ascii="Times New Roman" w:hAnsi="Times New Roman" w:cs="Times New Roman"/>
              </w:rPr>
            </w:pPr>
            <w:r>
              <w:rPr>
                <w:rFonts w:ascii="Times New Roman" w:hAnsi="Times New Roman" w:cs="Times New Roman"/>
              </w:rPr>
              <w:t>47</w:t>
            </w:r>
          </w:p>
        </w:tc>
        <w:tc>
          <w:tcPr>
            <w:tcW w:w="2473" w:type="dxa"/>
            <w:tcBorders>
              <w:top w:val="single" w:sz="4" w:space="0" w:color="auto"/>
              <w:left w:val="nil"/>
              <w:bottom w:val="single" w:sz="4" w:space="0" w:color="auto"/>
              <w:right w:val="single" w:sz="4" w:space="0" w:color="auto"/>
            </w:tcBorders>
            <w:vAlign w:val="center"/>
          </w:tcPr>
          <w:p w:rsidR="00493BEC" w:rsidRPr="00847642" w:rsidRDefault="00493BEC" w:rsidP="003A516F">
            <w:pPr>
              <w:pStyle w:val="ConsPlusNormal"/>
              <w:spacing w:line="23" w:lineRule="atLeast"/>
              <w:jc w:val="center"/>
              <w:rPr>
                <w:rFonts w:ascii="Times New Roman" w:hAnsi="Times New Roman" w:cs="Times New Roman"/>
              </w:rPr>
            </w:pPr>
            <w:r w:rsidRPr="00847642">
              <w:rPr>
                <w:rFonts w:ascii="Times New Roman" w:hAnsi="Times New Roman" w:cs="Times New Roman"/>
              </w:rPr>
              <w:t>Заключен</w:t>
            </w:r>
            <w:r>
              <w:rPr>
                <w:rFonts w:ascii="Times New Roman" w:hAnsi="Times New Roman" w:cs="Times New Roman"/>
              </w:rPr>
              <w:t>ы</w:t>
            </w:r>
            <w:r w:rsidRPr="00847642">
              <w:rPr>
                <w:rFonts w:ascii="Times New Roman" w:hAnsi="Times New Roman" w:cs="Times New Roman"/>
              </w:rPr>
              <w:t xml:space="preserve"> контракт</w:t>
            </w:r>
            <w:r>
              <w:rPr>
                <w:rFonts w:ascii="Times New Roman" w:hAnsi="Times New Roman" w:cs="Times New Roman"/>
              </w:rPr>
              <w:t>ы</w:t>
            </w:r>
            <w:r w:rsidRPr="00847642">
              <w:rPr>
                <w:rFonts w:ascii="Times New Roman" w:hAnsi="Times New Roman" w:cs="Times New Roman"/>
              </w:rPr>
              <w:t xml:space="preserve"> с победител</w:t>
            </w:r>
            <w:r>
              <w:rPr>
                <w:rFonts w:ascii="Times New Roman" w:hAnsi="Times New Roman" w:cs="Times New Roman"/>
              </w:rPr>
              <w:t>ями</w:t>
            </w:r>
          </w:p>
        </w:tc>
      </w:tr>
      <w:tr w:rsidR="00B90260" w:rsidRPr="00847642" w:rsidTr="003A516F">
        <w:trPr>
          <w:trHeight w:val="421"/>
        </w:trPr>
        <w:tc>
          <w:tcPr>
            <w:tcW w:w="512" w:type="dxa"/>
            <w:tcBorders>
              <w:top w:val="nil"/>
              <w:left w:val="single" w:sz="4" w:space="0" w:color="auto"/>
              <w:bottom w:val="single" w:sz="4" w:space="0" w:color="auto"/>
              <w:right w:val="single" w:sz="4" w:space="0" w:color="auto"/>
            </w:tcBorders>
            <w:vAlign w:val="center"/>
          </w:tcPr>
          <w:p w:rsidR="00493BEC" w:rsidRPr="00847642" w:rsidRDefault="00493BEC" w:rsidP="003A516F">
            <w:pPr>
              <w:spacing w:line="23" w:lineRule="atLeast"/>
              <w:jc w:val="center"/>
              <w:rPr>
                <w:sz w:val="20"/>
                <w:szCs w:val="20"/>
              </w:rPr>
            </w:pPr>
            <w:r w:rsidRPr="00847642">
              <w:rPr>
                <w:sz w:val="20"/>
                <w:szCs w:val="20"/>
              </w:rPr>
              <w:t>2</w:t>
            </w:r>
          </w:p>
        </w:tc>
        <w:tc>
          <w:tcPr>
            <w:tcW w:w="1811" w:type="dxa"/>
            <w:tcBorders>
              <w:top w:val="nil"/>
              <w:left w:val="nil"/>
              <w:bottom w:val="single" w:sz="4" w:space="0" w:color="auto"/>
              <w:right w:val="single" w:sz="4" w:space="0" w:color="auto"/>
            </w:tcBorders>
            <w:vAlign w:val="center"/>
          </w:tcPr>
          <w:p w:rsidR="00493BEC" w:rsidRPr="00847642" w:rsidRDefault="00493BEC" w:rsidP="003A516F">
            <w:pPr>
              <w:spacing w:line="23" w:lineRule="atLeast"/>
              <w:jc w:val="center"/>
              <w:rPr>
                <w:sz w:val="20"/>
                <w:szCs w:val="20"/>
              </w:rPr>
            </w:pPr>
            <w:r>
              <w:rPr>
                <w:sz w:val="20"/>
                <w:szCs w:val="20"/>
              </w:rPr>
              <w:t>Электронный аукцион</w:t>
            </w:r>
          </w:p>
        </w:tc>
        <w:tc>
          <w:tcPr>
            <w:tcW w:w="1471" w:type="dxa"/>
            <w:tcBorders>
              <w:top w:val="nil"/>
              <w:left w:val="nil"/>
              <w:bottom w:val="single" w:sz="4" w:space="0" w:color="auto"/>
              <w:right w:val="single" w:sz="4" w:space="0" w:color="auto"/>
            </w:tcBorders>
            <w:vAlign w:val="center"/>
          </w:tcPr>
          <w:p w:rsidR="00493BEC" w:rsidRPr="00847642" w:rsidRDefault="00B90260" w:rsidP="002255BB">
            <w:pPr>
              <w:pStyle w:val="ConsPlusNormal"/>
              <w:spacing w:line="23" w:lineRule="atLeast"/>
              <w:jc w:val="center"/>
              <w:rPr>
                <w:rFonts w:ascii="Times New Roman" w:hAnsi="Times New Roman" w:cs="Times New Roman"/>
              </w:rPr>
            </w:pPr>
            <w:r>
              <w:rPr>
                <w:rFonts w:ascii="Times New Roman" w:hAnsi="Times New Roman" w:cs="Times New Roman"/>
              </w:rPr>
              <w:t>100</w:t>
            </w:r>
          </w:p>
        </w:tc>
        <w:tc>
          <w:tcPr>
            <w:tcW w:w="1559" w:type="dxa"/>
            <w:tcBorders>
              <w:top w:val="nil"/>
              <w:left w:val="nil"/>
              <w:bottom w:val="single" w:sz="4" w:space="0" w:color="auto"/>
              <w:right w:val="single" w:sz="4" w:space="0" w:color="auto"/>
            </w:tcBorders>
            <w:vAlign w:val="center"/>
          </w:tcPr>
          <w:p w:rsidR="00493BEC" w:rsidRPr="00847642" w:rsidRDefault="00B90260" w:rsidP="002255BB">
            <w:pPr>
              <w:pStyle w:val="ConsPlusNormal"/>
              <w:spacing w:line="23" w:lineRule="atLeast"/>
              <w:jc w:val="center"/>
              <w:rPr>
                <w:rFonts w:ascii="Times New Roman" w:hAnsi="Times New Roman" w:cs="Times New Roman"/>
              </w:rPr>
            </w:pPr>
            <w:r>
              <w:rPr>
                <w:rFonts w:ascii="Times New Roman" w:hAnsi="Times New Roman" w:cs="Times New Roman"/>
              </w:rPr>
              <w:t>95</w:t>
            </w:r>
          </w:p>
        </w:tc>
        <w:tc>
          <w:tcPr>
            <w:tcW w:w="1638" w:type="dxa"/>
            <w:tcBorders>
              <w:top w:val="nil"/>
              <w:left w:val="nil"/>
              <w:bottom w:val="single" w:sz="4" w:space="0" w:color="auto"/>
              <w:right w:val="single" w:sz="4" w:space="0" w:color="auto"/>
            </w:tcBorders>
            <w:vAlign w:val="center"/>
          </w:tcPr>
          <w:p w:rsidR="00493BEC" w:rsidRPr="00847642" w:rsidRDefault="00B90260" w:rsidP="002255BB">
            <w:pPr>
              <w:pStyle w:val="ConsPlusNormal"/>
              <w:spacing w:line="23" w:lineRule="atLeast"/>
              <w:jc w:val="center"/>
              <w:rPr>
                <w:rFonts w:ascii="Times New Roman" w:hAnsi="Times New Roman" w:cs="Times New Roman"/>
              </w:rPr>
            </w:pPr>
            <w:r>
              <w:rPr>
                <w:rFonts w:ascii="Times New Roman" w:hAnsi="Times New Roman" w:cs="Times New Roman"/>
              </w:rPr>
              <w:t>95</w:t>
            </w:r>
          </w:p>
        </w:tc>
        <w:tc>
          <w:tcPr>
            <w:tcW w:w="2473" w:type="dxa"/>
            <w:tcBorders>
              <w:top w:val="nil"/>
              <w:left w:val="nil"/>
              <w:bottom w:val="single" w:sz="4" w:space="0" w:color="auto"/>
              <w:right w:val="single" w:sz="4" w:space="0" w:color="auto"/>
            </w:tcBorders>
            <w:vAlign w:val="center"/>
          </w:tcPr>
          <w:p w:rsidR="00493BEC" w:rsidRPr="00847642" w:rsidRDefault="00493BEC" w:rsidP="003A516F">
            <w:pPr>
              <w:pStyle w:val="ConsPlusNormal"/>
              <w:spacing w:line="23" w:lineRule="atLeast"/>
              <w:jc w:val="center"/>
              <w:rPr>
                <w:rFonts w:ascii="Times New Roman" w:hAnsi="Times New Roman" w:cs="Times New Roman"/>
              </w:rPr>
            </w:pPr>
            <w:r>
              <w:rPr>
                <w:rFonts w:ascii="Times New Roman" w:hAnsi="Times New Roman" w:cs="Times New Roman"/>
              </w:rPr>
              <w:t>З</w:t>
            </w:r>
            <w:r w:rsidRPr="00847642">
              <w:rPr>
                <w:rFonts w:ascii="Times New Roman" w:hAnsi="Times New Roman" w:cs="Times New Roman"/>
              </w:rPr>
              <w:t>аключен</w:t>
            </w:r>
            <w:r>
              <w:rPr>
                <w:rFonts w:ascii="Times New Roman" w:hAnsi="Times New Roman" w:cs="Times New Roman"/>
              </w:rPr>
              <w:t>ы</w:t>
            </w:r>
            <w:r w:rsidRPr="00847642">
              <w:rPr>
                <w:rFonts w:ascii="Times New Roman" w:hAnsi="Times New Roman" w:cs="Times New Roman"/>
              </w:rPr>
              <w:t xml:space="preserve"> контракт</w:t>
            </w:r>
            <w:r>
              <w:rPr>
                <w:rFonts w:ascii="Times New Roman" w:hAnsi="Times New Roman" w:cs="Times New Roman"/>
              </w:rPr>
              <w:t>ы</w:t>
            </w:r>
            <w:r w:rsidRPr="00847642">
              <w:rPr>
                <w:rFonts w:ascii="Times New Roman" w:hAnsi="Times New Roman" w:cs="Times New Roman"/>
              </w:rPr>
              <w:t xml:space="preserve"> с единственным поставщиком</w:t>
            </w:r>
          </w:p>
        </w:tc>
      </w:tr>
      <w:tr w:rsidR="00B90260" w:rsidRPr="00847642" w:rsidTr="003A516F">
        <w:trPr>
          <w:trHeight w:val="495"/>
        </w:trPr>
        <w:tc>
          <w:tcPr>
            <w:tcW w:w="512" w:type="dxa"/>
            <w:tcBorders>
              <w:top w:val="nil"/>
              <w:left w:val="single" w:sz="4" w:space="0" w:color="auto"/>
              <w:bottom w:val="single" w:sz="4" w:space="0" w:color="auto"/>
              <w:right w:val="single" w:sz="4" w:space="0" w:color="auto"/>
            </w:tcBorders>
            <w:vAlign w:val="center"/>
          </w:tcPr>
          <w:p w:rsidR="00493BEC" w:rsidRPr="00847642" w:rsidRDefault="00493BEC" w:rsidP="003A516F">
            <w:pPr>
              <w:spacing w:line="23" w:lineRule="atLeast"/>
              <w:jc w:val="center"/>
              <w:rPr>
                <w:sz w:val="20"/>
                <w:szCs w:val="20"/>
              </w:rPr>
            </w:pPr>
            <w:r w:rsidRPr="00847642">
              <w:rPr>
                <w:sz w:val="20"/>
                <w:szCs w:val="20"/>
              </w:rPr>
              <w:t>3</w:t>
            </w:r>
          </w:p>
        </w:tc>
        <w:tc>
          <w:tcPr>
            <w:tcW w:w="1811" w:type="dxa"/>
            <w:tcBorders>
              <w:top w:val="nil"/>
              <w:left w:val="nil"/>
              <w:bottom w:val="single" w:sz="4" w:space="0" w:color="auto"/>
              <w:right w:val="single" w:sz="4" w:space="0" w:color="auto"/>
            </w:tcBorders>
            <w:vAlign w:val="center"/>
          </w:tcPr>
          <w:p w:rsidR="00493BEC" w:rsidRPr="00847642" w:rsidRDefault="00B90260" w:rsidP="00B90260">
            <w:pPr>
              <w:spacing w:line="23" w:lineRule="atLeast"/>
              <w:jc w:val="center"/>
              <w:rPr>
                <w:sz w:val="20"/>
                <w:szCs w:val="20"/>
              </w:rPr>
            </w:pPr>
            <w:r>
              <w:rPr>
                <w:sz w:val="20"/>
                <w:szCs w:val="20"/>
              </w:rPr>
              <w:t>Электронный запрос котировок</w:t>
            </w:r>
          </w:p>
        </w:tc>
        <w:tc>
          <w:tcPr>
            <w:tcW w:w="1471" w:type="dxa"/>
            <w:tcBorders>
              <w:top w:val="nil"/>
              <w:left w:val="nil"/>
              <w:bottom w:val="single" w:sz="4" w:space="0" w:color="auto"/>
              <w:right w:val="single" w:sz="4" w:space="0" w:color="auto"/>
            </w:tcBorders>
            <w:vAlign w:val="center"/>
          </w:tcPr>
          <w:p w:rsidR="00493BEC" w:rsidRPr="00847642" w:rsidRDefault="00B90260" w:rsidP="003A516F">
            <w:pPr>
              <w:pStyle w:val="ConsPlusNormal"/>
              <w:spacing w:line="23" w:lineRule="atLeast"/>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vAlign w:val="center"/>
          </w:tcPr>
          <w:p w:rsidR="00493BEC" w:rsidRPr="00847642" w:rsidRDefault="00B90260" w:rsidP="003A516F">
            <w:pPr>
              <w:pStyle w:val="ConsPlusNormal"/>
              <w:spacing w:line="23" w:lineRule="atLeast"/>
              <w:jc w:val="center"/>
              <w:rPr>
                <w:rFonts w:ascii="Times New Roman" w:hAnsi="Times New Roman" w:cs="Times New Roman"/>
              </w:rPr>
            </w:pPr>
            <w:r>
              <w:rPr>
                <w:rFonts w:ascii="Times New Roman" w:hAnsi="Times New Roman" w:cs="Times New Roman"/>
              </w:rPr>
              <w:t>-</w:t>
            </w:r>
          </w:p>
        </w:tc>
        <w:tc>
          <w:tcPr>
            <w:tcW w:w="1638" w:type="dxa"/>
            <w:tcBorders>
              <w:top w:val="nil"/>
              <w:left w:val="nil"/>
              <w:bottom w:val="single" w:sz="4" w:space="0" w:color="auto"/>
              <w:right w:val="single" w:sz="4" w:space="0" w:color="auto"/>
            </w:tcBorders>
            <w:vAlign w:val="center"/>
          </w:tcPr>
          <w:p w:rsidR="00493BEC" w:rsidRPr="00847642" w:rsidRDefault="00B90260" w:rsidP="002255BB">
            <w:pPr>
              <w:pStyle w:val="ConsPlusNormal"/>
              <w:spacing w:line="23" w:lineRule="atLeast"/>
              <w:jc w:val="center"/>
              <w:rPr>
                <w:rFonts w:ascii="Times New Roman" w:hAnsi="Times New Roman" w:cs="Times New Roman"/>
              </w:rPr>
            </w:pPr>
            <w:r>
              <w:rPr>
                <w:rFonts w:ascii="Times New Roman" w:hAnsi="Times New Roman" w:cs="Times New Roman"/>
              </w:rPr>
              <w:t>-</w:t>
            </w:r>
          </w:p>
        </w:tc>
        <w:tc>
          <w:tcPr>
            <w:tcW w:w="2473" w:type="dxa"/>
            <w:tcBorders>
              <w:top w:val="nil"/>
              <w:left w:val="nil"/>
              <w:bottom w:val="single" w:sz="4" w:space="0" w:color="auto"/>
              <w:right w:val="single" w:sz="4" w:space="0" w:color="auto"/>
            </w:tcBorders>
            <w:vAlign w:val="center"/>
          </w:tcPr>
          <w:p w:rsidR="00493BEC" w:rsidRPr="00847642" w:rsidRDefault="00493BEC" w:rsidP="003A516F">
            <w:pPr>
              <w:pStyle w:val="ConsPlusNormal"/>
              <w:spacing w:line="23" w:lineRule="atLeast"/>
              <w:jc w:val="center"/>
              <w:rPr>
                <w:rFonts w:ascii="Times New Roman" w:hAnsi="Times New Roman" w:cs="Times New Roman"/>
              </w:rPr>
            </w:pPr>
            <w:r w:rsidRPr="00847642">
              <w:rPr>
                <w:rFonts w:ascii="Times New Roman" w:hAnsi="Times New Roman" w:cs="Times New Roman"/>
              </w:rPr>
              <w:t>Заключен</w:t>
            </w:r>
            <w:r>
              <w:rPr>
                <w:rFonts w:ascii="Times New Roman" w:hAnsi="Times New Roman" w:cs="Times New Roman"/>
              </w:rPr>
              <w:t>ы</w:t>
            </w:r>
            <w:r w:rsidRPr="00847642">
              <w:rPr>
                <w:rFonts w:ascii="Times New Roman" w:hAnsi="Times New Roman" w:cs="Times New Roman"/>
              </w:rPr>
              <w:t xml:space="preserve"> контракт</w:t>
            </w:r>
            <w:r>
              <w:rPr>
                <w:rFonts w:ascii="Times New Roman" w:hAnsi="Times New Roman" w:cs="Times New Roman"/>
              </w:rPr>
              <w:t>ы</w:t>
            </w:r>
            <w:r w:rsidRPr="00847642">
              <w:rPr>
                <w:rFonts w:ascii="Times New Roman" w:hAnsi="Times New Roman" w:cs="Times New Roman"/>
              </w:rPr>
              <w:t xml:space="preserve"> с победител</w:t>
            </w:r>
            <w:r>
              <w:rPr>
                <w:rFonts w:ascii="Times New Roman" w:hAnsi="Times New Roman" w:cs="Times New Roman"/>
              </w:rPr>
              <w:t>ями</w:t>
            </w:r>
          </w:p>
        </w:tc>
      </w:tr>
      <w:tr w:rsidR="00B90260" w:rsidRPr="00847642" w:rsidTr="003A516F">
        <w:trPr>
          <w:trHeight w:val="584"/>
        </w:trPr>
        <w:tc>
          <w:tcPr>
            <w:tcW w:w="512" w:type="dxa"/>
            <w:tcBorders>
              <w:top w:val="single" w:sz="4" w:space="0" w:color="auto"/>
              <w:left w:val="single" w:sz="4" w:space="0" w:color="auto"/>
              <w:bottom w:val="single" w:sz="4" w:space="0" w:color="auto"/>
              <w:right w:val="single" w:sz="4" w:space="0" w:color="auto"/>
            </w:tcBorders>
            <w:vAlign w:val="center"/>
          </w:tcPr>
          <w:p w:rsidR="00B90260" w:rsidRPr="00847642" w:rsidRDefault="00B90260" w:rsidP="00B90260">
            <w:pPr>
              <w:spacing w:line="23" w:lineRule="atLeast"/>
              <w:jc w:val="center"/>
              <w:rPr>
                <w:sz w:val="20"/>
                <w:szCs w:val="20"/>
              </w:rPr>
            </w:pPr>
            <w:r>
              <w:rPr>
                <w:sz w:val="20"/>
                <w:szCs w:val="20"/>
              </w:rPr>
              <w:t>4</w:t>
            </w:r>
          </w:p>
        </w:tc>
        <w:tc>
          <w:tcPr>
            <w:tcW w:w="1811" w:type="dxa"/>
            <w:tcBorders>
              <w:top w:val="single" w:sz="4" w:space="0" w:color="auto"/>
              <w:left w:val="nil"/>
              <w:bottom w:val="single" w:sz="4" w:space="0" w:color="auto"/>
              <w:right w:val="single" w:sz="4" w:space="0" w:color="auto"/>
            </w:tcBorders>
            <w:vAlign w:val="center"/>
          </w:tcPr>
          <w:p w:rsidR="00B90260" w:rsidRDefault="00B90260" w:rsidP="00B90260">
            <w:pPr>
              <w:spacing w:line="23" w:lineRule="atLeast"/>
              <w:jc w:val="center"/>
              <w:rPr>
                <w:sz w:val="20"/>
                <w:szCs w:val="20"/>
              </w:rPr>
            </w:pPr>
            <w:r>
              <w:rPr>
                <w:sz w:val="20"/>
                <w:szCs w:val="20"/>
              </w:rPr>
              <w:t>Электронный запрос котировок</w:t>
            </w:r>
          </w:p>
        </w:tc>
        <w:tc>
          <w:tcPr>
            <w:tcW w:w="1471" w:type="dxa"/>
            <w:tcBorders>
              <w:top w:val="single" w:sz="4" w:space="0" w:color="auto"/>
              <w:left w:val="nil"/>
              <w:bottom w:val="single" w:sz="4" w:space="0" w:color="auto"/>
              <w:right w:val="single" w:sz="4" w:space="0" w:color="auto"/>
            </w:tcBorders>
            <w:vAlign w:val="center"/>
          </w:tcPr>
          <w:p w:rsidR="00B90260" w:rsidRPr="00847642" w:rsidRDefault="00B90260" w:rsidP="00B90260">
            <w:pPr>
              <w:pStyle w:val="ConsPlusNormal"/>
              <w:spacing w:line="23" w:lineRule="atLeast"/>
              <w:jc w:val="center"/>
              <w:rPr>
                <w:rFonts w:ascii="Times New Roman" w:hAnsi="Times New Roman" w:cs="Times New Roman"/>
              </w:rPr>
            </w:pPr>
            <w:r>
              <w:rPr>
                <w:rFonts w:ascii="Times New Roman" w:hAnsi="Times New Roman" w:cs="Times New Roman"/>
              </w:rPr>
              <w:t>-</w:t>
            </w:r>
          </w:p>
        </w:tc>
        <w:tc>
          <w:tcPr>
            <w:tcW w:w="1559" w:type="dxa"/>
            <w:tcBorders>
              <w:top w:val="single" w:sz="4" w:space="0" w:color="auto"/>
              <w:left w:val="nil"/>
              <w:bottom w:val="single" w:sz="4" w:space="0" w:color="auto"/>
              <w:right w:val="single" w:sz="4" w:space="0" w:color="auto"/>
            </w:tcBorders>
            <w:vAlign w:val="center"/>
          </w:tcPr>
          <w:p w:rsidR="00B90260" w:rsidRPr="00847642" w:rsidRDefault="00B90260" w:rsidP="00B90260">
            <w:pPr>
              <w:pStyle w:val="ConsPlusNormal"/>
              <w:spacing w:line="23" w:lineRule="atLeast"/>
              <w:jc w:val="center"/>
              <w:rPr>
                <w:rFonts w:ascii="Times New Roman" w:hAnsi="Times New Roman" w:cs="Times New Roman"/>
              </w:rPr>
            </w:pPr>
            <w:r>
              <w:rPr>
                <w:rFonts w:ascii="Times New Roman" w:hAnsi="Times New Roman" w:cs="Times New Roman"/>
              </w:rPr>
              <w:t>-</w:t>
            </w:r>
          </w:p>
        </w:tc>
        <w:tc>
          <w:tcPr>
            <w:tcW w:w="1638" w:type="dxa"/>
            <w:tcBorders>
              <w:top w:val="single" w:sz="4" w:space="0" w:color="auto"/>
              <w:left w:val="nil"/>
              <w:bottom w:val="single" w:sz="4" w:space="0" w:color="auto"/>
              <w:right w:val="single" w:sz="4" w:space="0" w:color="auto"/>
            </w:tcBorders>
            <w:vAlign w:val="center"/>
          </w:tcPr>
          <w:p w:rsidR="00B90260" w:rsidRPr="00847642" w:rsidRDefault="00B90260" w:rsidP="00B90260">
            <w:pPr>
              <w:pStyle w:val="ConsPlusNormal"/>
              <w:spacing w:line="23" w:lineRule="atLeast"/>
              <w:jc w:val="center"/>
              <w:rPr>
                <w:rFonts w:ascii="Times New Roman" w:hAnsi="Times New Roman" w:cs="Times New Roman"/>
              </w:rPr>
            </w:pPr>
            <w:r>
              <w:rPr>
                <w:rFonts w:ascii="Times New Roman" w:hAnsi="Times New Roman" w:cs="Times New Roman"/>
              </w:rPr>
              <w:t>-</w:t>
            </w:r>
          </w:p>
        </w:tc>
        <w:tc>
          <w:tcPr>
            <w:tcW w:w="2473" w:type="dxa"/>
            <w:tcBorders>
              <w:top w:val="single" w:sz="4" w:space="0" w:color="auto"/>
              <w:left w:val="nil"/>
              <w:bottom w:val="single" w:sz="4" w:space="0" w:color="auto"/>
              <w:right w:val="single" w:sz="4" w:space="0" w:color="auto"/>
            </w:tcBorders>
            <w:vAlign w:val="center"/>
          </w:tcPr>
          <w:p w:rsidR="00B90260" w:rsidRPr="00847642" w:rsidRDefault="00B90260" w:rsidP="00B90260">
            <w:pPr>
              <w:pStyle w:val="ConsPlusNormal"/>
              <w:spacing w:line="23" w:lineRule="atLeast"/>
              <w:jc w:val="center"/>
              <w:rPr>
                <w:rFonts w:ascii="Times New Roman" w:hAnsi="Times New Roman" w:cs="Times New Roman"/>
              </w:rPr>
            </w:pPr>
            <w:r>
              <w:rPr>
                <w:rFonts w:ascii="Times New Roman" w:hAnsi="Times New Roman" w:cs="Times New Roman"/>
              </w:rPr>
              <w:t>З</w:t>
            </w:r>
            <w:r w:rsidRPr="00847642">
              <w:rPr>
                <w:rFonts w:ascii="Times New Roman" w:hAnsi="Times New Roman" w:cs="Times New Roman"/>
              </w:rPr>
              <w:t>аключен</w:t>
            </w:r>
            <w:r>
              <w:rPr>
                <w:rFonts w:ascii="Times New Roman" w:hAnsi="Times New Roman" w:cs="Times New Roman"/>
              </w:rPr>
              <w:t>ы</w:t>
            </w:r>
            <w:r w:rsidRPr="00847642">
              <w:rPr>
                <w:rFonts w:ascii="Times New Roman" w:hAnsi="Times New Roman" w:cs="Times New Roman"/>
              </w:rPr>
              <w:t xml:space="preserve"> контракт</w:t>
            </w:r>
            <w:r>
              <w:rPr>
                <w:rFonts w:ascii="Times New Roman" w:hAnsi="Times New Roman" w:cs="Times New Roman"/>
              </w:rPr>
              <w:t>ы</w:t>
            </w:r>
            <w:r w:rsidRPr="00847642">
              <w:rPr>
                <w:rFonts w:ascii="Times New Roman" w:hAnsi="Times New Roman" w:cs="Times New Roman"/>
              </w:rPr>
              <w:t xml:space="preserve"> с единственным поставщиком</w:t>
            </w:r>
          </w:p>
        </w:tc>
      </w:tr>
      <w:tr w:rsidR="00B90260" w:rsidRPr="00847642" w:rsidTr="003A516F">
        <w:trPr>
          <w:trHeight w:val="760"/>
        </w:trPr>
        <w:tc>
          <w:tcPr>
            <w:tcW w:w="512" w:type="dxa"/>
            <w:tcBorders>
              <w:top w:val="single" w:sz="4" w:space="0" w:color="auto"/>
              <w:left w:val="single" w:sz="4" w:space="0" w:color="auto"/>
              <w:bottom w:val="single" w:sz="4" w:space="0" w:color="auto"/>
              <w:right w:val="single" w:sz="4" w:space="0" w:color="auto"/>
            </w:tcBorders>
            <w:vAlign w:val="center"/>
          </w:tcPr>
          <w:p w:rsidR="00B90260" w:rsidRDefault="00B90260" w:rsidP="00B90260">
            <w:pPr>
              <w:spacing w:line="23" w:lineRule="atLeast"/>
              <w:jc w:val="center"/>
              <w:rPr>
                <w:sz w:val="20"/>
                <w:szCs w:val="20"/>
              </w:rPr>
            </w:pPr>
            <w:r>
              <w:rPr>
                <w:sz w:val="20"/>
                <w:szCs w:val="20"/>
              </w:rPr>
              <w:t>5</w:t>
            </w:r>
          </w:p>
        </w:tc>
        <w:tc>
          <w:tcPr>
            <w:tcW w:w="1811" w:type="dxa"/>
            <w:tcBorders>
              <w:top w:val="single" w:sz="4" w:space="0" w:color="auto"/>
              <w:left w:val="nil"/>
              <w:bottom w:val="single" w:sz="4" w:space="0" w:color="auto"/>
              <w:right w:val="single" w:sz="4" w:space="0" w:color="auto"/>
            </w:tcBorders>
            <w:vAlign w:val="center"/>
          </w:tcPr>
          <w:p w:rsidR="00B90260" w:rsidRDefault="00B90260" w:rsidP="00B90260">
            <w:pPr>
              <w:spacing w:line="23" w:lineRule="atLeast"/>
              <w:jc w:val="center"/>
              <w:rPr>
                <w:sz w:val="20"/>
                <w:szCs w:val="20"/>
              </w:rPr>
            </w:pPr>
            <w:r>
              <w:rPr>
                <w:sz w:val="20"/>
                <w:szCs w:val="20"/>
              </w:rPr>
              <w:t>Электронный конкурс</w:t>
            </w:r>
          </w:p>
        </w:tc>
        <w:tc>
          <w:tcPr>
            <w:tcW w:w="1471" w:type="dxa"/>
            <w:tcBorders>
              <w:top w:val="single" w:sz="4" w:space="0" w:color="auto"/>
              <w:left w:val="nil"/>
              <w:bottom w:val="single" w:sz="4" w:space="0" w:color="auto"/>
              <w:right w:val="single" w:sz="4" w:space="0" w:color="auto"/>
            </w:tcBorders>
            <w:vAlign w:val="center"/>
          </w:tcPr>
          <w:p w:rsidR="00B90260" w:rsidRDefault="00B90260" w:rsidP="00B90260">
            <w:pPr>
              <w:pStyle w:val="ConsPlusNormal"/>
              <w:spacing w:line="23" w:lineRule="atLeast"/>
              <w:jc w:val="center"/>
              <w:rPr>
                <w:rFonts w:ascii="Times New Roman" w:hAnsi="Times New Roman" w:cs="Times New Roman"/>
              </w:rPr>
            </w:pPr>
            <w:r>
              <w:rPr>
                <w:rFonts w:ascii="Times New Roman" w:hAnsi="Times New Roman" w:cs="Times New Roman"/>
              </w:rPr>
              <w:t>8</w:t>
            </w:r>
          </w:p>
        </w:tc>
        <w:tc>
          <w:tcPr>
            <w:tcW w:w="1559" w:type="dxa"/>
            <w:tcBorders>
              <w:top w:val="single" w:sz="4" w:space="0" w:color="auto"/>
              <w:left w:val="nil"/>
              <w:bottom w:val="single" w:sz="4" w:space="0" w:color="auto"/>
              <w:right w:val="single" w:sz="4" w:space="0" w:color="auto"/>
            </w:tcBorders>
            <w:vAlign w:val="center"/>
          </w:tcPr>
          <w:p w:rsidR="00B90260" w:rsidRPr="00847642" w:rsidRDefault="00B90260" w:rsidP="00B90260">
            <w:pPr>
              <w:pStyle w:val="ConsPlusNormal"/>
              <w:spacing w:line="23" w:lineRule="atLeast"/>
              <w:jc w:val="center"/>
              <w:rPr>
                <w:rFonts w:ascii="Times New Roman" w:hAnsi="Times New Roman" w:cs="Times New Roman"/>
              </w:rPr>
            </w:pPr>
            <w:r>
              <w:rPr>
                <w:rFonts w:ascii="Times New Roman" w:hAnsi="Times New Roman" w:cs="Times New Roman"/>
              </w:rPr>
              <w:t>2</w:t>
            </w:r>
          </w:p>
        </w:tc>
        <w:tc>
          <w:tcPr>
            <w:tcW w:w="1638" w:type="dxa"/>
            <w:tcBorders>
              <w:top w:val="single" w:sz="4" w:space="0" w:color="auto"/>
              <w:left w:val="nil"/>
              <w:bottom w:val="single" w:sz="4" w:space="0" w:color="auto"/>
              <w:right w:val="single" w:sz="4" w:space="0" w:color="auto"/>
            </w:tcBorders>
            <w:vAlign w:val="center"/>
          </w:tcPr>
          <w:p w:rsidR="00B90260" w:rsidRDefault="00B90260" w:rsidP="00B90260">
            <w:pPr>
              <w:pStyle w:val="ConsPlusNormal"/>
              <w:spacing w:line="23" w:lineRule="atLeast"/>
              <w:jc w:val="center"/>
              <w:rPr>
                <w:rFonts w:ascii="Times New Roman" w:hAnsi="Times New Roman" w:cs="Times New Roman"/>
              </w:rPr>
            </w:pPr>
            <w:r>
              <w:rPr>
                <w:rFonts w:ascii="Times New Roman" w:hAnsi="Times New Roman" w:cs="Times New Roman"/>
              </w:rPr>
              <w:t>1</w:t>
            </w:r>
          </w:p>
        </w:tc>
        <w:tc>
          <w:tcPr>
            <w:tcW w:w="2473" w:type="dxa"/>
            <w:tcBorders>
              <w:top w:val="single" w:sz="4" w:space="0" w:color="auto"/>
              <w:left w:val="nil"/>
              <w:bottom w:val="single" w:sz="4" w:space="0" w:color="auto"/>
              <w:right w:val="single" w:sz="4" w:space="0" w:color="auto"/>
            </w:tcBorders>
            <w:vAlign w:val="center"/>
          </w:tcPr>
          <w:p w:rsidR="00B90260" w:rsidRDefault="00B90260" w:rsidP="00B90260">
            <w:pPr>
              <w:pStyle w:val="ConsPlusNormal"/>
              <w:spacing w:line="23" w:lineRule="atLeast"/>
              <w:jc w:val="center"/>
              <w:rPr>
                <w:rFonts w:ascii="Times New Roman" w:hAnsi="Times New Roman" w:cs="Times New Roman"/>
              </w:rPr>
            </w:pPr>
            <w:r w:rsidRPr="00847642">
              <w:rPr>
                <w:rFonts w:ascii="Times New Roman" w:hAnsi="Times New Roman" w:cs="Times New Roman"/>
              </w:rPr>
              <w:t>Заключен</w:t>
            </w:r>
            <w:r>
              <w:rPr>
                <w:rFonts w:ascii="Times New Roman" w:hAnsi="Times New Roman" w:cs="Times New Roman"/>
              </w:rPr>
              <w:t>ы</w:t>
            </w:r>
            <w:r w:rsidRPr="00847642">
              <w:rPr>
                <w:rFonts w:ascii="Times New Roman" w:hAnsi="Times New Roman" w:cs="Times New Roman"/>
              </w:rPr>
              <w:t xml:space="preserve"> контракт</w:t>
            </w:r>
            <w:r>
              <w:rPr>
                <w:rFonts w:ascii="Times New Roman" w:hAnsi="Times New Roman" w:cs="Times New Roman"/>
              </w:rPr>
              <w:t>ы с победителями</w:t>
            </w:r>
          </w:p>
        </w:tc>
      </w:tr>
      <w:tr w:rsidR="00B90260" w:rsidRPr="00847642" w:rsidTr="003A516F">
        <w:trPr>
          <w:trHeight w:val="380"/>
        </w:trPr>
        <w:tc>
          <w:tcPr>
            <w:tcW w:w="512" w:type="dxa"/>
            <w:tcBorders>
              <w:top w:val="single" w:sz="4" w:space="0" w:color="auto"/>
              <w:left w:val="single" w:sz="4" w:space="0" w:color="auto"/>
              <w:bottom w:val="single" w:sz="4" w:space="0" w:color="auto"/>
              <w:right w:val="single" w:sz="4" w:space="0" w:color="auto"/>
            </w:tcBorders>
            <w:vAlign w:val="center"/>
          </w:tcPr>
          <w:p w:rsidR="00B90260" w:rsidRDefault="00B90260" w:rsidP="00B90260">
            <w:pPr>
              <w:spacing w:line="23" w:lineRule="atLeast"/>
              <w:jc w:val="center"/>
              <w:rPr>
                <w:sz w:val="20"/>
                <w:szCs w:val="20"/>
              </w:rPr>
            </w:pPr>
            <w:r>
              <w:rPr>
                <w:sz w:val="20"/>
                <w:szCs w:val="20"/>
              </w:rPr>
              <w:t>6</w:t>
            </w:r>
          </w:p>
        </w:tc>
        <w:tc>
          <w:tcPr>
            <w:tcW w:w="1811" w:type="dxa"/>
            <w:tcBorders>
              <w:top w:val="single" w:sz="4" w:space="0" w:color="auto"/>
              <w:left w:val="nil"/>
              <w:bottom w:val="single" w:sz="4" w:space="0" w:color="auto"/>
              <w:right w:val="single" w:sz="4" w:space="0" w:color="auto"/>
            </w:tcBorders>
            <w:vAlign w:val="center"/>
          </w:tcPr>
          <w:p w:rsidR="00B90260" w:rsidRDefault="00B90260" w:rsidP="00B90260">
            <w:pPr>
              <w:spacing w:line="23" w:lineRule="atLeast"/>
              <w:jc w:val="center"/>
              <w:rPr>
                <w:sz w:val="20"/>
                <w:szCs w:val="20"/>
              </w:rPr>
            </w:pPr>
            <w:r>
              <w:rPr>
                <w:sz w:val="20"/>
                <w:szCs w:val="20"/>
              </w:rPr>
              <w:t>Электронный конкурс</w:t>
            </w:r>
          </w:p>
        </w:tc>
        <w:tc>
          <w:tcPr>
            <w:tcW w:w="1471" w:type="dxa"/>
            <w:tcBorders>
              <w:top w:val="single" w:sz="4" w:space="0" w:color="auto"/>
              <w:left w:val="nil"/>
              <w:bottom w:val="single" w:sz="4" w:space="0" w:color="auto"/>
              <w:right w:val="single" w:sz="4" w:space="0" w:color="auto"/>
            </w:tcBorders>
            <w:vAlign w:val="center"/>
          </w:tcPr>
          <w:p w:rsidR="00B90260" w:rsidRDefault="00E37F62" w:rsidP="00B90260">
            <w:pPr>
              <w:pStyle w:val="ConsPlusNormal"/>
              <w:spacing w:line="23" w:lineRule="atLeast"/>
              <w:jc w:val="center"/>
              <w:rPr>
                <w:rFonts w:ascii="Times New Roman" w:hAnsi="Times New Roman" w:cs="Times New Roman"/>
              </w:rPr>
            </w:pPr>
            <w:r>
              <w:rPr>
                <w:rFonts w:ascii="Times New Roman" w:hAnsi="Times New Roman" w:cs="Times New Roman"/>
              </w:rPr>
              <w:t>6</w:t>
            </w:r>
          </w:p>
        </w:tc>
        <w:tc>
          <w:tcPr>
            <w:tcW w:w="1559" w:type="dxa"/>
            <w:tcBorders>
              <w:top w:val="single" w:sz="4" w:space="0" w:color="auto"/>
              <w:left w:val="nil"/>
              <w:bottom w:val="single" w:sz="4" w:space="0" w:color="auto"/>
              <w:right w:val="single" w:sz="4" w:space="0" w:color="auto"/>
            </w:tcBorders>
            <w:vAlign w:val="center"/>
          </w:tcPr>
          <w:p w:rsidR="00B90260" w:rsidRDefault="00E37F62" w:rsidP="00B90260">
            <w:pPr>
              <w:pStyle w:val="ConsPlusNormal"/>
              <w:spacing w:line="23" w:lineRule="atLeast"/>
              <w:jc w:val="center"/>
              <w:rPr>
                <w:rFonts w:ascii="Times New Roman" w:hAnsi="Times New Roman" w:cs="Times New Roman"/>
              </w:rPr>
            </w:pPr>
            <w:r>
              <w:rPr>
                <w:rFonts w:ascii="Times New Roman" w:hAnsi="Times New Roman" w:cs="Times New Roman"/>
              </w:rPr>
              <w:t>6</w:t>
            </w:r>
          </w:p>
        </w:tc>
        <w:tc>
          <w:tcPr>
            <w:tcW w:w="1638" w:type="dxa"/>
            <w:tcBorders>
              <w:top w:val="single" w:sz="4" w:space="0" w:color="auto"/>
              <w:left w:val="nil"/>
              <w:bottom w:val="single" w:sz="4" w:space="0" w:color="auto"/>
              <w:right w:val="single" w:sz="4" w:space="0" w:color="auto"/>
            </w:tcBorders>
            <w:vAlign w:val="center"/>
          </w:tcPr>
          <w:p w:rsidR="00B90260" w:rsidRDefault="00E37F62" w:rsidP="00B90260">
            <w:pPr>
              <w:pStyle w:val="ConsPlusNormal"/>
              <w:spacing w:line="23" w:lineRule="atLeast"/>
              <w:jc w:val="center"/>
              <w:rPr>
                <w:rFonts w:ascii="Times New Roman" w:hAnsi="Times New Roman" w:cs="Times New Roman"/>
              </w:rPr>
            </w:pPr>
            <w:r>
              <w:rPr>
                <w:rFonts w:ascii="Times New Roman" w:hAnsi="Times New Roman" w:cs="Times New Roman"/>
              </w:rPr>
              <w:t>6</w:t>
            </w:r>
          </w:p>
        </w:tc>
        <w:tc>
          <w:tcPr>
            <w:tcW w:w="2473" w:type="dxa"/>
            <w:tcBorders>
              <w:top w:val="single" w:sz="4" w:space="0" w:color="auto"/>
              <w:left w:val="nil"/>
              <w:bottom w:val="single" w:sz="4" w:space="0" w:color="auto"/>
              <w:right w:val="single" w:sz="4" w:space="0" w:color="auto"/>
            </w:tcBorders>
            <w:vAlign w:val="center"/>
          </w:tcPr>
          <w:p w:rsidR="00B90260" w:rsidRPr="00847642" w:rsidRDefault="00B90260" w:rsidP="00B90260">
            <w:pPr>
              <w:pStyle w:val="ConsPlusNormal"/>
              <w:spacing w:line="23" w:lineRule="atLeast"/>
              <w:jc w:val="center"/>
              <w:rPr>
                <w:rFonts w:ascii="Times New Roman" w:hAnsi="Times New Roman" w:cs="Times New Roman"/>
              </w:rPr>
            </w:pPr>
            <w:r>
              <w:rPr>
                <w:rFonts w:ascii="Times New Roman" w:hAnsi="Times New Roman" w:cs="Times New Roman"/>
              </w:rPr>
              <w:t>З</w:t>
            </w:r>
            <w:r w:rsidRPr="00847642">
              <w:rPr>
                <w:rFonts w:ascii="Times New Roman" w:hAnsi="Times New Roman" w:cs="Times New Roman"/>
              </w:rPr>
              <w:t>аключен</w:t>
            </w:r>
            <w:r>
              <w:rPr>
                <w:rFonts w:ascii="Times New Roman" w:hAnsi="Times New Roman" w:cs="Times New Roman"/>
              </w:rPr>
              <w:t>ы</w:t>
            </w:r>
            <w:r w:rsidRPr="00847642">
              <w:rPr>
                <w:rFonts w:ascii="Times New Roman" w:hAnsi="Times New Roman" w:cs="Times New Roman"/>
              </w:rPr>
              <w:t xml:space="preserve"> контракт</w:t>
            </w:r>
            <w:r>
              <w:rPr>
                <w:rFonts w:ascii="Times New Roman" w:hAnsi="Times New Roman" w:cs="Times New Roman"/>
              </w:rPr>
              <w:t>ы</w:t>
            </w:r>
            <w:r w:rsidRPr="00847642">
              <w:rPr>
                <w:rFonts w:ascii="Times New Roman" w:hAnsi="Times New Roman" w:cs="Times New Roman"/>
              </w:rPr>
              <w:t xml:space="preserve"> с единственным поставщиком</w:t>
            </w:r>
          </w:p>
        </w:tc>
      </w:tr>
      <w:tr w:rsidR="00B90260" w:rsidRPr="00847642" w:rsidTr="00B90260">
        <w:trPr>
          <w:trHeight w:val="482"/>
        </w:trPr>
        <w:tc>
          <w:tcPr>
            <w:tcW w:w="512" w:type="dxa"/>
            <w:tcBorders>
              <w:top w:val="nil"/>
              <w:left w:val="single" w:sz="4" w:space="0" w:color="auto"/>
              <w:bottom w:val="single" w:sz="4" w:space="0" w:color="auto"/>
              <w:right w:val="single" w:sz="4" w:space="0" w:color="auto"/>
            </w:tcBorders>
            <w:shd w:val="clear" w:color="auto" w:fill="EEECE1" w:themeFill="background2"/>
            <w:vAlign w:val="center"/>
          </w:tcPr>
          <w:p w:rsidR="00B90260" w:rsidRPr="00847642" w:rsidRDefault="00B90260" w:rsidP="00B90260">
            <w:pPr>
              <w:spacing w:line="23" w:lineRule="atLeast"/>
              <w:jc w:val="center"/>
              <w:rPr>
                <w:sz w:val="20"/>
                <w:szCs w:val="20"/>
              </w:rPr>
            </w:pPr>
          </w:p>
        </w:tc>
        <w:tc>
          <w:tcPr>
            <w:tcW w:w="1811" w:type="dxa"/>
            <w:tcBorders>
              <w:top w:val="nil"/>
              <w:left w:val="nil"/>
              <w:bottom w:val="single" w:sz="4" w:space="0" w:color="auto"/>
              <w:right w:val="single" w:sz="4" w:space="0" w:color="auto"/>
            </w:tcBorders>
            <w:shd w:val="clear" w:color="auto" w:fill="EEECE1" w:themeFill="background2"/>
            <w:vAlign w:val="center"/>
          </w:tcPr>
          <w:p w:rsidR="00B90260" w:rsidRPr="00297554" w:rsidRDefault="00B90260" w:rsidP="00B90260">
            <w:pPr>
              <w:spacing w:line="23" w:lineRule="atLeast"/>
              <w:jc w:val="center"/>
              <w:rPr>
                <w:b/>
              </w:rPr>
            </w:pPr>
            <w:r w:rsidRPr="00297554">
              <w:rPr>
                <w:b/>
                <w:sz w:val="22"/>
                <w:szCs w:val="22"/>
              </w:rPr>
              <w:t>ИТОГО:</w:t>
            </w:r>
          </w:p>
        </w:tc>
        <w:tc>
          <w:tcPr>
            <w:tcW w:w="1471" w:type="dxa"/>
            <w:tcBorders>
              <w:top w:val="nil"/>
              <w:left w:val="nil"/>
              <w:bottom w:val="single" w:sz="4" w:space="0" w:color="auto"/>
              <w:right w:val="single" w:sz="4" w:space="0" w:color="auto"/>
            </w:tcBorders>
            <w:shd w:val="clear" w:color="auto" w:fill="EEECE1" w:themeFill="background2"/>
            <w:vAlign w:val="center"/>
          </w:tcPr>
          <w:p w:rsidR="00B90260" w:rsidRPr="00297554" w:rsidRDefault="00B90260" w:rsidP="00B90260">
            <w:pPr>
              <w:pStyle w:val="ConsPlusNormal"/>
              <w:spacing w:line="23" w:lineRule="atLeast"/>
              <w:jc w:val="center"/>
              <w:rPr>
                <w:rFonts w:ascii="Times New Roman" w:hAnsi="Times New Roman" w:cs="Times New Roman"/>
                <w:b/>
                <w:sz w:val="22"/>
                <w:szCs w:val="22"/>
              </w:rPr>
            </w:pPr>
            <w:r>
              <w:rPr>
                <w:rFonts w:ascii="Times New Roman" w:hAnsi="Times New Roman" w:cs="Times New Roman"/>
                <w:b/>
                <w:sz w:val="22"/>
                <w:szCs w:val="22"/>
              </w:rPr>
              <w:t>274</w:t>
            </w:r>
          </w:p>
        </w:tc>
        <w:tc>
          <w:tcPr>
            <w:tcW w:w="1559" w:type="dxa"/>
            <w:tcBorders>
              <w:top w:val="nil"/>
              <w:left w:val="nil"/>
              <w:bottom w:val="single" w:sz="4" w:space="0" w:color="auto"/>
              <w:right w:val="single" w:sz="4" w:space="0" w:color="auto"/>
            </w:tcBorders>
            <w:shd w:val="clear" w:color="auto" w:fill="EEECE1" w:themeFill="background2"/>
            <w:vAlign w:val="center"/>
          </w:tcPr>
          <w:p w:rsidR="00B90260" w:rsidRPr="00297554" w:rsidRDefault="00B90260" w:rsidP="00B90260">
            <w:pPr>
              <w:pStyle w:val="ConsPlusNormal"/>
              <w:spacing w:line="23" w:lineRule="atLeast"/>
              <w:jc w:val="center"/>
              <w:rPr>
                <w:rFonts w:ascii="Times New Roman" w:hAnsi="Times New Roman" w:cs="Times New Roman"/>
                <w:b/>
                <w:sz w:val="22"/>
                <w:szCs w:val="22"/>
              </w:rPr>
            </w:pPr>
            <w:r>
              <w:rPr>
                <w:rFonts w:ascii="Times New Roman" w:hAnsi="Times New Roman" w:cs="Times New Roman"/>
                <w:b/>
                <w:sz w:val="22"/>
                <w:szCs w:val="22"/>
              </w:rPr>
              <w:t>263</w:t>
            </w:r>
          </w:p>
        </w:tc>
        <w:tc>
          <w:tcPr>
            <w:tcW w:w="1638" w:type="dxa"/>
            <w:tcBorders>
              <w:top w:val="nil"/>
              <w:left w:val="nil"/>
              <w:bottom w:val="single" w:sz="4" w:space="0" w:color="auto"/>
              <w:right w:val="single" w:sz="4" w:space="0" w:color="auto"/>
            </w:tcBorders>
            <w:shd w:val="clear" w:color="auto" w:fill="EEECE1" w:themeFill="background2"/>
            <w:vAlign w:val="center"/>
          </w:tcPr>
          <w:p w:rsidR="00B90260" w:rsidRPr="00297554" w:rsidRDefault="00B90260" w:rsidP="00B90260">
            <w:pPr>
              <w:pStyle w:val="ConsPlusNormal"/>
              <w:spacing w:line="23" w:lineRule="atLeast"/>
              <w:jc w:val="center"/>
              <w:rPr>
                <w:rFonts w:ascii="Times New Roman" w:hAnsi="Times New Roman" w:cs="Times New Roman"/>
                <w:b/>
                <w:sz w:val="22"/>
                <w:szCs w:val="22"/>
              </w:rPr>
            </w:pPr>
            <w:r>
              <w:rPr>
                <w:rFonts w:ascii="Times New Roman" w:hAnsi="Times New Roman" w:cs="Times New Roman"/>
                <w:b/>
                <w:sz w:val="22"/>
                <w:szCs w:val="22"/>
              </w:rPr>
              <w:t>149</w:t>
            </w:r>
          </w:p>
        </w:tc>
        <w:tc>
          <w:tcPr>
            <w:tcW w:w="2473" w:type="dxa"/>
            <w:tcBorders>
              <w:top w:val="nil"/>
              <w:left w:val="nil"/>
              <w:bottom w:val="single" w:sz="4" w:space="0" w:color="auto"/>
              <w:right w:val="single" w:sz="4" w:space="0" w:color="auto"/>
            </w:tcBorders>
            <w:shd w:val="clear" w:color="auto" w:fill="EEECE1" w:themeFill="background2"/>
            <w:vAlign w:val="center"/>
          </w:tcPr>
          <w:p w:rsidR="00B90260" w:rsidRPr="004F1805" w:rsidRDefault="00B90260" w:rsidP="00B90260">
            <w:pPr>
              <w:pStyle w:val="ConsPlusNormal"/>
              <w:spacing w:line="23" w:lineRule="atLeast"/>
              <w:rPr>
                <w:rFonts w:ascii="Times New Roman" w:hAnsi="Times New Roman" w:cs="Times New Roman"/>
                <w:b/>
              </w:rPr>
            </w:pPr>
          </w:p>
        </w:tc>
      </w:tr>
    </w:tbl>
    <w:p w:rsidR="00493BEC" w:rsidRDefault="00493BEC" w:rsidP="00493BEC">
      <w:pPr>
        <w:ind w:firstLine="567"/>
        <w:jc w:val="both"/>
      </w:pPr>
    </w:p>
    <w:p w:rsidR="00493BEC" w:rsidRPr="007557BC" w:rsidRDefault="00493BEC" w:rsidP="00493BEC">
      <w:pPr>
        <w:jc w:val="both"/>
      </w:pPr>
      <w:r>
        <w:t xml:space="preserve">          </w:t>
      </w:r>
      <w:r w:rsidRPr="001A60BB">
        <w:t xml:space="preserve">При анализе конкуренции при осуществлении закупок за отчетный период </w:t>
      </w:r>
      <w:r>
        <w:t xml:space="preserve">были определены </w:t>
      </w:r>
      <w:r w:rsidRPr="007557BC">
        <w:t>основные показатели анализа конкуренции</w:t>
      </w:r>
      <w:r>
        <w:t>:</w:t>
      </w:r>
    </w:p>
    <w:p w:rsidR="00493BEC" w:rsidRDefault="00493BEC" w:rsidP="00493BEC">
      <w:pPr>
        <w:spacing w:line="23" w:lineRule="atLeast"/>
        <w:ind w:firstLine="567"/>
        <w:jc w:val="both"/>
      </w:pPr>
    </w:p>
    <w:p w:rsidR="00493BEC" w:rsidRPr="007557BC" w:rsidRDefault="00493BEC" w:rsidP="00493BEC">
      <w:pPr>
        <w:spacing w:line="23" w:lineRule="atLeast"/>
        <w:ind w:firstLine="567"/>
        <w:jc w:val="both"/>
      </w:pPr>
      <w:r w:rsidRPr="00E32D00">
        <w:rPr>
          <w:b/>
        </w:rPr>
        <w:lastRenderedPageBreak/>
        <w:t>1</w:t>
      </w:r>
      <w:r w:rsidRPr="007557BC">
        <w:t xml:space="preserve">. </w:t>
      </w:r>
      <w:r w:rsidRPr="005142A6">
        <w:rPr>
          <w:b/>
          <w:u w:val="single"/>
        </w:rPr>
        <w:t>Среднее количество поданных заявок на одну закупку</w:t>
      </w:r>
      <w:r w:rsidRPr="007557BC">
        <w:t xml:space="preserve">, </w:t>
      </w:r>
      <w:proofErr w:type="gramStart"/>
      <w:r w:rsidRPr="007557BC">
        <w:t>рассчитываемый</w:t>
      </w:r>
      <w:proofErr w:type="gramEnd"/>
      <w:r w:rsidRPr="007557BC">
        <w:t xml:space="preserve"> по следующей формуле:</w:t>
      </w:r>
    </w:p>
    <w:p w:rsidR="00493BEC" w:rsidRPr="007557BC" w:rsidRDefault="00493BEC" w:rsidP="00493BEC">
      <w:pPr>
        <w:spacing w:line="23" w:lineRule="atLeast"/>
        <w:ind w:left="720" w:firstLine="567"/>
        <w:jc w:val="both"/>
      </w:pPr>
      <w:r>
        <w:t xml:space="preserve">                    </w:t>
      </w:r>
      <w:r w:rsidRPr="007557BC">
        <w:t>(</w:t>
      </w:r>
      <w:proofErr w:type="gramStart"/>
      <w:r w:rsidRPr="007557BC">
        <w:t>КЗ</w:t>
      </w:r>
      <w:proofErr w:type="gramEnd"/>
      <w:r w:rsidRPr="007557BC">
        <w:t xml:space="preserve"> / КП = СКЗ), где:</w:t>
      </w:r>
    </w:p>
    <w:p w:rsidR="00493BEC" w:rsidRPr="007557BC" w:rsidRDefault="00493BEC" w:rsidP="00493BEC">
      <w:pPr>
        <w:spacing w:line="23" w:lineRule="atLeast"/>
        <w:ind w:firstLine="567"/>
        <w:jc w:val="both"/>
      </w:pPr>
      <w:proofErr w:type="gramStart"/>
      <w:r w:rsidRPr="007557BC">
        <w:t>КЗ</w:t>
      </w:r>
      <w:proofErr w:type="gramEnd"/>
      <w:r w:rsidRPr="007557BC">
        <w:t xml:space="preserve"> – общее количество заявок, поданных участниками (учитываются все процедуры),</w:t>
      </w:r>
    </w:p>
    <w:p w:rsidR="00493BEC" w:rsidRPr="007557BC" w:rsidRDefault="00493BEC" w:rsidP="00493BEC">
      <w:pPr>
        <w:spacing w:line="23" w:lineRule="atLeast"/>
        <w:ind w:firstLine="567"/>
        <w:jc w:val="both"/>
      </w:pPr>
      <w:r w:rsidRPr="007557BC">
        <w:t>КП – общее количество процедур закупок,</w:t>
      </w:r>
    </w:p>
    <w:p w:rsidR="00493BEC" w:rsidRPr="007557BC" w:rsidRDefault="00493BEC" w:rsidP="00493BEC">
      <w:pPr>
        <w:spacing w:line="23" w:lineRule="atLeast"/>
        <w:ind w:firstLine="567"/>
        <w:jc w:val="both"/>
      </w:pPr>
      <w:r w:rsidRPr="007557BC">
        <w:t>СКЗ – среднее количество поданных заявок на одну закупку.</w:t>
      </w:r>
    </w:p>
    <w:p w:rsidR="00493BEC" w:rsidRDefault="00493BEC" w:rsidP="00493BEC">
      <w:pPr>
        <w:spacing w:line="23" w:lineRule="atLeast"/>
        <w:ind w:firstLine="567"/>
        <w:jc w:val="both"/>
      </w:pPr>
    </w:p>
    <w:p w:rsidR="00493BEC" w:rsidRPr="007557BC" w:rsidRDefault="00493BEC" w:rsidP="00493BEC">
      <w:pPr>
        <w:spacing w:line="23" w:lineRule="atLeast"/>
        <w:ind w:firstLine="567"/>
        <w:jc w:val="both"/>
      </w:pPr>
      <w:r w:rsidRPr="007557BC">
        <w:t xml:space="preserve">Показатель среднего количества поданных заявок на одну закупку составляет </w:t>
      </w:r>
      <w:r w:rsidR="0051148A">
        <w:rPr>
          <w:b/>
        </w:rPr>
        <w:t>1,8</w:t>
      </w:r>
      <w:r w:rsidRPr="007557BC">
        <w:t xml:space="preserve"> согласно нижеприведенному расчету:</w:t>
      </w:r>
    </w:p>
    <w:p w:rsidR="00122A1E" w:rsidRDefault="00493BEC" w:rsidP="00122A1E">
      <w:pPr>
        <w:spacing w:line="23" w:lineRule="atLeast"/>
        <w:ind w:firstLine="567"/>
        <w:jc w:val="both"/>
      </w:pPr>
      <w:r>
        <w:t xml:space="preserve">                                          </w:t>
      </w:r>
      <w:r w:rsidR="0051148A">
        <w:t>274</w:t>
      </w:r>
      <w:r w:rsidRPr="007557BC">
        <w:t xml:space="preserve"> / </w:t>
      </w:r>
      <w:r w:rsidR="0051148A">
        <w:t>149</w:t>
      </w:r>
      <w:r>
        <w:t xml:space="preserve"> = </w:t>
      </w:r>
      <w:r w:rsidR="0051148A">
        <w:t>1,8</w:t>
      </w:r>
    </w:p>
    <w:p w:rsidR="00122A1E" w:rsidRDefault="00122A1E" w:rsidP="00122A1E">
      <w:pPr>
        <w:spacing w:line="120" w:lineRule="auto"/>
        <w:ind w:firstLine="567"/>
        <w:jc w:val="both"/>
      </w:pPr>
    </w:p>
    <w:p w:rsidR="00122A1E" w:rsidRPr="00122A1E" w:rsidRDefault="00122A1E" w:rsidP="00122A1E">
      <w:pPr>
        <w:spacing w:line="23" w:lineRule="atLeast"/>
        <w:ind w:firstLine="567"/>
        <w:jc w:val="both"/>
        <w:rPr>
          <w:rFonts w:eastAsia="Calibri"/>
        </w:rPr>
      </w:pPr>
      <w:r w:rsidRPr="00122A1E">
        <w:rPr>
          <w:rFonts w:eastAsia="Calibri"/>
        </w:rPr>
        <w:t>Наблюдается снижение уровня конкуренции относительно аналогичного периода 20</w:t>
      </w:r>
      <w:r w:rsidR="0051148A">
        <w:rPr>
          <w:rFonts w:eastAsia="Calibri"/>
        </w:rPr>
        <w:t>21</w:t>
      </w:r>
      <w:r w:rsidRPr="00122A1E">
        <w:rPr>
          <w:rFonts w:eastAsia="Calibri"/>
        </w:rPr>
        <w:t xml:space="preserve"> года, когда среднее количество участников закупок  заказчиков составляло </w:t>
      </w:r>
      <w:r w:rsidR="0051148A">
        <w:rPr>
          <w:rFonts w:eastAsia="Calibri"/>
          <w:b/>
        </w:rPr>
        <w:t>2,5</w:t>
      </w:r>
      <w:r w:rsidRPr="00122A1E">
        <w:rPr>
          <w:rFonts w:eastAsia="Calibri"/>
        </w:rPr>
        <w:t xml:space="preserve"> участника. </w:t>
      </w:r>
    </w:p>
    <w:p w:rsidR="00122A1E" w:rsidRPr="00122A1E" w:rsidRDefault="00A60088" w:rsidP="00122A1E">
      <w:pPr>
        <w:ind w:firstLine="567"/>
        <w:jc w:val="both"/>
        <w:rPr>
          <w:i/>
        </w:rPr>
      </w:pPr>
      <w:r>
        <w:rPr>
          <w:rFonts w:eastAsia="Calibri"/>
          <w:i/>
        </w:rPr>
        <w:t>С</w:t>
      </w:r>
      <w:r w:rsidR="00122A1E" w:rsidRPr="00122A1E">
        <w:rPr>
          <w:rFonts w:eastAsia="Calibri"/>
          <w:i/>
        </w:rPr>
        <w:t xml:space="preserve">нижение конкуренции по сравнению с аналогичным периодом </w:t>
      </w:r>
      <w:r>
        <w:rPr>
          <w:rFonts w:eastAsia="Calibri"/>
          <w:i/>
        </w:rPr>
        <w:t xml:space="preserve">2021 </w:t>
      </w:r>
      <w:r w:rsidR="00122A1E" w:rsidRPr="00122A1E">
        <w:rPr>
          <w:rFonts w:eastAsia="Calibri"/>
          <w:i/>
        </w:rPr>
        <w:t xml:space="preserve">года обусловлено </w:t>
      </w:r>
      <w:r>
        <w:rPr>
          <w:rFonts w:eastAsia="Calibri"/>
          <w:i/>
        </w:rPr>
        <w:t>большим приростом закупок, признанных несостоявшимися по причине отсутствия участнико</w:t>
      </w:r>
      <w:r w:rsidR="00253BDB">
        <w:rPr>
          <w:rFonts w:eastAsia="Calibri"/>
          <w:i/>
        </w:rPr>
        <w:t>в.</w:t>
      </w:r>
    </w:p>
    <w:p w:rsidR="00FA3DD1" w:rsidRPr="007557BC" w:rsidRDefault="00FA3DD1" w:rsidP="00FA3DD1">
      <w:pPr>
        <w:spacing w:line="120" w:lineRule="auto"/>
        <w:ind w:firstLine="567"/>
        <w:jc w:val="both"/>
      </w:pPr>
    </w:p>
    <w:p w:rsidR="00493BEC" w:rsidRPr="007557BC" w:rsidRDefault="00493BEC" w:rsidP="00493BEC">
      <w:pPr>
        <w:spacing w:line="23" w:lineRule="atLeast"/>
        <w:ind w:firstLine="567"/>
        <w:jc w:val="both"/>
      </w:pPr>
      <w:r w:rsidRPr="00E32D00">
        <w:rPr>
          <w:b/>
        </w:rPr>
        <w:t>2</w:t>
      </w:r>
      <w:r w:rsidRPr="007557BC">
        <w:t xml:space="preserve">. </w:t>
      </w:r>
      <w:r w:rsidRPr="00F701E7">
        <w:rPr>
          <w:b/>
          <w:u w:val="single"/>
        </w:rPr>
        <w:t>Среднее количество допущенных заявок на одну закупку</w:t>
      </w:r>
      <w:r w:rsidRPr="007557BC">
        <w:t>, рассчитывается по следующей формуле:</w:t>
      </w:r>
    </w:p>
    <w:p w:rsidR="00493BEC" w:rsidRPr="007557BC" w:rsidRDefault="00493BEC" w:rsidP="00493BEC">
      <w:pPr>
        <w:spacing w:line="23" w:lineRule="atLeast"/>
        <w:ind w:left="720" w:firstLine="567"/>
        <w:jc w:val="both"/>
      </w:pPr>
      <w:r>
        <w:t xml:space="preserve">                          </w:t>
      </w:r>
      <w:r w:rsidRPr="007557BC">
        <w:t>(КДЗ / КП = СКДЗ), где:</w:t>
      </w:r>
    </w:p>
    <w:p w:rsidR="00493BEC" w:rsidRPr="007557BC" w:rsidRDefault="00493BEC" w:rsidP="00493BEC">
      <w:pPr>
        <w:spacing w:line="23" w:lineRule="atLeast"/>
        <w:ind w:firstLine="567"/>
        <w:jc w:val="both"/>
      </w:pPr>
      <w:r w:rsidRPr="007557BC">
        <w:t>КДЗ – общее количество заявок участников, допущенных комиссией заказчика к процедурам закупок,</w:t>
      </w:r>
    </w:p>
    <w:p w:rsidR="00493BEC" w:rsidRPr="007557BC" w:rsidRDefault="00493BEC" w:rsidP="00493BEC">
      <w:pPr>
        <w:spacing w:line="23" w:lineRule="atLeast"/>
        <w:ind w:firstLine="567"/>
        <w:jc w:val="both"/>
      </w:pPr>
      <w:r w:rsidRPr="007557BC">
        <w:t>КП – общее количество процедур закупок,</w:t>
      </w:r>
    </w:p>
    <w:p w:rsidR="00493BEC" w:rsidRPr="007557BC" w:rsidRDefault="00493BEC" w:rsidP="00493BEC">
      <w:pPr>
        <w:spacing w:line="23" w:lineRule="atLeast"/>
        <w:ind w:firstLine="567"/>
        <w:jc w:val="both"/>
      </w:pPr>
      <w:r w:rsidRPr="007557BC">
        <w:t>СКДЗ – среднее количество допущенных заявок на одну закупку.</w:t>
      </w:r>
    </w:p>
    <w:p w:rsidR="00493BEC" w:rsidRDefault="00493BEC" w:rsidP="00493BEC">
      <w:pPr>
        <w:spacing w:line="23" w:lineRule="atLeast"/>
        <w:ind w:firstLine="567"/>
        <w:jc w:val="both"/>
      </w:pPr>
    </w:p>
    <w:p w:rsidR="00493BEC" w:rsidRPr="007557BC" w:rsidRDefault="00493BEC" w:rsidP="00493BEC">
      <w:pPr>
        <w:spacing w:line="23" w:lineRule="atLeast"/>
        <w:ind w:firstLine="567"/>
        <w:jc w:val="both"/>
      </w:pPr>
      <w:r w:rsidRPr="007557BC">
        <w:t xml:space="preserve">Показатель среднего количества допущенных заявок на одну закупку составляет </w:t>
      </w:r>
      <w:r w:rsidR="00226ED2">
        <w:t xml:space="preserve"> </w:t>
      </w:r>
      <w:r w:rsidR="00253BDB">
        <w:rPr>
          <w:b/>
        </w:rPr>
        <w:t>1,</w:t>
      </w:r>
      <w:r w:rsidR="00460EDB">
        <w:rPr>
          <w:b/>
        </w:rPr>
        <w:t>7</w:t>
      </w:r>
      <w:r>
        <w:rPr>
          <w:b/>
        </w:rPr>
        <w:t xml:space="preserve"> </w:t>
      </w:r>
      <w:r w:rsidRPr="007557BC">
        <w:t>согласно нижеприведенному расчету:</w:t>
      </w:r>
    </w:p>
    <w:p w:rsidR="00493BEC" w:rsidRDefault="00493BEC" w:rsidP="00493BEC">
      <w:pPr>
        <w:spacing w:line="23" w:lineRule="atLeast"/>
        <w:ind w:firstLine="567"/>
        <w:jc w:val="both"/>
      </w:pPr>
      <w:r>
        <w:t xml:space="preserve">                                          </w:t>
      </w:r>
      <w:r w:rsidR="00253BDB">
        <w:t>263</w:t>
      </w:r>
      <w:r>
        <w:t xml:space="preserve"> / </w:t>
      </w:r>
      <w:r w:rsidR="00226ED2">
        <w:t>1</w:t>
      </w:r>
      <w:r w:rsidR="00253BDB">
        <w:t>49</w:t>
      </w:r>
      <w:r>
        <w:t xml:space="preserve"> = </w:t>
      </w:r>
      <w:r w:rsidR="00253BDB">
        <w:t>1,</w:t>
      </w:r>
      <w:r w:rsidR="00460EDB">
        <w:t>7</w:t>
      </w:r>
    </w:p>
    <w:p w:rsidR="00493BEC" w:rsidRDefault="00493BEC" w:rsidP="00493BEC">
      <w:pPr>
        <w:spacing w:line="120" w:lineRule="auto"/>
        <w:ind w:firstLine="567"/>
        <w:jc w:val="both"/>
      </w:pPr>
    </w:p>
    <w:p w:rsidR="00460EDB" w:rsidRDefault="00460EDB" w:rsidP="00B10C72">
      <w:pPr>
        <w:shd w:val="clear" w:color="auto" w:fill="FFFFFF"/>
        <w:spacing w:line="23" w:lineRule="atLeast"/>
        <w:ind w:firstLine="567"/>
        <w:jc w:val="both"/>
      </w:pPr>
      <w:r>
        <w:t>За аналогичный период 2021 года среднее количество допущенных заявок  составляло 2,4 заявки на одну процедуру определения поставщика.</w:t>
      </w:r>
    </w:p>
    <w:p w:rsidR="001E4338" w:rsidRDefault="001E4338" w:rsidP="00B10C72">
      <w:pPr>
        <w:shd w:val="clear" w:color="auto" w:fill="FFFFFF"/>
        <w:spacing w:line="23" w:lineRule="atLeast"/>
        <w:ind w:firstLine="567"/>
        <w:jc w:val="both"/>
      </w:pPr>
      <w:r w:rsidRPr="00FA3DD1">
        <w:t xml:space="preserve">Наиболее конкурентными способами определения поставщика в отчетном периоде </w:t>
      </w:r>
      <w:r w:rsidR="00FA3DD1">
        <w:t>20</w:t>
      </w:r>
      <w:r w:rsidR="00460EDB">
        <w:t>22</w:t>
      </w:r>
      <w:r w:rsidR="00FA3DD1">
        <w:t xml:space="preserve"> года </w:t>
      </w:r>
      <w:r w:rsidRPr="00FA3DD1">
        <w:t>являлись:</w:t>
      </w:r>
      <w:r>
        <w:t xml:space="preserve"> </w:t>
      </w:r>
    </w:p>
    <w:p w:rsidR="001E4338" w:rsidRDefault="00460EDB" w:rsidP="004C3FDB">
      <w:pPr>
        <w:numPr>
          <w:ilvl w:val="0"/>
          <w:numId w:val="8"/>
        </w:numPr>
        <w:spacing w:line="23" w:lineRule="atLeast"/>
        <w:ind w:left="0" w:firstLine="567"/>
        <w:jc w:val="both"/>
      </w:pPr>
      <w:r>
        <w:t>Электронный конкурс</w:t>
      </w:r>
      <w:r w:rsidR="00FA3DD1">
        <w:t xml:space="preserve"> </w:t>
      </w:r>
      <w:r w:rsidR="001E4338">
        <w:t xml:space="preserve">– подано в среднем </w:t>
      </w:r>
      <w:r w:rsidR="00FA3DD1">
        <w:t xml:space="preserve"> </w:t>
      </w:r>
      <w:r>
        <w:t>2</w:t>
      </w:r>
      <w:r w:rsidR="00FA3DD1">
        <w:t xml:space="preserve"> </w:t>
      </w:r>
      <w:r>
        <w:t>заявки.</w:t>
      </w:r>
    </w:p>
    <w:p w:rsidR="00460EDB" w:rsidRPr="0070464A" w:rsidRDefault="00460EDB" w:rsidP="0006551F">
      <w:pPr>
        <w:spacing w:line="23" w:lineRule="atLeast"/>
        <w:jc w:val="both"/>
      </w:pPr>
      <w:r>
        <w:t xml:space="preserve">         </w:t>
      </w:r>
      <w:r w:rsidRPr="0070464A">
        <w:t xml:space="preserve">Считается, что эффективность государственных (муниципальных)  закупок в значительной степени зависит от количества участников конкурентной процедуры. Чем больше поставщиков (подрядчиков, исполнителей)  </w:t>
      </w:r>
      <w:r>
        <w:t xml:space="preserve">принимает участие в торгах, </w:t>
      </w:r>
      <w:r w:rsidRPr="0070464A">
        <w:t xml:space="preserve">тем выше будет конкуренция за контракт, тем больше вероятность, что контракт достанется фирме, которая сможет его выполнить с наименьшими издержками и по лучшей цене. </w:t>
      </w:r>
    </w:p>
    <w:p w:rsidR="00460EDB" w:rsidRDefault="00460EDB" w:rsidP="00883A94">
      <w:pPr>
        <w:spacing w:line="23" w:lineRule="atLeast"/>
        <w:jc w:val="both"/>
      </w:pPr>
      <w:r>
        <w:t xml:space="preserve">        </w:t>
      </w:r>
      <w:proofErr w:type="gramStart"/>
      <w:r>
        <w:t>К</w:t>
      </w:r>
      <w:r w:rsidRPr="0070464A">
        <w:t>онтроль за</w:t>
      </w:r>
      <w:proofErr w:type="gramEnd"/>
      <w:r w:rsidRPr="0070464A">
        <w:t xml:space="preserve"> потенциальными ограничениями конкуренции, особенно в ситуации, когда конкуренция и так не является высокой, с одной стороны, и меры по стимулированию к участию в государственных (муниципальных) закупках, с другой стороны,  могут привести к повышению эффективности закупок.</w:t>
      </w:r>
    </w:p>
    <w:p w:rsidR="00460EDB" w:rsidRPr="00161F86" w:rsidRDefault="00460EDB" w:rsidP="00460EDB">
      <w:pPr>
        <w:ind w:firstLine="567"/>
        <w:jc w:val="both"/>
      </w:pPr>
      <w:r w:rsidRPr="00161F86">
        <w:rPr>
          <w:b/>
          <w:color w:val="000000"/>
        </w:rPr>
        <w:t>Необходимо отметить</w:t>
      </w:r>
      <w:r w:rsidRPr="00161F86">
        <w:rPr>
          <w:color w:val="000000"/>
        </w:rPr>
        <w:t>, что  оценка конкуренции только по одному показателю «Среднее количество поданных заявок на 1 лот» является недостаточной и объективно не может характеризовать состояние конкуренции в государственных закупках.</w:t>
      </w:r>
    </w:p>
    <w:p w:rsidR="00460EDB" w:rsidRPr="00161F86" w:rsidRDefault="00460EDB" w:rsidP="00460EDB">
      <w:pPr>
        <w:pStyle w:val="Pa11"/>
        <w:spacing w:line="240" w:lineRule="auto"/>
        <w:ind w:firstLine="567"/>
        <w:jc w:val="both"/>
        <w:rPr>
          <w:rFonts w:ascii="Times New Roman" w:hAnsi="Times New Roman"/>
          <w:color w:val="000000"/>
        </w:rPr>
      </w:pPr>
      <w:r w:rsidRPr="00161F86">
        <w:rPr>
          <w:rFonts w:ascii="Times New Roman" w:hAnsi="Times New Roman"/>
          <w:color w:val="000000"/>
        </w:rPr>
        <w:t>Отдельные отрасли экономики, которые по данным Росстата являются конкурентными</w:t>
      </w:r>
      <w:proofErr w:type="gramStart"/>
      <w:r>
        <w:rPr>
          <w:rFonts w:ascii="Times New Roman" w:hAnsi="Times New Roman"/>
          <w:color w:val="000000"/>
        </w:rPr>
        <w:t xml:space="preserve"> </w:t>
      </w:r>
      <w:r w:rsidRPr="00161F86">
        <w:rPr>
          <w:rFonts w:ascii="Times New Roman" w:hAnsi="Times New Roman"/>
          <w:color w:val="000000"/>
        </w:rPr>
        <w:t>,</w:t>
      </w:r>
      <w:proofErr w:type="gramEnd"/>
      <w:r w:rsidRPr="00161F86">
        <w:rPr>
          <w:rFonts w:ascii="Times New Roman" w:hAnsi="Times New Roman"/>
          <w:color w:val="000000"/>
        </w:rPr>
        <w:t xml:space="preserve"> не всегда являются таковыми в сфере государственных закупок, имеют признаки высококонцентрированных</w:t>
      </w:r>
      <w:r w:rsidRPr="00161F86">
        <w:rPr>
          <w:rStyle w:val="A10"/>
          <w:rFonts w:ascii="Times New Roman" w:hAnsi="Times New Roman"/>
        </w:rPr>
        <w:t xml:space="preserve"> (</w:t>
      </w:r>
      <w:r w:rsidRPr="00161F86">
        <w:rPr>
          <w:rFonts w:ascii="Times New Roman" w:hAnsi="Times New Roman"/>
          <w:color w:val="000000"/>
        </w:rPr>
        <w:t xml:space="preserve">Например, отрасли «Производство элементов электронной аппаратуры и печатных схем (плат)», «Производство прочих транспортных </w:t>
      </w:r>
      <w:r w:rsidRPr="00161F86">
        <w:rPr>
          <w:rFonts w:ascii="Times New Roman" w:hAnsi="Times New Roman"/>
          <w:color w:val="000000"/>
        </w:rPr>
        <w:lastRenderedPageBreak/>
        <w:t>средств и оборудования», «Производство железнодорожных локомотивов и подвижного состава».)</w:t>
      </w:r>
    </w:p>
    <w:p w:rsidR="00460EDB" w:rsidRPr="00161F86" w:rsidRDefault="00460EDB" w:rsidP="00460EDB">
      <w:pPr>
        <w:pStyle w:val="Pa11"/>
        <w:spacing w:line="240" w:lineRule="auto"/>
        <w:ind w:firstLine="567"/>
        <w:jc w:val="both"/>
        <w:rPr>
          <w:rFonts w:ascii="Times New Roman" w:hAnsi="Times New Roman"/>
          <w:color w:val="000000"/>
        </w:rPr>
      </w:pPr>
      <w:r w:rsidRPr="00161F86">
        <w:rPr>
          <w:rFonts w:ascii="Times New Roman" w:hAnsi="Times New Roman"/>
          <w:color w:val="000000"/>
        </w:rPr>
        <w:t xml:space="preserve">При этом в ряде случаев имеет место обратная ситуация, когда закупки оказываются конкурентными в неконкурентных отраслях экономики (по данным Росстата), в </w:t>
      </w:r>
      <w:proofErr w:type="gramStart"/>
      <w:r w:rsidRPr="00161F86">
        <w:rPr>
          <w:rFonts w:ascii="Times New Roman" w:hAnsi="Times New Roman"/>
          <w:color w:val="000000"/>
        </w:rPr>
        <w:t>связи</w:t>
      </w:r>
      <w:proofErr w:type="gramEnd"/>
      <w:r w:rsidRPr="00161F86">
        <w:rPr>
          <w:rFonts w:ascii="Times New Roman" w:hAnsi="Times New Roman"/>
          <w:color w:val="000000"/>
        </w:rPr>
        <w:t xml:space="preserve"> с чем можно предположить, что конкуренция в этих закупках происходит между торгово-посредническими организациями. </w:t>
      </w:r>
    </w:p>
    <w:p w:rsidR="00460EDB" w:rsidRDefault="00460EDB" w:rsidP="00460EDB">
      <w:pPr>
        <w:pStyle w:val="Pa11"/>
        <w:spacing w:line="240" w:lineRule="auto"/>
        <w:ind w:firstLine="567"/>
        <w:jc w:val="both"/>
        <w:rPr>
          <w:rFonts w:ascii="Times New Roman" w:hAnsi="Times New Roman"/>
          <w:color w:val="000000"/>
        </w:rPr>
      </w:pPr>
      <w:r w:rsidRPr="00161F86">
        <w:rPr>
          <w:rFonts w:ascii="Times New Roman" w:hAnsi="Times New Roman"/>
          <w:color w:val="000000"/>
        </w:rPr>
        <w:t>С учетом изложенного, в целях обеспечения добросовестной конкуренции между участниками закупок требуется анализ конкурентной среды на постоянной основе, результаты которого можно эффективно использовать в целях принятия управленческих решений по регулированию закупочной деятельности на неконкурентных рынках.</w:t>
      </w:r>
      <w:r>
        <w:rPr>
          <w:rFonts w:ascii="Times New Roman" w:hAnsi="Times New Roman"/>
          <w:color w:val="000000"/>
        </w:rPr>
        <w:t xml:space="preserve"> </w:t>
      </w:r>
    </w:p>
    <w:p w:rsidR="00460EDB" w:rsidRPr="00161F86" w:rsidRDefault="00460EDB" w:rsidP="00460EDB">
      <w:pPr>
        <w:pStyle w:val="Pa11"/>
        <w:spacing w:line="240" w:lineRule="auto"/>
        <w:ind w:firstLine="567"/>
        <w:jc w:val="both"/>
        <w:rPr>
          <w:rFonts w:ascii="Times New Roman" w:hAnsi="Times New Roman"/>
          <w:color w:val="000000"/>
        </w:rPr>
      </w:pPr>
      <w:r>
        <w:rPr>
          <w:rFonts w:ascii="Times New Roman" w:hAnsi="Times New Roman"/>
          <w:color w:val="000000"/>
        </w:rPr>
        <w:t>Ц</w:t>
      </w:r>
      <w:r w:rsidRPr="00161F86">
        <w:rPr>
          <w:rFonts w:ascii="Times New Roman" w:hAnsi="Times New Roman"/>
          <w:color w:val="000000"/>
        </w:rPr>
        <w:t>елесообразн</w:t>
      </w:r>
      <w:r>
        <w:rPr>
          <w:rFonts w:ascii="Times New Roman" w:hAnsi="Times New Roman"/>
          <w:color w:val="000000"/>
        </w:rPr>
        <w:t>о</w:t>
      </w:r>
      <w:r w:rsidRPr="00161F86">
        <w:rPr>
          <w:rFonts w:ascii="Times New Roman" w:hAnsi="Times New Roman"/>
          <w:color w:val="000000"/>
        </w:rPr>
        <w:t xml:space="preserve"> разработать комплексную систему показателей, так как единственный применяемый в настоящее время показатель объективно не может характеризовать состояние конкуренции в государственных закупках. В этих целях могут применяться дополнительные показатели рыночной концентрации в отраслевом и ценовом разрезах (индекс </w:t>
      </w:r>
      <w:proofErr w:type="spellStart"/>
      <w:r w:rsidRPr="00161F86">
        <w:rPr>
          <w:rFonts w:ascii="Times New Roman" w:hAnsi="Times New Roman"/>
          <w:color w:val="000000"/>
        </w:rPr>
        <w:t>Херфиндаля-Хиршмана</w:t>
      </w:r>
      <w:proofErr w:type="spellEnd"/>
      <w:r w:rsidRPr="00161F86">
        <w:rPr>
          <w:rFonts w:ascii="Times New Roman" w:hAnsi="Times New Roman"/>
          <w:color w:val="000000"/>
        </w:rPr>
        <w:t xml:space="preserve"> и коэффициент рыночной концентрации</w:t>
      </w:r>
      <w:proofErr w:type="gramStart"/>
      <w:r>
        <w:rPr>
          <w:rFonts w:ascii="Times New Roman" w:hAnsi="Times New Roman"/>
          <w:color w:val="000000"/>
        </w:rPr>
        <w:t xml:space="preserve"> </w:t>
      </w:r>
      <w:r w:rsidRPr="00161F86">
        <w:rPr>
          <w:rFonts w:ascii="Times New Roman" w:hAnsi="Times New Roman"/>
          <w:color w:val="000000"/>
        </w:rPr>
        <w:t>)</w:t>
      </w:r>
      <w:proofErr w:type="gramEnd"/>
      <w:r w:rsidRPr="00161F86">
        <w:rPr>
          <w:rFonts w:ascii="Times New Roman" w:hAnsi="Times New Roman"/>
          <w:color w:val="000000"/>
        </w:rPr>
        <w:t xml:space="preserve"> на рынке закупок. Аналогичные показатели применяет ФАС России при анализе состояния конкуренции на товарных рынках</w:t>
      </w:r>
      <w:r>
        <w:rPr>
          <w:rFonts w:ascii="Times New Roman" w:hAnsi="Times New Roman"/>
          <w:color w:val="000000"/>
        </w:rPr>
        <w:t>.</w:t>
      </w:r>
    </w:p>
    <w:p w:rsidR="00460EDB" w:rsidRPr="00161F86" w:rsidRDefault="00460EDB" w:rsidP="00460EDB">
      <w:pPr>
        <w:ind w:firstLine="567"/>
        <w:jc w:val="both"/>
        <w:rPr>
          <w:color w:val="000000"/>
        </w:rPr>
      </w:pPr>
      <w:r w:rsidRPr="00161F86">
        <w:rPr>
          <w:color w:val="000000"/>
        </w:rPr>
        <w:t xml:space="preserve">В ходе мероприятия </w:t>
      </w:r>
      <w:r>
        <w:rPr>
          <w:color w:val="000000"/>
        </w:rPr>
        <w:t xml:space="preserve">было </w:t>
      </w:r>
      <w:r w:rsidRPr="00161F86">
        <w:rPr>
          <w:color w:val="000000"/>
        </w:rPr>
        <w:t>установлено, что с увеличением размера начальной (максимальной) цены контракта снижается экономия.</w:t>
      </w:r>
    </w:p>
    <w:p w:rsidR="00460EDB" w:rsidRPr="00161F86" w:rsidRDefault="00460EDB" w:rsidP="00460EDB">
      <w:pPr>
        <w:ind w:firstLine="567"/>
        <w:jc w:val="both"/>
      </w:pPr>
      <w:r w:rsidRPr="00161F86">
        <w:rPr>
          <w:color w:val="000000"/>
        </w:rPr>
        <w:t>Средние показатели конкуренции и экономии, которые принято использовать в целях оценки эффективности закупок, не дают объективного представления об эффективности закупок.</w:t>
      </w:r>
    </w:p>
    <w:p w:rsidR="00FA3DD1" w:rsidRDefault="00FA3DD1" w:rsidP="00FA3DD1">
      <w:pPr>
        <w:spacing w:line="120" w:lineRule="auto"/>
        <w:ind w:firstLine="567"/>
        <w:jc w:val="both"/>
      </w:pPr>
    </w:p>
    <w:p w:rsidR="00493BEC" w:rsidRDefault="00493BEC" w:rsidP="00493BEC">
      <w:pPr>
        <w:spacing w:line="23" w:lineRule="atLeast"/>
        <w:ind w:firstLine="567"/>
        <w:jc w:val="both"/>
      </w:pPr>
      <w:r w:rsidRPr="003701ED">
        <w:rPr>
          <w:b/>
        </w:rPr>
        <w:t>3</w:t>
      </w:r>
      <w:r>
        <w:t xml:space="preserve">. </w:t>
      </w:r>
      <w:r w:rsidRPr="007557BC">
        <w:t>В ходе оценки эффективности расходов на закупки так же был определен</w:t>
      </w:r>
      <w:r>
        <w:t xml:space="preserve"> один из</w:t>
      </w:r>
      <w:r w:rsidRPr="007557BC">
        <w:t xml:space="preserve"> основны</w:t>
      </w:r>
      <w:r>
        <w:t>х</w:t>
      </w:r>
      <w:r w:rsidRPr="007557BC">
        <w:t xml:space="preserve"> показател</w:t>
      </w:r>
      <w:r>
        <w:t>ей</w:t>
      </w:r>
      <w:r w:rsidRPr="007557BC">
        <w:t xml:space="preserve"> анализа конкуренции, которым являются:</w:t>
      </w:r>
    </w:p>
    <w:p w:rsidR="003701ED" w:rsidRPr="007557BC" w:rsidRDefault="003701ED" w:rsidP="00713AB5">
      <w:pPr>
        <w:spacing w:line="120" w:lineRule="auto"/>
        <w:ind w:firstLine="567"/>
        <w:jc w:val="both"/>
      </w:pPr>
    </w:p>
    <w:p w:rsidR="00493BEC" w:rsidRDefault="00493BEC" w:rsidP="00984144">
      <w:pPr>
        <w:spacing w:line="23" w:lineRule="atLeast"/>
        <w:jc w:val="both"/>
      </w:pPr>
      <w:r w:rsidRPr="00C10D50">
        <w:rPr>
          <w:b/>
        </w:rPr>
        <w:t xml:space="preserve">        </w:t>
      </w:r>
      <w:r w:rsidRPr="00794F77">
        <w:rPr>
          <w:b/>
          <w:u w:val="single"/>
        </w:rPr>
        <w:t xml:space="preserve">Доля </w:t>
      </w:r>
      <w:r w:rsidRPr="00013300">
        <w:rPr>
          <w:b/>
          <w:u w:val="single"/>
        </w:rPr>
        <w:t>закупок у единственного поставщика</w:t>
      </w:r>
      <w:r w:rsidRPr="007557BC">
        <w:t xml:space="preserve"> (подрядчика, исполнителя), который </w:t>
      </w:r>
    </w:p>
    <w:p w:rsidR="004B2A87" w:rsidRPr="007557BC" w:rsidRDefault="004B2A87" w:rsidP="00984144">
      <w:pPr>
        <w:spacing w:line="23" w:lineRule="atLeast"/>
        <w:jc w:val="both"/>
      </w:pPr>
      <w:proofErr w:type="gramStart"/>
      <w:r w:rsidRPr="007557BC">
        <w:t>который</w:t>
      </w:r>
      <w:proofErr w:type="gramEnd"/>
      <w:r w:rsidRPr="007557BC">
        <w:t xml:space="preserve"> рассчитывается по следующей формуле:</w:t>
      </w:r>
    </w:p>
    <w:p w:rsidR="004B2A87" w:rsidRPr="00D76B19" w:rsidRDefault="004B2A87" w:rsidP="00D76B19">
      <w:pPr>
        <w:spacing w:line="23" w:lineRule="atLeast"/>
        <w:ind w:firstLine="426"/>
        <w:jc w:val="center"/>
        <w:rPr>
          <w:b/>
        </w:rPr>
      </w:pPr>
      <w:proofErr w:type="gramStart"/>
      <w:r w:rsidRPr="00D76B19">
        <w:rPr>
          <w:b/>
        </w:rPr>
        <w:t>ЕП</w:t>
      </w:r>
      <w:proofErr w:type="gramEnd"/>
      <w:r w:rsidRPr="00D76B19">
        <w:rPr>
          <w:b/>
        </w:rPr>
        <w:t xml:space="preserve"> / ООЗ = ДЕП, </w:t>
      </w:r>
      <w:r w:rsidRPr="00D76B19">
        <w:t>где:</w:t>
      </w:r>
    </w:p>
    <w:p w:rsidR="004B2A87" w:rsidRPr="007D6490" w:rsidRDefault="004B2A87" w:rsidP="00D76B19">
      <w:pPr>
        <w:spacing w:line="120" w:lineRule="auto"/>
        <w:ind w:firstLine="426"/>
        <w:jc w:val="center"/>
        <w:rPr>
          <w:b/>
        </w:rPr>
      </w:pPr>
    </w:p>
    <w:p w:rsidR="004B2A87" w:rsidRPr="007557BC" w:rsidRDefault="004B2A87" w:rsidP="00D76B19">
      <w:pPr>
        <w:spacing w:line="23" w:lineRule="atLeast"/>
        <w:ind w:firstLine="426"/>
        <w:jc w:val="both"/>
      </w:pPr>
      <w:proofErr w:type="gramStart"/>
      <w:r w:rsidRPr="007557BC">
        <w:t>ЕП</w:t>
      </w:r>
      <w:proofErr w:type="gramEnd"/>
      <w:r w:rsidRPr="007557BC">
        <w:t xml:space="preserve"> – закупки, осуществленные в соответствии со статьей </w:t>
      </w:r>
      <w:r w:rsidR="00713AB5">
        <w:t xml:space="preserve"> </w:t>
      </w:r>
      <w:r w:rsidRPr="007557BC">
        <w:t>93 Федерального закона № 44-ФЗ,</w:t>
      </w:r>
    </w:p>
    <w:p w:rsidR="004B2A87" w:rsidRPr="007557BC" w:rsidRDefault="004B2A87" w:rsidP="00D76B19">
      <w:pPr>
        <w:spacing w:line="23" w:lineRule="atLeast"/>
        <w:ind w:firstLine="426"/>
        <w:jc w:val="both"/>
      </w:pPr>
      <w:r w:rsidRPr="007557BC">
        <w:t>ООЗ – общий объем закупок (в стоимостном выражении),</w:t>
      </w:r>
    </w:p>
    <w:p w:rsidR="004B2A87" w:rsidRPr="007557BC" w:rsidRDefault="004B2A87" w:rsidP="00D76B19">
      <w:pPr>
        <w:spacing w:line="23" w:lineRule="atLeast"/>
        <w:ind w:firstLine="426"/>
        <w:jc w:val="both"/>
      </w:pPr>
      <w:proofErr w:type="gramStart"/>
      <w:r w:rsidRPr="007557BC">
        <w:t>ДЕП</w:t>
      </w:r>
      <w:proofErr w:type="gramEnd"/>
      <w:r w:rsidRPr="007557BC">
        <w:t xml:space="preserve"> – доля закупок у единственного поставщика (подрядчика, исполнителя).</w:t>
      </w:r>
    </w:p>
    <w:p w:rsidR="004B2A87" w:rsidRDefault="004B2A87" w:rsidP="00D76B19">
      <w:pPr>
        <w:spacing w:line="23" w:lineRule="atLeast"/>
        <w:ind w:firstLine="426"/>
        <w:jc w:val="both"/>
      </w:pPr>
    </w:p>
    <w:p w:rsidR="004B2A87" w:rsidRDefault="004B2A87" w:rsidP="00D76B19">
      <w:pPr>
        <w:spacing w:line="23" w:lineRule="atLeast"/>
        <w:ind w:firstLine="426"/>
        <w:jc w:val="both"/>
      </w:pPr>
      <w:r w:rsidRPr="007557BC">
        <w:t xml:space="preserve">Показатель доли закупок у единственного поставщика (подрядчика, исполнителя) составляет </w:t>
      </w:r>
      <w:r w:rsidR="00E43654">
        <w:t xml:space="preserve"> </w:t>
      </w:r>
      <w:r w:rsidR="00713AB5">
        <w:rPr>
          <w:b/>
        </w:rPr>
        <w:t>37,3</w:t>
      </w:r>
      <w:r w:rsidR="002B53BB" w:rsidRPr="00B832DD">
        <w:rPr>
          <w:b/>
        </w:rPr>
        <w:t>%</w:t>
      </w:r>
      <w:r w:rsidRPr="007557BC">
        <w:t xml:space="preserve"> согласно нижеприведенному расчету:</w:t>
      </w:r>
    </w:p>
    <w:p w:rsidR="004B2A87" w:rsidRPr="007557BC" w:rsidRDefault="004B2A87" w:rsidP="00D76B19">
      <w:pPr>
        <w:spacing w:line="23" w:lineRule="atLeast"/>
        <w:ind w:firstLine="426"/>
        <w:jc w:val="both"/>
      </w:pPr>
    </w:p>
    <w:p w:rsidR="0090629E" w:rsidRPr="00C6229E" w:rsidRDefault="001E7C8F" w:rsidP="00D42039">
      <w:pPr>
        <w:shd w:val="clear" w:color="auto" w:fill="FFFFFF"/>
        <w:ind w:firstLine="567"/>
        <w:jc w:val="both"/>
        <w:rPr>
          <w:b/>
        </w:rPr>
      </w:pPr>
      <w:r>
        <w:t>356 463,4</w:t>
      </w:r>
      <w:r w:rsidR="00B45664">
        <w:t xml:space="preserve"> тыс. руб. </w:t>
      </w:r>
      <w:r w:rsidR="000659C3">
        <w:t xml:space="preserve"> </w:t>
      </w:r>
      <w:r w:rsidR="004B2A87" w:rsidRPr="007557BC">
        <w:t xml:space="preserve">/ </w:t>
      </w:r>
      <w:r w:rsidR="00713AB5">
        <w:t>947 577,3</w:t>
      </w:r>
      <w:r w:rsidR="00B45664">
        <w:t xml:space="preserve"> тыс. </w:t>
      </w:r>
      <w:r w:rsidR="000659C3">
        <w:t>руб.</w:t>
      </w:r>
      <w:r w:rsidR="004B2A87" w:rsidRPr="007557BC">
        <w:t xml:space="preserve"> = </w:t>
      </w:r>
      <w:r w:rsidR="00B45664">
        <w:t xml:space="preserve"> </w:t>
      </w:r>
      <w:r w:rsidR="00713AB5">
        <w:rPr>
          <w:b/>
        </w:rPr>
        <w:t>37,3</w:t>
      </w:r>
      <w:r w:rsidR="001B3C3A" w:rsidRPr="00C6229E">
        <w:rPr>
          <w:b/>
        </w:rPr>
        <w:t>%</w:t>
      </w:r>
    </w:p>
    <w:p w:rsidR="0090629E" w:rsidRDefault="0090629E" w:rsidP="005007F3">
      <w:pPr>
        <w:spacing w:line="120" w:lineRule="auto"/>
        <w:ind w:firstLine="567"/>
        <w:jc w:val="both"/>
      </w:pPr>
    </w:p>
    <w:p w:rsidR="0090629E" w:rsidRPr="000659C3" w:rsidRDefault="00CC2D55" w:rsidP="0090629E">
      <w:pPr>
        <w:jc w:val="both"/>
        <w:rPr>
          <w:i/>
        </w:rPr>
      </w:pPr>
      <w:r>
        <w:t xml:space="preserve">      </w:t>
      </w:r>
      <w:r w:rsidR="0090629E" w:rsidRPr="005F4137">
        <w:t xml:space="preserve">Чем выше значение </w:t>
      </w:r>
      <w:r w:rsidR="0090629E">
        <w:t xml:space="preserve">данного </w:t>
      </w:r>
      <w:r w:rsidR="0090629E" w:rsidRPr="005F4137">
        <w:t xml:space="preserve">показателя, тем </w:t>
      </w:r>
      <w:r w:rsidR="0090629E" w:rsidRPr="000659C3">
        <w:rPr>
          <w:i/>
        </w:rPr>
        <w:t>ниже  уровень конкуренции.</w:t>
      </w:r>
    </w:p>
    <w:p w:rsidR="005007F3" w:rsidRDefault="005007F3" w:rsidP="005007F3">
      <w:pPr>
        <w:spacing w:line="120" w:lineRule="auto"/>
        <w:ind w:firstLine="567"/>
        <w:jc w:val="both"/>
        <w:rPr>
          <w:b/>
          <w:i/>
        </w:rPr>
      </w:pPr>
    </w:p>
    <w:p w:rsidR="0090629E" w:rsidRPr="0055659D" w:rsidRDefault="0090629E" w:rsidP="00CA27F0">
      <w:pPr>
        <w:jc w:val="both"/>
      </w:pPr>
      <w:r w:rsidRPr="0039247F">
        <w:rPr>
          <w:i/>
        </w:rPr>
        <w:t xml:space="preserve">      </w:t>
      </w:r>
      <w:r w:rsidR="002B53BB" w:rsidRPr="0039247F">
        <w:rPr>
          <w:b/>
        </w:rPr>
        <w:t>Экономия бюджетных средств</w:t>
      </w:r>
      <w:r w:rsidR="002B53BB" w:rsidRPr="0039247F">
        <w:rPr>
          <w:i/>
        </w:rPr>
        <w:t>,</w:t>
      </w:r>
      <w:r w:rsidR="002B53BB" w:rsidRPr="0039247F">
        <w:t xml:space="preserve"> в процессе осуществления закупок (определяемая как</w:t>
      </w:r>
      <w:r w:rsidR="002B53BB">
        <w:t xml:space="preserve"> разность между суммарным значением начальных (максимальных) цен контрактов и общей стоимостью контрактов) по </w:t>
      </w:r>
      <w:r w:rsidR="002B53BB" w:rsidRPr="00B9059B">
        <w:t xml:space="preserve">итогам </w:t>
      </w:r>
      <w:r w:rsidR="002B53BB">
        <w:t>20</w:t>
      </w:r>
      <w:r w:rsidR="00713AB5">
        <w:t>22</w:t>
      </w:r>
      <w:r>
        <w:t xml:space="preserve"> </w:t>
      </w:r>
      <w:r w:rsidR="002B53BB">
        <w:t>года</w:t>
      </w:r>
      <w:r w:rsidR="002B53BB" w:rsidRPr="00B9059B">
        <w:t xml:space="preserve"> составила </w:t>
      </w:r>
      <w:r w:rsidR="002B53BB">
        <w:t xml:space="preserve">в целом по всем поселениям  </w:t>
      </w:r>
      <w:r w:rsidR="00C6229E" w:rsidRPr="00C6229E">
        <w:rPr>
          <w:b/>
        </w:rPr>
        <w:t>26</w:t>
      </w:r>
      <w:r w:rsidR="00713AB5">
        <w:rPr>
          <w:b/>
        </w:rPr>
        <w:t> 249,3</w:t>
      </w:r>
      <w:r w:rsidR="0039247F" w:rsidRPr="00C6229E">
        <w:rPr>
          <w:b/>
        </w:rPr>
        <w:t xml:space="preserve"> </w:t>
      </w:r>
      <w:r w:rsidR="002B53BB" w:rsidRPr="00C6229E">
        <w:rPr>
          <w:b/>
        </w:rPr>
        <w:t>тыс</w:t>
      </w:r>
      <w:r w:rsidR="002B53BB" w:rsidRPr="00001FAA">
        <w:rPr>
          <w:b/>
        </w:rPr>
        <w:t>. руб</w:t>
      </w:r>
      <w:r w:rsidR="002B53BB">
        <w:rPr>
          <w:b/>
        </w:rPr>
        <w:t>.</w:t>
      </w:r>
      <w:r>
        <w:rPr>
          <w:b/>
        </w:rPr>
        <w:t xml:space="preserve"> или </w:t>
      </w:r>
      <w:r w:rsidR="00713AB5">
        <w:rPr>
          <w:b/>
        </w:rPr>
        <w:t>2,8</w:t>
      </w:r>
      <w:r>
        <w:rPr>
          <w:b/>
        </w:rPr>
        <w:t xml:space="preserve">% </w:t>
      </w:r>
      <w:r w:rsidRPr="0090629E">
        <w:t>от общей суммы размещенных закупок, что</w:t>
      </w:r>
      <w:r w:rsidRPr="0055659D">
        <w:t xml:space="preserve">  </w:t>
      </w:r>
      <w:r w:rsidR="0037136D">
        <w:t>ниже</w:t>
      </w:r>
      <w:r w:rsidRPr="0055659D">
        <w:t xml:space="preserve"> уровня 20</w:t>
      </w:r>
      <w:r w:rsidR="0037136D">
        <w:t>21</w:t>
      </w:r>
      <w:r w:rsidR="005007F3">
        <w:t xml:space="preserve"> </w:t>
      </w:r>
      <w:r w:rsidRPr="0055659D">
        <w:t>года  (</w:t>
      </w:r>
      <w:r w:rsidR="0037136D">
        <w:t>8,0</w:t>
      </w:r>
      <w:r w:rsidRPr="0055659D">
        <w:t>% от общей суммы размещенных закупок)</w:t>
      </w:r>
      <w:proofErr w:type="gramStart"/>
      <w:r w:rsidR="0055659D">
        <w:t xml:space="preserve"> </w:t>
      </w:r>
      <w:r w:rsidRPr="0055659D">
        <w:t>.</w:t>
      </w:r>
      <w:proofErr w:type="gramEnd"/>
      <w:r w:rsidRPr="0055659D">
        <w:t xml:space="preserve"> </w:t>
      </w:r>
    </w:p>
    <w:p w:rsidR="00100699" w:rsidRPr="00274A92" w:rsidRDefault="00100699" w:rsidP="005B55AE">
      <w:pPr>
        <w:spacing w:line="120" w:lineRule="auto"/>
        <w:ind w:firstLine="425"/>
        <w:jc w:val="both"/>
        <w:rPr>
          <w:i/>
        </w:rPr>
      </w:pPr>
    </w:p>
    <w:p w:rsidR="005007F3" w:rsidRPr="00274A92" w:rsidRDefault="005007F3" w:rsidP="005007F3">
      <w:pPr>
        <w:ind w:firstLine="426"/>
        <w:jc w:val="both"/>
      </w:pPr>
      <w:r w:rsidRPr="00274A92">
        <w:t xml:space="preserve">Оценивая показатели объема экономии и конкуренции в целом по всем поселениям, можно сделать вывод, что в принципе заказчиками соблюден принцип обеспечения конкуренции, непосредственно влияющего на эффективность осуществления закупок. </w:t>
      </w:r>
    </w:p>
    <w:p w:rsidR="005007F3" w:rsidRDefault="005007F3" w:rsidP="005007F3">
      <w:pPr>
        <w:ind w:firstLine="426"/>
        <w:jc w:val="both"/>
      </w:pPr>
      <w:r w:rsidRPr="00274A92">
        <w:t xml:space="preserve">Таким образом,  можно сделать вывод об эффективности расходов на закупки. </w:t>
      </w:r>
    </w:p>
    <w:p w:rsidR="001F6C10" w:rsidRPr="00274A92" w:rsidRDefault="001F6C10" w:rsidP="005007F3">
      <w:pPr>
        <w:ind w:firstLine="426"/>
        <w:jc w:val="both"/>
      </w:pPr>
    </w:p>
    <w:p w:rsidR="00B67BF8" w:rsidRDefault="00B67BF8" w:rsidP="00924733">
      <w:pPr>
        <w:tabs>
          <w:tab w:val="left" w:pos="5798"/>
        </w:tabs>
        <w:spacing w:line="120" w:lineRule="auto"/>
        <w:ind w:firstLine="425"/>
        <w:jc w:val="both"/>
      </w:pPr>
    </w:p>
    <w:p w:rsidR="00A13E81" w:rsidRPr="004C5EFA" w:rsidRDefault="004C5EFA" w:rsidP="004C5EFA">
      <w:pPr>
        <w:tabs>
          <w:tab w:val="left" w:pos="5798"/>
        </w:tabs>
        <w:jc w:val="both"/>
      </w:pPr>
      <w:r>
        <w:rPr>
          <w:b/>
          <w:bCs/>
        </w:rPr>
        <w:lastRenderedPageBreak/>
        <w:t>7</w:t>
      </w:r>
      <w:r w:rsidR="00A13E81" w:rsidRPr="004C5EFA">
        <w:rPr>
          <w:b/>
          <w:bCs/>
        </w:rPr>
        <w:t>. Анализ закупок малого объема</w:t>
      </w:r>
    </w:p>
    <w:p w:rsidR="004C5EFA" w:rsidRDefault="004C5EFA" w:rsidP="004C5EFA">
      <w:pPr>
        <w:autoSpaceDE w:val="0"/>
        <w:autoSpaceDN w:val="0"/>
        <w:adjustRightInd w:val="0"/>
        <w:spacing w:line="120" w:lineRule="auto"/>
        <w:ind w:firstLine="425"/>
        <w:jc w:val="both"/>
        <w:rPr>
          <w:color w:val="000000"/>
          <w:shd w:val="clear" w:color="auto" w:fill="FFFFFF"/>
        </w:rPr>
      </w:pPr>
    </w:p>
    <w:p w:rsidR="00741E88" w:rsidRPr="00D862C5" w:rsidRDefault="00741E88" w:rsidP="00741E88">
      <w:pPr>
        <w:autoSpaceDE w:val="0"/>
        <w:autoSpaceDN w:val="0"/>
        <w:adjustRightInd w:val="0"/>
        <w:ind w:firstLine="426"/>
        <w:jc w:val="both"/>
        <w:rPr>
          <w:color w:val="000000"/>
        </w:rPr>
      </w:pPr>
      <w:r w:rsidRPr="00D862C5">
        <w:rPr>
          <w:color w:val="000000"/>
          <w:shd w:val="clear" w:color="auto" w:fill="FFFFFF"/>
        </w:rPr>
        <w:t>Законом № 44-ФЗ</w:t>
      </w:r>
      <w:r w:rsidRPr="00D862C5">
        <w:rPr>
          <w:color w:val="000000"/>
        </w:rPr>
        <w:t xml:space="preserve"> предусмотрено, что система закупок для государственных и муниципальных нужд строится на основе соблюдения принципа обеспечения конкуренции </w:t>
      </w:r>
      <w:r w:rsidRPr="00584B8C">
        <w:rPr>
          <w:b/>
        </w:rPr>
        <w:t>(статья 8),</w:t>
      </w:r>
      <w:r w:rsidRPr="00D862C5">
        <w:rPr>
          <w:color w:val="000000"/>
        </w:rPr>
        <w:t xml:space="preserve"> </w:t>
      </w:r>
      <w:proofErr w:type="gramStart"/>
      <w:r w:rsidRPr="00D862C5">
        <w:rPr>
          <w:color w:val="000000"/>
        </w:rPr>
        <w:t>который</w:t>
      </w:r>
      <w:proofErr w:type="gramEnd"/>
      <w:r w:rsidRPr="00D862C5">
        <w:rPr>
          <w:color w:val="000000"/>
        </w:rPr>
        <w:t xml:space="preserve"> подразумевает создание равных условий для обеспечения конкуренции между участниками закупок, в целях выявления лучших условий поставок товаров, выполнения работ, оказания услуг. </w:t>
      </w:r>
    </w:p>
    <w:p w:rsidR="00741E88" w:rsidRPr="00D862C5" w:rsidRDefault="00741E88" w:rsidP="00741E88">
      <w:pPr>
        <w:autoSpaceDE w:val="0"/>
        <w:autoSpaceDN w:val="0"/>
        <w:adjustRightInd w:val="0"/>
        <w:ind w:firstLine="426"/>
        <w:jc w:val="both"/>
        <w:rPr>
          <w:color w:val="000000"/>
        </w:rPr>
      </w:pPr>
      <w:r w:rsidRPr="00D862C5">
        <w:rPr>
          <w:color w:val="000000"/>
        </w:rPr>
        <w:t xml:space="preserve">Установленный </w:t>
      </w:r>
      <w:r w:rsidRPr="00584B8C">
        <w:rPr>
          <w:b/>
        </w:rPr>
        <w:t>статьёй 24</w:t>
      </w:r>
      <w:r w:rsidRPr="006E4FBD">
        <w:rPr>
          <w:color w:val="000000"/>
        </w:rPr>
        <w:t xml:space="preserve"> </w:t>
      </w:r>
      <w:r w:rsidRPr="00D862C5">
        <w:rPr>
          <w:color w:val="000000"/>
        </w:rPr>
        <w:t xml:space="preserve">Закона </w:t>
      </w:r>
      <w:r w:rsidRPr="00D862C5">
        <w:rPr>
          <w:color w:val="000000"/>
          <w:shd w:val="clear" w:color="auto" w:fill="FFFFFF"/>
        </w:rPr>
        <w:t>№ 44-ФЗ</w:t>
      </w:r>
      <w:r w:rsidRPr="00D862C5">
        <w:rPr>
          <w:color w:val="000000"/>
        </w:rPr>
        <w:t xml:space="preserve"> </w:t>
      </w:r>
      <w:r w:rsidRPr="00D862C5">
        <w:rPr>
          <w:b/>
          <w:color w:val="000000"/>
        </w:rPr>
        <w:t xml:space="preserve">приоритет конкурентных способов определения поставщиков </w:t>
      </w:r>
      <w:r w:rsidRPr="00D862C5">
        <w:rPr>
          <w:color w:val="000000"/>
        </w:rPr>
        <w:t>(подрядчиков, исполнителей)</w:t>
      </w:r>
      <w:r w:rsidRPr="00D862C5">
        <w:rPr>
          <w:b/>
          <w:color w:val="000000"/>
        </w:rPr>
        <w:t xml:space="preserve"> </w:t>
      </w:r>
      <w:r w:rsidRPr="00D862C5">
        <w:rPr>
          <w:color w:val="000000"/>
        </w:rPr>
        <w:t>перед закупкой</w:t>
      </w:r>
      <w:r w:rsidRPr="00D862C5">
        <w:rPr>
          <w:b/>
          <w:color w:val="000000"/>
        </w:rPr>
        <w:t xml:space="preserve"> у единственного поставщика</w:t>
      </w:r>
      <w:r w:rsidRPr="00D862C5">
        <w:rPr>
          <w:color w:val="000000"/>
        </w:rPr>
        <w:t xml:space="preserve"> (подрядчика, исполнителя) обеспечивает повышение эффективности, результативности осуществления закупок товаров, работ, услуг, обеспечивает гласность и прозрачность осуществления таких закупок, предотвращает коррупцию и другие злоупотребления в сфере закупок.</w:t>
      </w:r>
    </w:p>
    <w:p w:rsidR="00741E88" w:rsidRPr="00D862C5" w:rsidRDefault="00741E88" w:rsidP="00741E88">
      <w:pPr>
        <w:spacing w:line="120" w:lineRule="auto"/>
        <w:ind w:firstLine="425"/>
        <w:jc w:val="both"/>
        <w:rPr>
          <w:color w:val="000000"/>
        </w:rPr>
      </w:pPr>
    </w:p>
    <w:p w:rsidR="00741E88" w:rsidRPr="004C5EFA" w:rsidRDefault="00741E88" w:rsidP="00741E88">
      <w:pPr>
        <w:ind w:firstLine="425"/>
        <w:jc w:val="both"/>
        <w:rPr>
          <w:color w:val="000000" w:themeColor="text1"/>
        </w:rPr>
      </w:pPr>
      <w:r w:rsidRPr="006F045F">
        <w:t xml:space="preserve">Заказчик в </w:t>
      </w:r>
      <w:r w:rsidRPr="00A1318A">
        <w:t xml:space="preserve">каждом конкретном случае может осуществить закупку на основании </w:t>
      </w:r>
      <w:r w:rsidRPr="00A1318A">
        <w:rPr>
          <w:rStyle w:val="af1"/>
          <w:bCs/>
        </w:rPr>
        <w:t>только одного</w:t>
      </w:r>
      <w:r w:rsidRPr="00A1318A">
        <w:t xml:space="preserve"> из пунктов  </w:t>
      </w:r>
      <w:hyperlink r:id="rId121" w:history="1">
        <w:r w:rsidRPr="004C5EFA">
          <w:rPr>
            <w:rStyle w:val="af"/>
            <w:b/>
            <w:color w:val="000000" w:themeColor="text1"/>
          </w:rPr>
          <w:t>ч. 1 ст. 93</w:t>
        </w:r>
      </w:hyperlink>
      <w:r w:rsidRPr="004C5EFA">
        <w:rPr>
          <w:b/>
          <w:color w:val="000000" w:themeColor="text1"/>
        </w:rPr>
        <w:t xml:space="preserve"> </w:t>
      </w:r>
      <w:r w:rsidRPr="004C5EFA">
        <w:rPr>
          <w:color w:val="000000" w:themeColor="text1"/>
        </w:rPr>
        <w:t xml:space="preserve">Закона N 44-ФЗ. Отсюда можно сделать вывод, что фактически одним из оснований применения </w:t>
      </w:r>
      <w:hyperlink r:id="rId122" w:history="1">
        <w:r w:rsidRPr="004C5EFA">
          <w:rPr>
            <w:rStyle w:val="af"/>
            <w:b/>
            <w:color w:val="000000" w:themeColor="text1"/>
          </w:rPr>
          <w:t>п. 4</w:t>
        </w:r>
      </w:hyperlink>
      <w:r w:rsidRPr="004C5EFA">
        <w:rPr>
          <w:b/>
          <w:color w:val="000000" w:themeColor="text1"/>
        </w:rPr>
        <w:t xml:space="preserve"> </w:t>
      </w:r>
      <w:r w:rsidRPr="004C5EFA">
        <w:rPr>
          <w:color w:val="000000" w:themeColor="text1"/>
        </w:rPr>
        <w:t xml:space="preserve">или </w:t>
      </w:r>
      <w:hyperlink r:id="rId123" w:history="1">
        <w:r w:rsidRPr="004C5EFA">
          <w:rPr>
            <w:rStyle w:val="af"/>
            <w:b/>
            <w:color w:val="000000" w:themeColor="text1"/>
          </w:rPr>
          <w:t xml:space="preserve">п. 5 </w:t>
        </w:r>
        <w:r w:rsidRPr="004C5EFA">
          <w:rPr>
            <w:rStyle w:val="af"/>
            <w:color w:val="000000" w:themeColor="text1"/>
          </w:rPr>
          <w:t>ч. 1 ст. 93</w:t>
        </w:r>
      </w:hyperlink>
      <w:r w:rsidRPr="004C5EFA">
        <w:rPr>
          <w:color w:val="000000" w:themeColor="text1"/>
        </w:rPr>
        <w:t xml:space="preserve"> Закона N 44-ФЗ является отсутствие оснований для применения иных пунктов</w:t>
      </w:r>
    </w:p>
    <w:p w:rsidR="00741E88" w:rsidRDefault="00741E88" w:rsidP="00741E88">
      <w:pPr>
        <w:autoSpaceDE w:val="0"/>
        <w:autoSpaceDN w:val="0"/>
        <w:adjustRightInd w:val="0"/>
        <w:jc w:val="both"/>
      </w:pPr>
      <w:r>
        <w:t xml:space="preserve">      </w:t>
      </w:r>
      <w:r w:rsidR="001F6C10">
        <w:t xml:space="preserve">Администрациями городских и сельских поселений Приозерского муниципального района </w:t>
      </w:r>
      <w:r>
        <w:t xml:space="preserve"> </w:t>
      </w:r>
      <w:r w:rsidRPr="00A1318A">
        <w:t xml:space="preserve">в проверяемом периоде </w:t>
      </w:r>
      <w:r w:rsidRPr="008225F9">
        <w:rPr>
          <w:b/>
        </w:rPr>
        <w:t>20</w:t>
      </w:r>
      <w:r w:rsidR="001F6C10">
        <w:rPr>
          <w:b/>
        </w:rPr>
        <w:t>22</w:t>
      </w:r>
      <w:r w:rsidRPr="008225F9">
        <w:rPr>
          <w:b/>
        </w:rPr>
        <w:t xml:space="preserve"> года</w:t>
      </w:r>
      <w:r>
        <w:t xml:space="preserve"> </w:t>
      </w:r>
      <w:r w:rsidRPr="00A1318A">
        <w:t xml:space="preserve">были осуществлены закупки, так называемого </w:t>
      </w:r>
      <w:r w:rsidRPr="0060786C">
        <w:rPr>
          <w:b/>
        </w:rPr>
        <w:t>«малого объема»</w:t>
      </w:r>
      <w:r w:rsidRPr="00A1318A">
        <w:t xml:space="preserve"> – закупки у единственного поставщика  </w:t>
      </w:r>
      <w:r w:rsidRPr="00C0028F">
        <w:t>на основании</w:t>
      </w:r>
      <w:r>
        <w:t>:</w:t>
      </w:r>
    </w:p>
    <w:p w:rsidR="00741E88" w:rsidRPr="00EB0E4B" w:rsidRDefault="00741E88" w:rsidP="00456F59">
      <w:pPr>
        <w:numPr>
          <w:ilvl w:val="0"/>
          <w:numId w:val="26"/>
        </w:numPr>
        <w:shd w:val="clear" w:color="auto" w:fill="FFFFFF"/>
        <w:tabs>
          <w:tab w:val="left" w:pos="567"/>
        </w:tabs>
        <w:ind w:left="0" w:firstLine="426"/>
        <w:jc w:val="both"/>
      </w:pPr>
      <w:r w:rsidRPr="00EB0E4B">
        <w:rPr>
          <w:u w:val="single"/>
        </w:rPr>
        <w:t xml:space="preserve">   п. 4 ч. 1 ст. 93 Закона №44-ФЗ </w:t>
      </w:r>
      <w:r w:rsidRPr="00EB0E4B">
        <w:t xml:space="preserve"> - Закупки, не превышающие 600 тыс. руб.         </w:t>
      </w:r>
    </w:p>
    <w:p w:rsidR="00741E88" w:rsidRDefault="00741E88" w:rsidP="00741E88">
      <w:pPr>
        <w:shd w:val="clear" w:color="auto" w:fill="FFFFFF"/>
        <w:tabs>
          <w:tab w:val="left" w:pos="993"/>
        </w:tabs>
        <w:spacing w:line="120" w:lineRule="auto"/>
        <w:ind w:firstLine="425"/>
        <w:jc w:val="both"/>
      </w:pPr>
    </w:p>
    <w:p w:rsidR="00741E88" w:rsidRPr="00EB0E4B" w:rsidRDefault="00B97BFD" w:rsidP="00741E88">
      <w:pPr>
        <w:shd w:val="clear" w:color="auto" w:fill="FFFFFF"/>
        <w:tabs>
          <w:tab w:val="left" w:pos="993"/>
        </w:tabs>
        <w:ind w:firstLine="426"/>
        <w:jc w:val="both"/>
        <w:rPr>
          <w:rStyle w:val="a5"/>
          <w:color w:val="auto"/>
          <w:u w:val="none"/>
        </w:rPr>
      </w:pPr>
      <w:hyperlink r:id="rId124" w:tgtFrame="_blank" w:history="1">
        <w:r w:rsidR="00741E88" w:rsidRPr="00EB0E4B">
          <w:rPr>
            <w:rStyle w:val="a5"/>
            <w:color w:val="auto"/>
            <w:u w:val="none"/>
          </w:rPr>
          <w:t xml:space="preserve">Федеральным законом </w:t>
        </w:r>
        <w:r w:rsidR="00741E88" w:rsidRPr="00EB0E4B">
          <w:rPr>
            <w:rStyle w:val="af"/>
            <w:rFonts w:cs="Times New Roman CYR"/>
            <w:b/>
            <w:color w:val="auto"/>
          </w:rPr>
          <w:t>№124-ФЗ от 24.04.2020</w:t>
        </w:r>
      </w:hyperlink>
      <w:r w:rsidR="00741E88" w:rsidRPr="00EB0E4B">
        <w:rPr>
          <w:rStyle w:val="a5"/>
          <w:color w:val="auto"/>
          <w:u w:val="none"/>
        </w:rPr>
        <w:t xml:space="preserve"> </w:t>
      </w:r>
      <w:r w:rsidR="00741E88" w:rsidRPr="00EB0E4B">
        <w:rPr>
          <w:rStyle w:val="af"/>
          <w:rFonts w:cs="Times New Roman CYR"/>
          <w:b/>
          <w:color w:val="auto"/>
        </w:rPr>
        <w:t>г</w:t>
      </w:r>
      <w:r w:rsidR="00741E88" w:rsidRPr="00EB0E4B">
        <w:rPr>
          <w:rStyle w:val="a5"/>
          <w:color w:val="auto"/>
          <w:u w:val="none"/>
        </w:rPr>
        <w:t>. с 300 000 до 600 000 рублей увеличили сумму, в пределах которой разрешается провести закупку у единственного поставщика по </w:t>
      </w:r>
      <w:hyperlink r:id="rId125" w:tgtFrame="_blank" w:history="1">
        <w:r w:rsidR="00741E88" w:rsidRPr="00EB0E4B">
          <w:rPr>
            <w:rStyle w:val="a5"/>
            <w:color w:val="auto"/>
            <w:u w:val="none"/>
          </w:rPr>
          <w:t>п. 4 ч. 1 ст. 93 44-ФЗ</w:t>
        </w:r>
      </w:hyperlink>
      <w:r w:rsidR="00741E88" w:rsidRPr="00EB0E4B">
        <w:rPr>
          <w:rStyle w:val="a5"/>
          <w:color w:val="auto"/>
          <w:u w:val="none"/>
        </w:rPr>
        <w:t xml:space="preserve">. </w:t>
      </w:r>
    </w:p>
    <w:p w:rsidR="00741E88" w:rsidRPr="00274A92" w:rsidRDefault="00741E88" w:rsidP="00741E88">
      <w:pPr>
        <w:pStyle w:val="ad"/>
        <w:shd w:val="clear" w:color="auto" w:fill="FFFFFF"/>
        <w:spacing w:before="0" w:beforeAutospacing="0" w:after="0" w:afterAutospacing="0"/>
        <w:ind w:firstLine="426"/>
        <w:jc w:val="both"/>
      </w:pPr>
      <w:r w:rsidRPr="00274A92">
        <w:rPr>
          <w:rStyle w:val="a5"/>
          <w:color w:val="auto"/>
          <w:u w:val="none"/>
        </w:rPr>
        <w:t>А годовой об</w:t>
      </w:r>
      <w:r w:rsidRPr="00274A92">
        <w:t>ъем таких закупок не должен превышать 10% (до изменений — 5%) совокупного годового объема закупок заказчика.</w:t>
      </w:r>
    </w:p>
    <w:p w:rsidR="00741E88" w:rsidRDefault="00741E88" w:rsidP="00741E88">
      <w:pPr>
        <w:pStyle w:val="ad"/>
        <w:shd w:val="clear" w:color="auto" w:fill="FFFFFF"/>
        <w:spacing w:before="0" w:beforeAutospacing="0" w:after="0" w:afterAutospacing="0"/>
        <w:jc w:val="both"/>
        <w:rPr>
          <w:rFonts w:ascii="Arial" w:hAnsi="Arial" w:cs="Arial"/>
          <w:color w:val="000000"/>
          <w:sz w:val="26"/>
          <w:szCs w:val="26"/>
        </w:rPr>
      </w:pPr>
      <w:r w:rsidRPr="00274A92">
        <w:t xml:space="preserve">      Предельные значения в рублевом выражении не изменились: годовой</w:t>
      </w:r>
      <w:r w:rsidRPr="006032B3">
        <w:rPr>
          <w:color w:val="222222"/>
        </w:rPr>
        <w:t xml:space="preserve"> объем</w:t>
      </w:r>
      <w:r w:rsidR="001F6C10">
        <w:rPr>
          <w:color w:val="222222"/>
        </w:rPr>
        <w:t xml:space="preserve">                </w:t>
      </w:r>
      <w:r w:rsidRPr="006032B3">
        <w:rPr>
          <w:color w:val="222222"/>
        </w:rPr>
        <w:t xml:space="preserve"> 2 млн</w:t>
      </w:r>
      <w:r>
        <w:rPr>
          <w:color w:val="222222"/>
        </w:rPr>
        <w:t>.</w:t>
      </w:r>
      <w:r w:rsidRPr="006032B3">
        <w:rPr>
          <w:color w:val="222222"/>
        </w:rPr>
        <w:t xml:space="preserve"> </w:t>
      </w:r>
      <w:r w:rsidRPr="0016504A">
        <w:t>руб. или 10 % совокупного годового объема и не более 50 млн. руб</w:t>
      </w:r>
      <w:r w:rsidRPr="006032B3">
        <w:rPr>
          <w:color w:val="222222"/>
        </w:rPr>
        <w:t>.</w:t>
      </w:r>
    </w:p>
    <w:p w:rsidR="00CC2D55" w:rsidRPr="001F1310" w:rsidRDefault="005B55AE" w:rsidP="00CC2D55">
      <w:pPr>
        <w:autoSpaceDE w:val="0"/>
        <w:autoSpaceDN w:val="0"/>
        <w:adjustRightInd w:val="0"/>
        <w:spacing w:after="120" w:line="280" w:lineRule="exact"/>
        <w:ind w:firstLine="426"/>
        <w:jc w:val="both"/>
      </w:pPr>
      <w:r>
        <w:t>В 20</w:t>
      </w:r>
      <w:r w:rsidR="00741E88">
        <w:t>22</w:t>
      </w:r>
      <w:r>
        <w:t xml:space="preserve"> году </w:t>
      </w:r>
      <w:r w:rsidR="00CC2D55">
        <w:t xml:space="preserve"> </w:t>
      </w:r>
      <w:r w:rsidR="00741E88">
        <w:t xml:space="preserve">администрациями </w:t>
      </w:r>
      <w:r w:rsidR="00CC2D55">
        <w:t>городски</w:t>
      </w:r>
      <w:r w:rsidR="00741E88">
        <w:t xml:space="preserve">х </w:t>
      </w:r>
      <w:r w:rsidR="00CC2D55">
        <w:t xml:space="preserve"> и сельски</w:t>
      </w:r>
      <w:r w:rsidR="00741E88">
        <w:t xml:space="preserve">х </w:t>
      </w:r>
      <w:r w:rsidR="00CC2D55">
        <w:t xml:space="preserve"> поселени</w:t>
      </w:r>
      <w:r w:rsidR="00741E88">
        <w:t>й</w:t>
      </w:r>
      <w:r w:rsidR="00CC2D55">
        <w:t xml:space="preserve"> Приозерск</w:t>
      </w:r>
      <w:r w:rsidR="00741E88">
        <w:t>ого</w:t>
      </w:r>
      <w:r w:rsidR="00CC2D55">
        <w:t xml:space="preserve"> муниципальн</w:t>
      </w:r>
      <w:r w:rsidR="00741E88">
        <w:t>ого</w:t>
      </w:r>
      <w:r w:rsidR="00CC2D55">
        <w:t xml:space="preserve"> район</w:t>
      </w:r>
      <w:r w:rsidR="00741E88">
        <w:t>а</w:t>
      </w:r>
      <w:r w:rsidR="00CC2D55">
        <w:t xml:space="preserve"> п</w:t>
      </w:r>
      <w:r w:rsidR="00CC2D55" w:rsidRPr="008E5AF7">
        <w:t xml:space="preserve">о неконкурентным способам определения поставщика с единственным поставщиком на основании </w:t>
      </w:r>
      <w:r w:rsidR="00CC2D55" w:rsidRPr="00CC2D55">
        <w:t>пункта 4 части</w:t>
      </w:r>
      <w:r w:rsidR="00CC2D55" w:rsidRPr="008E5AF7">
        <w:t xml:space="preserve"> 1 статьи 93 Закона №44-ФЗ </w:t>
      </w:r>
      <w:r w:rsidR="00AE6B91">
        <w:t xml:space="preserve"> было</w:t>
      </w:r>
      <w:r w:rsidR="00CC2D55" w:rsidRPr="008E5AF7">
        <w:t xml:space="preserve"> заключен</w:t>
      </w:r>
      <w:r w:rsidR="00AE6B91">
        <w:t>о</w:t>
      </w:r>
      <w:r w:rsidR="00CC2D55" w:rsidRPr="008E5AF7">
        <w:t xml:space="preserve"> </w:t>
      </w:r>
      <w:r w:rsidR="0061769F">
        <w:t xml:space="preserve"> </w:t>
      </w:r>
      <w:r w:rsidR="00CC2D55" w:rsidRPr="008E5AF7">
        <w:t xml:space="preserve"> </w:t>
      </w:r>
      <w:r w:rsidR="0062201A">
        <w:rPr>
          <w:b/>
        </w:rPr>
        <w:t xml:space="preserve">1 </w:t>
      </w:r>
      <w:r w:rsidR="00C63BA3">
        <w:rPr>
          <w:b/>
        </w:rPr>
        <w:t>610</w:t>
      </w:r>
      <w:r w:rsidR="001F1310" w:rsidRPr="001F1310">
        <w:rPr>
          <w:b/>
        </w:rPr>
        <w:t xml:space="preserve"> </w:t>
      </w:r>
      <w:r w:rsidR="00CC2D55" w:rsidRPr="001F1310">
        <w:rPr>
          <w:b/>
        </w:rPr>
        <w:t xml:space="preserve"> контрактов </w:t>
      </w:r>
      <w:r w:rsidR="00CC2D55" w:rsidRPr="001F1310">
        <w:t xml:space="preserve"> на </w:t>
      </w:r>
      <w:r w:rsidR="00AE6B91" w:rsidRPr="001F1310">
        <w:t xml:space="preserve">общую сумму </w:t>
      </w:r>
      <w:r w:rsidR="0061769F" w:rsidRPr="001F1310">
        <w:t xml:space="preserve"> </w:t>
      </w:r>
      <w:r w:rsidR="003620C6" w:rsidRPr="001F1310">
        <w:rPr>
          <w:b/>
        </w:rPr>
        <w:t>1</w:t>
      </w:r>
      <w:r w:rsidR="0062201A">
        <w:rPr>
          <w:b/>
        </w:rPr>
        <w:t>7</w:t>
      </w:r>
      <w:r w:rsidR="00C63BA3">
        <w:rPr>
          <w:b/>
        </w:rPr>
        <w:t>7 385,4</w:t>
      </w:r>
      <w:r w:rsidR="00CC2D55" w:rsidRPr="001F1310">
        <w:rPr>
          <w:b/>
        </w:rPr>
        <w:t xml:space="preserve"> тыс. руб</w:t>
      </w:r>
      <w:r w:rsidR="00CC2D55" w:rsidRPr="001F1310">
        <w:t>.</w:t>
      </w:r>
    </w:p>
    <w:p w:rsidR="00AE6B91" w:rsidRPr="001F1310" w:rsidRDefault="00AE6B91" w:rsidP="00AE6B91">
      <w:pPr>
        <w:autoSpaceDE w:val="0"/>
        <w:autoSpaceDN w:val="0"/>
        <w:adjustRightInd w:val="0"/>
        <w:ind w:firstLine="426"/>
        <w:jc w:val="both"/>
        <w:rPr>
          <w:color w:val="000000"/>
        </w:rPr>
      </w:pPr>
      <w:r>
        <w:rPr>
          <w:color w:val="000000"/>
        </w:rPr>
        <w:t xml:space="preserve">Можно сделать вывод, что Заказчиками </w:t>
      </w:r>
      <w:r w:rsidRPr="00D862C5">
        <w:rPr>
          <w:color w:val="000000"/>
        </w:rPr>
        <w:t xml:space="preserve"> в проверяем</w:t>
      </w:r>
      <w:r>
        <w:rPr>
          <w:color w:val="000000"/>
        </w:rPr>
        <w:t>ом</w:t>
      </w:r>
      <w:r w:rsidRPr="00D862C5">
        <w:rPr>
          <w:color w:val="000000"/>
        </w:rPr>
        <w:t xml:space="preserve"> период</w:t>
      </w:r>
      <w:r>
        <w:rPr>
          <w:color w:val="000000"/>
        </w:rPr>
        <w:t>е</w:t>
      </w:r>
      <w:r w:rsidRPr="00D862C5">
        <w:rPr>
          <w:color w:val="000000"/>
        </w:rPr>
        <w:t xml:space="preserve"> при выборе способа осуществления закупок предпочтение отдаётся заключению муниципальных контрактов с </w:t>
      </w:r>
      <w:r w:rsidRPr="001F1310">
        <w:rPr>
          <w:color w:val="000000"/>
        </w:rPr>
        <w:t>единственным поставщиком.</w:t>
      </w:r>
    </w:p>
    <w:p w:rsidR="00CC2D55" w:rsidRDefault="00AE6B91" w:rsidP="0061769F">
      <w:pPr>
        <w:shd w:val="clear" w:color="auto" w:fill="FFFFFF"/>
        <w:tabs>
          <w:tab w:val="left" w:pos="5798"/>
        </w:tabs>
        <w:jc w:val="both"/>
      </w:pPr>
      <w:r w:rsidRPr="001F1310">
        <w:t xml:space="preserve">      Необходимо отметить, что по сравнению с 20</w:t>
      </w:r>
      <w:r w:rsidR="0062201A">
        <w:t>21</w:t>
      </w:r>
      <w:r w:rsidRPr="001F1310">
        <w:t xml:space="preserve"> годом наблюдается  </w:t>
      </w:r>
      <w:r w:rsidR="0062201A">
        <w:t>увеличение</w:t>
      </w:r>
      <w:r w:rsidRPr="001F1310">
        <w:t xml:space="preserve">  количества контрактов «малого объема» на </w:t>
      </w:r>
      <w:r w:rsidR="00C63BA3">
        <w:t xml:space="preserve">220 </w:t>
      </w:r>
      <w:r w:rsidR="001F1310" w:rsidRPr="001F1310">
        <w:t>контрактов</w:t>
      </w:r>
      <w:r w:rsidRPr="001F1310">
        <w:t xml:space="preserve">  </w:t>
      </w:r>
      <w:r w:rsidR="0061769F" w:rsidRPr="001F1310">
        <w:t xml:space="preserve">с </w:t>
      </w:r>
      <w:r w:rsidR="0062201A">
        <w:t>одновременным ростом</w:t>
      </w:r>
      <w:r w:rsidRPr="001F1310">
        <w:t xml:space="preserve">  стоимостного объема </w:t>
      </w:r>
      <w:r w:rsidR="0061769F" w:rsidRPr="001F1310">
        <w:t xml:space="preserve"> </w:t>
      </w:r>
      <w:r w:rsidRPr="001F1310">
        <w:t xml:space="preserve">на   </w:t>
      </w:r>
      <w:r w:rsidR="00C63BA3">
        <w:t>61 931,1</w:t>
      </w:r>
      <w:r w:rsidR="0061769F" w:rsidRPr="001F1310">
        <w:t xml:space="preserve"> тыс. руб. (на </w:t>
      </w:r>
      <w:r w:rsidR="00A25B28">
        <w:t>53,6</w:t>
      </w:r>
      <w:r w:rsidR="003620C6" w:rsidRPr="001F1310">
        <w:t>%</w:t>
      </w:r>
      <w:r w:rsidR="0061769F" w:rsidRPr="001F1310">
        <w:t>).</w:t>
      </w:r>
    </w:p>
    <w:p w:rsidR="00F97A0E" w:rsidRDefault="00F97A0E" w:rsidP="00F97A0E">
      <w:pPr>
        <w:shd w:val="clear" w:color="auto" w:fill="FFFFFF"/>
        <w:tabs>
          <w:tab w:val="left" w:pos="5798"/>
        </w:tabs>
        <w:spacing w:line="120" w:lineRule="auto"/>
        <w:jc w:val="both"/>
      </w:pPr>
    </w:p>
    <w:p w:rsidR="009A4599" w:rsidRDefault="00F97A0E" w:rsidP="0061769F">
      <w:pPr>
        <w:shd w:val="clear" w:color="auto" w:fill="FFFFFF"/>
        <w:tabs>
          <w:tab w:val="left" w:pos="5798"/>
        </w:tabs>
        <w:jc w:val="both"/>
      </w:pPr>
      <w:r>
        <w:t xml:space="preserve">      Одной из задач контрактной системы является повышение прозрачности и увеличение конкуренции при осуществлении закупок, в том числе закупок у единственного поставщика. </w:t>
      </w:r>
    </w:p>
    <w:p w:rsidR="009A4599" w:rsidRPr="007451AF" w:rsidRDefault="009A4599" w:rsidP="009A4599">
      <w:pPr>
        <w:autoSpaceDE w:val="0"/>
        <w:autoSpaceDN w:val="0"/>
        <w:adjustRightInd w:val="0"/>
        <w:ind w:firstLine="425"/>
        <w:jc w:val="both"/>
        <w:rPr>
          <w:b/>
        </w:rPr>
      </w:pPr>
      <w:r>
        <w:t xml:space="preserve">Как уже отмечалось выше, главным изменением  в закупках </w:t>
      </w:r>
      <w:r w:rsidR="00741E88">
        <w:t>с</w:t>
      </w:r>
      <w:r>
        <w:t xml:space="preserve"> 2021 год</w:t>
      </w:r>
      <w:r w:rsidR="00741E88">
        <w:t xml:space="preserve">а </w:t>
      </w:r>
      <w:r>
        <w:t xml:space="preserve">стало увеличение лимита закупок малого объема </w:t>
      </w:r>
      <w:r w:rsidRPr="00DB5669">
        <w:rPr>
          <w:b/>
        </w:rPr>
        <w:t>до 3 млн. руб.</w:t>
      </w:r>
      <w:r>
        <w:rPr>
          <w:b/>
        </w:rPr>
        <w:t xml:space="preserve"> </w:t>
      </w:r>
      <w:r w:rsidRPr="007451AF">
        <w:t xml:space="preserve">Повышение произошло с момента вступления в силу положений </w:t>
      </w:r>
      <w:r>
        <w:t xml:space="preserve">Федерального закона </w:t>
      </w:r>
      <w:r w:rsidRPr="007451AF">
        <w:rPr>
          <w:b/>
        </w:rPr>
        <w:t>от 31.07.2020 №249-ФЗ</w:t>
      </w:r>
      <w:r>
        <w:rPr>
          <w:b/>
        </w:rPr>
        <w:t>.</w:t>
      </w:r>
    </w:p>
    <w:p w:rsidR="009A4599" w:rsidRPr="00E32B13" w:rsidRDefault="009A4599" w:rsidP="009A4599">
      <w:pPr>
        <w:pStyle w:val="ab"/>
        <w:ind w:left="0" w:firstLine="426"/>
        <w:rPr>
          <w:rFonts w:ascii="Times New Roman" w:eastAsia="Calibri" w:hAnsi="Times New Roman" w:cs="Times New Roman"/>
          <w:b/>
        </w:rPr>
      </w:pPr>
      <w:r w:rsidRPr="00E32B13">
        <w:rPr>
          <w:rFonts w:ascii="Times New Roman" w:eastAsia="Calibri" w:hAnsi="Times New Roman" w:cs="Times New Roman"/>
        </w:rPr>
        <w:t xml:space="preserve">С 1 апреля 2021 года любой заказчик вправе осуществлять закупки товара в случаях, предусмотренных </w:t>
      </w:r>
      <w:hyperlink r:id="rId126" w:history="1">
        <w:r w:rsidRPr="00E32B13">
          <w:rPr>
            <w:rFonts w:ascii="Times New Roman" w:eastAsia="Calibri" w:hAnsi="Times New Roman" w:cs="Times New Roman"/>
          </w:rPr>
          <w:t>пунктами 4</w:t>
        </w:r>
      </w:hyperlink>
      <w:r w:rsidRPr="00E32B13">
        <w:rPr>
          <w:rFonts w:ascii="Times New Roman" w:eastAsia="Calibri" w:hAnsi="Times New Roman" w:cs="Times New Roman"/>
        </w:rPr>
        <w:t xml:space="preserve"> и </w:t>
      </w:r>
      <w:hyperlink r:id="rId127" w:history="1">
        <w:r w:rsidRPr="00E32B13">
          <w:rPr>
            <w:rFonts w:ascii="Times New Roman" w:eastAsia="Calibri" w:hAnsi="Times New Roman" w:cs="Times New Roman"/>
          </w:rPr>
          <w:t>5 части 1</w:t>
        </w:r>
      </w:hyperlink>
      <w:r w:rsidRPr="00E32B13">
        <w:rPr>
          <w:rFonts w:ascii="Times New Roman" w:eastAsia="Calibri" w:hAnsi="Times New Roman" w:cs="Times New Roman"/>
        </w:rPr>
        <w:t xml:space="preserve"> настоящей статьи  </w:t>
      </w:r>
      <w:r w:rsidRPr="00E32B13">
        <w:rPr>
          <w:rFonts w:ascii="Times New Roman" w:eastAsia="Calibri" w:hAnsi="Times New Roman" w:cs="Times New Roman"/>
          <w:b/>
        </w:rPr>
        <w:t>в электронной форме</w:t>
      </w:r>
      <w:r w:rsidRPr="00E32B13">
        <w:rPr>
          <w:rFonts w:ascii="Times New Roman" w:eastAsia="Calibri" w:hAnsi="Times New Roman" w:cs="Times New Roman"/>
        </w:rPr>
        <w:t xml:space="preserve"> с использованием электронной площадки на сумму, не превышающую </w:t>
      </w:r>
      <w:r w:rsidRPr="00E32B13">
        <w:rPr>
          <w:rFonts w:ascii="Times New Roman" w:eastAsia="Calibri" w:hAnsi="Times New Roman" w:cs="Times New Roman"/>
          <w:b/>
        </w:rPr>
        <w:t>трех миллионов рублей</w:t>
      </w:r>
      <w:r w:rsidR="001563FF">
        <w:rPr>
          <w:rFonts w:ascii="Times New Roman" w:eastAsia="Calibri" w:hAnsi="Times New Roman" w:cs="Times New Roman"/>
          <w:b/>
        </w:rPr>
        <w:t xml:space="preserve"> </w:t>
      </w:r>
      <w:r w:rsidR="00F97A0E">
        <w:rPr>
          <w:rFonts w:ascii="Times New Roman" w:eastAsia="Calibri" w:hAnsi="Times New Roman" w:cs="Times New Roman"/>
          <w:b/>
        </w:rPr>
        <w:t xml:space="preserve"> (ч. 12 ст. 93 </w:t>
      </w:r>
      <w:r w:rsidR="00F97A0E" w:rsidRPr="00F97A0E">
        <w:rPr>
          <w:rFonts w:ascii="Times New Roman" w:eastAsia="Calibri" w:hAnsi="Times New Roman" w:cs="Times New Roman"/>
        </w:rPr>
        <w:t>Закона №44-ФЗ</w:t>
      </w:r>
      <w:r w:rsidR="00F97A0E">
        <w:rPr>
          <w:rFonts w:ascii="Times New Roman" w:eastAsia="Calibri" w:hAnsi="Times New Roman" w:cs="Times New Roman"/>
          <w:b/>
        </w:rPr>
        <w:t>).</w:t>
      </w:r>
      <w:r w:rsidR="00220470">
        <w:rPr>
          <w:rFonts w:ascii="Times New Roman" w:eastAsia="Calibri" w:hAnsi="Times New Roman" w:cs="Times New Roman"/>
          <w:b/>
        </w:rPr>
        <w:t xml:space="preserve"> </w:t>
      </w:r>
      <w:r w:rsidR="00220470" w:rsidRPr="00220470">
        <w:rPr>
          <w:rFonts w:ascii="Times New Roman" w:eastAsia="Calibri" w:hAnsi="Times New Roman" w:cs="Times New Roman"/>
        </w:rPr>
        <w:t>Закупки товаров в электронной форме на сумму</w:t>
      </w:r>
      <w:r w:rsidR="00220470">
        <w:rPr>
          <w:rFonts w:ascii="Times New Roman" w:eastAsia="Calibri" w:hAnsi="Times New Roman" w:cs="Times New Roman"/>
        </w:rPr>
        <w:t xml:space="preserve"> до 3 млн. руб. по части 12 статьи 93 Закона №44-ФЗ осуществляются исключительно на 8 </w:t>
      </w:r>
      <w:r w:rsidR="00220470">
        <w:rPr>
          <w:rFonts w:ascii="Times New Roman" w:eastAsia="Calibri" w:hAnsi="Times New Roman" w:cs="Times New Roman"/>
        </w:rPr>
        <w:lastRenderedPageBreak/>
        <w:t>федеральных электронных площадках, включенных в перечень, утвержденный распоряжением Правительства РФ от 12.07.2018 г. №1447-р.</w:t>
      </w:r>
    </w:p>
    <w:p w:rsidR="009A4599" w:rsidRPr="00E32B13" w:rsidRDefault="009A4599" w:rsidP="009A4599">
      <w:pPr>
        <w:pStyle w:val="turbo-paragraph"/>
        <w:shd w:val="clear" w:color="auto" w:fill="FFFFFF"/>
        <w:autoSpaceDE w:val="0"/>
        <w:autoSpaceDN w:val="0"/>
        <w:adjustRightInd w:val="0"/>
        <w:spacing w:before="0" w:beforeAutospacing="0" w:after="0" w:afterAutospacing="0"/>
        <w:ind w:firstLine="425"/>
        <w:jc w:val="both"/>
        <w:rPr>
          <w:rFonts w:eastAsia="Calibri"/>
        </w:rPr>
      </w:pPr>
      <w:r w:rsidRPr="00E32B13">
        <w:rPr>
          <w:shd w:val="clear" w:color="auto" w:fill="FFFFFF"/>
        </w:rPr>
        <w:t xml:space="preserve"> Причем законодатели мотивирует, чтобы заказчики проводили такие закупки в электронной форме тем, что увеличивает максимальную сумму сделки, заключаемой заказчиком, до 3-х млн. рублей. При этом «бумажная» форма заключения контрактов у единственного поставщика остается, но максимальная сумма сделки по ним остается прежней: 600 тыс. рублей для всех заказчиков. Самое главное изменение в закупки у единственного поставщика </w:t>
      </w:r>
      <w:r w:rsidRPr="00E32B13">
        <w:rPr>
          <w:b/>
          <w:shd w:val="clear" w:color="auto" w:fill="FFFFFF"/>
        </w:rPr>
        <w:t>в 2021 году</w:t>
      </w:r>
      <w:r w:rsidRPr="00E32B13">
        <w:rPr>
          <w:shd w:val="clear" w:color="auto" w:fill="FFFFFF"/>
        </w:rPr>
        <w:t xml:space="preserve"> касается того, что такая закупка становится </w:t>
      </w:r>
      <w:r w:rsidRPr="00C5197F">
        <w:rPr>
          <w:b/>
          <w:shd w:val="clear" w:color="auto" w:fill="FFFFFF"/>
        </w:rPr>
        <w:t>конкурентной процедурой</w:t>
      </w:r>
      <w:r w:rsidRPr="00E32B13">
        <w:rPr>
          <w:shd w:val="clear" w:color="auto" w:fill="FFFFFF"/>
        </w:rPr>
        <w:t xml:space="preserve">. </w:t>
      </w:r>
    </w:p>
    <w:p w:rsidR="000644B8" w:rsidRPr="00220470" w:rsidRDefault="00F97A0E" w:rsidP="00F97A0E">
      <w:pPr>
        <w:shd w:val="clear" w:color="auto" w:fill="FFFFFF"/>
        <w:ind w:firstLine="426"/>
        <w:jc w:val="both"/>
        <w:rPr>
          <w:b/>
        </w:rPr>
      </w:pPr>
      <w:r w:rsidRPr="00F97A0E">
        <w:t xml:space="preserve">Если заказчик осуществляет закупку работы или услуги или закупку товара у единственного поставщика не по п.12 ч.1 статьи 93, то он также может провести ее </w:t>
      </w:r>
      <w:r w:rsidRPr="00220470">
        <w:rPr>
          <w:b/>
        </w:rPr>
        <w:t xml:space="preserve">в электронной форме с использованием любых площадок. </w:t>
      </w:r>
    </w:p>
    <w:p w:rsidR="00F97A0E" w:rsidRPr="000644B8" w:rsidRDefault="00F97A0E" w:rsidP="00F97A0E">
      <w:pPr>
        <w:shd w:val="clear" w:color="auto" w:fill="FFFFFF"/>
        <w:ind w:firstLine="426"/>
        <w:jc w:val="both"/>
      </w:pPr>
      <w:r w:rsidRPr="00F97A0E">
        <w:t>Так, некоторые субъекты РФ выпустили региональные Постановления, благодаря которым они могут размещать малые закупки на со</w:t>
      </w:r>
      <w:r w:rsidR="000644B8">
        <w:t xml:space="preserve">бственных электронных площадках, </w:t>
      </w:r>
      <w:r w:rsidR="000644B8" w:rsidRPr="000644B8">
        <w:t>в</w:t>
      </w:r>
      <w:r w:rsidR="000644B8" w:rsidRPr="000644B8">
        <w:rPr>
          <w:iCs/>
        </w:rPr>
        <w:t xml:space="preserve"> целях обеспечения открытости и прозрачности закупок, повышения конкуренции между участниками закупок, а также эффективного расходования бюджетных средств</w:t>
      </w:r>
    </w:p>
    <w:p w:rsidR="00255FAF" w:rsidRDefault="00F97A0E" w:rsidP="00AA59C4">
      <w:pPr>
        <w:shd w:val="clear" w:color="auto" w:fill="FFFFFF"/>
        <w:tabs>
          <w:tab w:val="left" w:pos="5798"/>
        </w:tabs>
        <w:jc w:val="both"/>
      </w:pPr>
      <w:r w:rsidRPr="0021549F">
        <w:rPr>
          <w:b/>
        </w:rPr>
        <w:t xml:space="preserve">     </w:t>
      </w:r>
      <w:r w:rsidR="000644B8">
        <w:rPr>
          <w:b/>
        </w:rPr>
        <w:t xml:space="preserve">  </w:t>
      </w:r>
      <w:r w:rsidR="00255FAF">
        <w:rPr>
          <w:b/>
        </w:rPr>
        <w:t>Обращаем внимание</w:t>
      </w:r>
      <w:r w:rsidR="00963242">
        <w:rPr>
          <w:b/>
        </w:rPr>
        <w:t xml:space="preserve">,  </w:t>
      </w:r>
      <w:r w:rsidR="00963242" w:rsidRPr="00963242">
        <w:t>в</w:t>
      </w:r>
      <w:r w:rsidR="00255FAF" w:rsidRPr="00615A57">
        <w:t xml:space="preserve"> проверяемом периоде 2</w:t>
      </w:r>
      <w:r w:rsidR="00963242">
        <w:t>022</w:t>
      </w:r>
      <w:r w:rsidR="00255FAF" w:rsidRPr="00615A57">
        <w:t xml:space="preserve"> года </w:t>
      </w:r>
      <w:r w:rsidR="00255FAF" w:rsidRPr="00615A57">
        <w:rPr>
          <w:b/>
        </w:rPr>
        <w:t>закупки малого объема в электронной форме</w:t>
      </w:r>
      <w:r w:rsidR="00255FAF" w:rsidRPr="00615A57">
        <w:t xml:space="preserve"> осуществлялись не всеми городскими и сельскими поселениями Приозерск</w:t>
      </w:r>
      <w:r w:rsidR="00963242">
        <w:t>ого</w:t>
      </w:r>
      <w:r w:rsidR="00255FAF" w:rsidRPr="00615A57">
        <w:t xml:space="preserve"> муниципальн</w:t>
      </w:r>
      <w:r w:rsidR="00963242">
        <w:t>ого</w:t>
      </w:r>
      <w:r w:rsidR="00255FAF" w:rsidRPr="00615A57">
        <w:t xml:space="preserve"> район</w:t>
      </w:r>
      <w:r w:rsidR="00963242">
        <w:t>а</w:t>
      </w:r>
      <w:r w:rsidR="00255FAF">
        <w:t>.</w:t>
      </w:r>
    </w:p>
    <w:p w:rsidR="00255FAF" w:rsidRPr="00C05C8D" w:rsidRDefault="00C05C8D" w:rsidP="00C05C8D">
      <w:pPr>
        <w:tabs>
          <w:tab w:val="left" w:pos="851"/>
        </w:tabs>
        <w:jc w:val="both"/>
        <w:rPr>
          <w:b/>
          <w:lang w:bidi="ru-RU"/>
        </w:rPr>
      </w:pPr>
      <w:r>
        <w:rPr>
          <w:rFonts w:eastAsia="Calibri"/>
          <w:iCs/>
          <w:color w:val="000000"/>
        </w:rPr>
        <w:t xml:space="preserve">     </w:t>
      </w:r>
      <w:r w:rsidRPr="00C05C8D">
        <w:rPr>
          <w:rFonts w:eastAsia="Calibri"/>
          <w:iCs/>
          <w:color w:val="000000"/>
        </w:rPr>
        <w:t xml:space="preserve">В целях обеспечения открытости и прозрачности закупок, повышения конкуренции между участниками закупок, а также эффективного расходования бюджетных средств </w:t>
      </w:r>
      <w:r>
        <w:rPr>
          <w:rFonts w:eastAsia="Calibri"/>
          <w:iCs/>
          <w:color w:val="000000"/>
        </w:rPr>
        <w:t>в</w:t>
      </w:r>
      <w:r w:rsidR="00255FAF" w:rsidRPr="00C05C8D">
        <w:t xml:space="preserve"> </w:t>
      </w:r>
      <w:r w:rsidR="00963242">
        <w:t xml:space="preserve">отчетном периоде 2022 года </w:t>
      </w:r>
      <w:r w:rsidR="00963242" w:rsidRPr="00963242">
        <w:rPr>
          <w:b/>
        </w:rPr>
        <w:t>2</w:t>
      </w:r>
      <w:r w:rsidR="00FE73F6" w:rsidRPr="00963242">
        <w:rPr>
          <w:b/>
        </w:rPr>
        <w:t xml:space="preserve"> </w:t>
      </w:r>
      <w:r w:rsidR="00FE73F6" w:rsidRPr="00C05C8D">
        <w:t>(</w:t>
      </w:r>
      <w:r w:rsidR="00963242">
        <w:t>два</w:t>
      </w:r>
      <w:r w:rsidR="00FE73F6" w:rsidRPr="00C05C8D">
        <w:t xml:space="preserve">) </w:t>
      </w:r>
      <w:r w:rsidR="00255FAF" w:rsidRPr="00C05C8D">
        <w:t>городск</w:t>
      </w:r>
      <w:r w:rsidR="00963242">
        <w:t xml:space="preserve">их поселения </w:t>
      </w:r>
      <w:r w:rsidR="00FE73F6" w:rsidRPr="00C05C8D">
        <w:rPr>
          <w:b/>
        </w:rPr>
        <w:t>(</w:t>
      </w:r>
      <w:r w:rsidR="00963242">
        <w:rPr>
          <w:b/>
        </w:rPr>
        <w:t xml:space="preserve"> </w:t>
      </w:r>
      <w:proofErr w:type="spellStart"/>
      <w:r w:rsidR="00FE73F6" w:rsidRPr="00C05C8D">
        <w:rPr>
          <w:b/>
        </w:rPr>
        <w:t>Кузнечнинское</w:t>
      </w:r>
      <w:proofErr w:type="spellEnd"/>
      <w:r w:rsidR="00FE73F6" w:rsidRPr="00FE73F6">
        <w:rPr>
          <w:b/>
        </w:rPr>
        <w:t xml:space="preserve"> городское поселение</w:t>
      </w:r>
      <w:r w:rsidR="00963242">
        <w:rPr>
          <w:b/>
        </w:rPr>
        <w:t xml:space="preserve"> и </w:t>
      </w:r>
      <w:proofErr w:type="spellStart"/>
      <w:r w:rsidR="00963242">
        <w:rPr>
          <w:b/>
        </w:rPr>
        <w:t>Приозерское</w:t>
      </w:r>
      <w:proofErr w:type="spellEnd"/>
      <w:r w:rsidR="00963242">
        <w:rPr>
          <w:b/>
        </w:rPr>
        <w:t xml:space="preserve"> городское поселение</w:t>
      </w:r>
      <w:r w:rsidR="00FE73F6">
        <w:t xml:space="preserve">) </w:t>
      </w:r>
      <w:r w:rsidR="00255FAF" w:rsidRPr="00615A57">
        <w:t xml:space="preserve">и </w:t>
      </w:r>
      <w:r w:rsidR="00A25B28" w:rsidRPr="00A25B28">
        <w:rPr>
          <w:b/>
        </w:rPr>
        <w:t>6</w:t>
      </w:r>
      <w:r w:rsidR="00255FAF" w:rsidRPr="00615A57">
        <w:t xml:space="preserve"> </w:t>
      </w:r>
      <w:r w:rsidR="00FE73F6">
        <w:t>(</w:t>
      </w:r>
      <w:r w:rsidR="00A25B28">
        <w:t>шесть)</w:t>
      </w:r>
      <w:r w:rsidR="00963242">
        <w:t xml:space="preserve"> с</w:t>
      </w:r>
      <w:r w:rsidR="00FE73F6">
        <w:t xml:space="preserve">ельских поселений </w:t>
      </w:r>
      <w:r w:rsidR="00FE73F6" w:rsidRPr="00FE73F6">
        <w:rPr>
          <w:b/>
        </w:rPr>
        <w:t xml:space="preserve">(МО </w:t>
      </w:r>
      <w:r w:rsidR="00963242">
        <w:rPr>
          <w:b/>
        </w:rPr>
        <w:t xml:space="preserve">Сосновское, МО </w:t>
      </w:r>
      <w:proofErr w:type="spellStart"/>
      <w:r w:rsidR="00FE73F6" w:rsidRPr="00FE73F6">
        <w:rPr>
          <w:b/>
        </w:rPr>
        <w:t>Ларионовское</w:t>
      </w:r>
      <w:proofErr w:type="spellEnd"/>
      <w:r w:rsidR="00FE73F6" w:rsidRPr="00FE73F6">
        <w:rPr>
          <w:b/>
        </w:rPr>
        <w:t xml:space="preserve"> сельское поселение, МО </w:t>
      </w:r>
      <w:proofErr w:type="spellStart"/>
      <w:r w:rsidR="00FE73F6" w:rsidRPr="00FE73F6">
        <w:rPr>
          <w:b/>
        </w:rPr>
        <w:t>Севастьяновское</w:t>
      </w:r>
      <w:proofErr w:type="spellEnd"/>
      <w:r w:rsidR="00FE73F6" w:rsidRPr="00FE73F6">
        <w:rPr>
          <w:b/>
        </w:rPr>
        <w:t xml:space="preserve"> сельское поселение</w:t>
      </w:r>
      <w:proofErr w:type="gramStart"/>
      <w:r>
        <w:rPr>
          <w:b/>
        </w:rPr>
        <w:t xml:space="preserve"> </w:t>
      </w:r>
      <w:r w:rsidR="00FE73F6" w:rsidRPr="00FE73F6">
        <w:rPr>
          <w:b/>
        </w:rPr>
        <w:t>,</w:t>
      </w:r>
      <w:proofErr w:type="gramEnd"/>
      <w:r w:rsidR="00FE73F6" w:rsidRPr="00FE73F6">
        <w:rPr>
          <w:b/>
        </w:rPr>
        <w:t xml:space="preserve"> МО </w:t>
      </w:r>
      <w:proofErr w:type="spellStart"/>
      <w:r w:rsidR="00FE73F6" w:rsidRPr="00FE73F6">
        <w:rPr>
          <w:b/>
        </w:rPr>
        <w:t>Плодовское</w:t>
      </w:r>
      <w:proofErr w:type="spellEnd"/>
      <w:r w:rsidR="00FE73F6" w:rsidRPr="00FE73F6">
        <w:rPr>
          <w:b/>
        </w:rPr>
        <w:t xml:space="preserve"> сельское поселение, МО </w:t>
      </w:r>
      <w:proofErr w:type="spellStart"/>
      <w:r w:rsidR="00963242">
        <w:rPr>
          <w:b/>
        </w:rPr>
        <w:t>Красноозерное</w:t>
      </w:r>
      <w:proofErr w:type="spellEnd"/>
      <w:r w:rsidR="00963242">
        <w:rPr>
          <w:b/>
        </w:rPr>
        <w:t xml:space="preserve"> </w:t>
      </w:r>
      <w:r w:rsidR="00FE73F6" w:rsidRPr="00FE73F6">
        <w:rPr>
          <w:b/>
        </w:rPr>
        <w:t>сельское поселение</w:t>
      </w:r>
      <w:r w:rsidR="00FE73F6">
        <w:rPr>
          <w:b/>
        </w:rPr>
        <w:t>)</w:t>
      </w:r>
      <w:r w:rsidR="00C63BA3">
        <w:rPr>
          <w:b/>
        </w:rPr>
        <w:t xml:space="preserve">, МО </w:t>
      </w:r>
      <w:proofErr w:type="spellStart"/>
      <w:r w:rsidR="00C63BA3">
        <w:rPr>
          <w:b/>
        </w:rPr>
        <w:t>Раздольевское</w:t>
      </w:r>
      <w:proofErr w:type="spellEnd"/>
      <w:r w:rsidR="00C63BA3">
        <w:rPr>
          <w:b/>
        </w:rPr>
        <w:t xml:space="preserve"> сельское поселение</w:t>
      </w:r>
      <w:r w:rsidR="00FE73F6">
        <w:rPr>
          <w:b/>
        </w:rPr>
        <w:t xml:space="preserve"> </w:t>
      </w:r>
      <w:r w:rsidR="00255FAF" w:rsidRPr="00615A57">
        <w:rPr>
          <w:lang w:bidi="ru-RU"/>
        </w:rPr>
        <w:t>реализова</w:t>
      </w:r>
      <w:r w:rsidR="00255FAF">
        <w:rPr>
          <w:lang w:bidi="ru-RU"/>
        </w:rPr>
        <w:t>ли</w:t>
      </w:r>
      <w:r w:rsidR="00255FAF" w:rsidRPr="00615A57">
        <w:rPr>
          <w:lang w:bidi="ru-RU"/>
        </w:rPr>
        <w:t xml:space="preserve"> мероприятия по обеспечению муниципальными заказчиками закупок товаров, работ, услуг малого объема через </w:t>
      </w:r>
      <w:r w:rsidR="00255FAF" w:rsidRPr="00C05C8D">
        <w:rPr>
          <w:b/>
          <w:lang w:bidi="ru-RU"/>
        </w:rPr>
        <w:t>Электронный магазин Ленинградской области.</w:t>
      </w:r>
    </w:p>
    <w:p w:rsidR="00255FAF" w:rsidRPr="00FE73F6" w:rsidRDefault="00255FAF" w:rsidP="00255FAF">
      <w:pPr>
        <w:shd w:val="clear" w:color="auto" w:fill="FFFFFF"/>
        <w:tabs>
          <w:tab w:val="left" w:pos="5798"/>
        </w:tabs>
        <w:jc w:val="both"/>
        <w:rPr>
          <w:b/>
        </w:rPr>
      </w:pPr>
      <w:r>
        <w:t xml:space="preserve">       За отчетный период  на электронной площадке  </w:t>
      </w:r>
      <w:r w:rsidR="00E42D25">
        <w:t>для закупок малого объема пров</w:t>
      </w:r>
      <w:r>
        <w:t xml:space="preserve">едено </w:t>
      </w:r>
      <w:r w:rsidR="00A25B28">
        <w:rPr>
          <w:b/>
        </w:rPr>
        <w:t>56</w:t>
      </w:r>
      <w:r w:rsidR="00FE73F6" w:rsidRPr="00FE73F6">
        <w:rPr>
          <w:b/>
        </w:rPr>
        <w:t xml:space="preserve"> </w:t>
      </w:r>
      <w:r w:rsidRPr="00FE73F6">
        <w:rPr>
          <w:b/>
        </w:rPr>
        <w:t xml:space="preserve"> закупок</w:t>
      </w:r>
      <w:r>
        <w:t xml:space="preserve"> малого объема в электронной форме на сумму</w:t>
      </w:r>
      <w:r w:rsidR="00FE73F6">
        <w:t xml:space="preserve"> </w:t>
      </w:r>
      <w:r w:rsidR="00A25B28">
        <w:t xml:space="preserve"> </w:t>
      </w:r>
      <w:r w:rsidR="00A25B28" w:rsidRPr="00A25B28">
        <w:rPr>
          <w:b/>
        </w:rPr>
        <w:t>15 956,7</w:t>
      </w:r>
      <w:r w:rsidR="00FE73F6" w:rsidRPr="00A25B28">
        <w:rPr>
          <w:b/>
        </w:rPr>
        <w:t xml:space="preserve"> тыс</w:t>
      </w:r>
      <w:r w:rsidR="00FE73F6" w:rsidRPr="00FE73F6">
        <w:rPr>
          <w:b/>
        </w:rPr>
        <w:t>. руб</w:t>
      </w:r>
      <w:r w:rsidR="00FE73F6">
        <w:t>.</w:t>
      </w:r>
      <w:r>
        <w:t xml:space="preserve">, по результатам </w:t>
      </w:r>
      <w:proofErr w:type="gramStart"/>
      <w:r>
        <w:t>проведения</w:t>
      </w:r>
      <w:proofErr w:type="gramEnd"/>
      <w:r>
        <w:t xml:space="preserve"> которых, экономия относительно максимальных ценовых предложений </w:t>
      </w:r>
      <w:r w:rsidR="00A25B28">
        <w:t>не образовывалась.</w:t>
      </w:r>
    </w:p>
    <w:p w:rsidR="00255FAF" w:rsidRPr="00E42D25" w:rsidRDefault="00255FAF" w:rsidP="00255FAF">
      <w:pPr>
        <w:shd w:val="clear" w:color="auto" w:fill="FFFFFF"/>
        <w:tabs>
          <w:tab w:val="left" w:pos="5798"/>
        </w:tabs>
        <w:jc w:val="both"/>
      </w:pPr>
      <w:r w:rsidRPr="00E42D25">
        <w:t xml:space="preserve">      Всего было заключено  </w:t>
      </w:r>
      <w:r w:rsidR="00A25B28">
        <w:rPr>
          <w:b/>
        </w:rPr>
        <w:t>56</w:t>
      </w:r>
      <w:r w:rsidR="00FE73F6" w:rsidRPr="00E42D25">
        <w:rPr>
          <w:b/>
        </w:rPr>
        <w:t xml:space="preserve"> </w:t>
      </w:r>
      <w:r w:rsidRPr="00E42D25">
        <w:rPr>
          <w:b/>
        </w:rPr>
        <w:t>контрактов</w:t>
      </w:r>
      <w:r w:rsidRPr="00E42D25">
        <w:t xml:space="preserve">  на общую сумму </w:t>
      </w:r>
      <w:r w:rsidR="00FE73F6" w:rsidRPr="00E42D25">
        <w:rPr>
          <w:b/>
        </w:rPr>
        <w:t>1</w:t>
      </w:r>
      <w:r w:rsidR="00A25B28">
        <w:rPr>
          <w:b/>
        </w:rPr>
        <w:t xml:space="preserve">5 956,7 </w:t>
      </w:r>
      <w:r w:rsidR="00FE73F6" w:rsidRPr="00E42D25">
        <w:rPr>
          <w:b/>
        </w:rPr>
        <w:t>тыс. руб</w:t>
      </w:r>
      <w:r w:rsidR="00FE73F6" w:rsidRPr="00E42D25">
        <w:t>.</w:t>
      </w:r>
      <w:r w:rsidRPr="00E42D25">
        <w:t xml:space="preserve"> в соответствии с п.4 ч.1 статьи 93 Закона №44-ФЗ </w:t>
      </w:r>
      <w:r w:rsidRPr="00E42D25">
        <w:rPr>
          <w:b/>
        </w:rPr>
        <w:t>в электронной форме,</w:t>
      </w:r>
      <w:r w:rsidRPr="00E42D25">
        <w:t xml:space="preserve"> </w:t>
      </w:r>
      <w:r w:rsidRPr="00E42D25">
        <w:rPr>
          <w:lang w:bidi="ru-RU"/>
        </w:rPr>
        <w:t xml:space="preserve">что составляет </w:t>
      </w:r>
      <w:r w:rsidR="00A25B28">
        <w:rPr>
          <w:lang w:bidi="ru-RU"/>
        </w:rPr>
        <w:t>23,8</w:t>
      </w:r>
      <w:r w:rsidRPr="00E42D25">
        <w:rPr>
          <w:lang w:bidi="ru-RU"/>
        </w:rPr>
        <w:t xml:space="preserve">% по количеству и </w:t>
      </w:r>
      <w:r w:rsidR="00A25B28">
        <w:rPr>
          <w:lang w:bidi="ru-RU"/>
        </w:rPr>
        <w:t>1,7</w:t>
      </w:r>
      <w:r w:rsidRPr="00E42D25">
        <w:rPr>
          <w:lang w:bidi="ru-RU"/>
        </w:rPr>
        <w:t>% по сумме от общей стоимости контрактов</w:t>
      </w:r>
    </w:p>
    <w:p w:rsidR="003620C6" w:rsidRDefault="003620C6" w:rsidP="003620C6">
      <w:pPr>
        <w:tabs>
          <w:tab w:val="left" w:pos="851"/>
        </w:tabs>
        <w:ind w:firstLine="426"/>
        <w:jc w:val="both"/>
        <w:rPr>
          <w:noProof/>
        </w:rPr>
      </w:pPr>
      <w:r w:rsidRPr="003A3282">
        <w:rPr>
          <w:noProof/>
        </w:rPr>
        <w:t xml:space="preserve">При осуществлении закупок у единственного поставщика (подрядчика, исполнителя)  не соблюдаются принципы открытости, прозрачности информации о контрактной системе в сфере закупок, обеспечения конкуренции, что создает предпосылки для неэффективного использования бюджетных средств. </w:t>
      </w:r>
    </w:p>
    <w:p w:rsidR="009A26F3" w:rsidRPr="00225764" w:rsidRDefault="009A26F3" w:rsidP="001F6C10">
      <w:pPr>
        <w:tabs>
          <w:tab w:val="left" w:pos="851"/>
        </w:tabs>
        <w:spacing w:line="120" w:lineRule="auto"/>
        <w:ind w:firstLine="425"/>
        <w:jc w:val="both"/>
        <w:rPr>
          <w:noProof/>
        </w:rPr>
      </w:pPr>
    </w:p>
    <w:p w:rsidR="00CC0C52" w:rsidRDefault="00CC0C52" w:rsidP="00A25D32">
      <w:pPr>
        <w:tabs>
          <w:tab w:val="left" w:pos="567"/>
          <w:tab w:val="left" w:pos="1134"/>
        </w:tabs>
        <w:ind w:firstLine="426"/>
        <w:jc w:val="both"/>
        <w:rPr>
          <w:b/>
        </w:rPr>
      </w:pPr>
      <w:r w:rsidRPr="00F31230">
        <w:rPr>
          <w:b/>
        </w:rPr>
        <w:t>Мониторинг закупок товаров, работ, услуг за 2</w:t>
      </w:r>
      <w:r w:rsidR="008B0559">
        <w:rPr>
          <w:b/>
        </w:rPr>
        <w:t>022</w:t>
      </w:r>
      <w:r w:rsidRPr="00F31230">
        <w:rPr>
          <w:b/>
        </w:rPr>
        <w:t xml:space="preserve"> год показал следующие результаты:</w:t>
      </w:r>
    </w:p>
    <w:p w:rsidR="008A1A5A" w:rsidRPr="00F31230" w:rsidRDefault="008A1A5A" w:rsidP="008A1A5A">
      <w:pPr>
        <w:tabs>
          <w:tab w:val="left" w:pos="567"/>
          <w:tab w:val="left" w:pos="1134"/>
        </w:tabs>
        <w:spacing w:line="120" w:lineRule="auto"/>
        <w:ind w:firstLine="425"/>
        <w:jc w:val="both"/>
        <w:rPr>
          <w:b/>
        </w:rPr>
      </w:pPr>
    </w:p>
    <w:p w:rsidR="008B0559" w:rsidRDefault="002741E2" w:rsidP="002741E2">
      <w:pPr>
        <w:pStyle w:val="Pa13"/>
        <w:spacing w:line="240" w:lineRule="auto"/>
        <w:ind w:firstLine="425"/>
        <w:jc w:val="both"/>
        <w:rPr>
          <w:rFonts w:ascii="Times New Roman" w:hAnsi="Times New Roman"/>
          <w:color w:val="000000"/>
        </w:rPr>
      </w:pPr>
      <w:r w:rsidRPr="002741E2">
        <w:rPr>
          <w:rFonts w:ascii="Times New Roman" w:hAnsi="Times New Roman"/>
          <w:b/>
          <w:color w:val="000000"/>
        </w:rPr>
        <w:t>1)</w:t>
      </w:r>
      <w:r>
        <w:rPr>
          <w:rFonts w:ascii="Times New Roman" w:hAnsi="Times New Roman"/>
          <w:color w:val="000000"/>
        </w:rPr>
        <w:t xml:space="preserve"> </w:t>
      </w:r>
      <w:r w:rsidR="008B0559" w:rsidRPr="006C2394">
        <w:rPr>
          <w:rFonts w:ascii="Times New Roman" w:hAnsi="Times New Roman"/>
          <w:b/>
          <w:color w:val="000000"/>
        </w:rPr>
        <w:t>2022 год</w:t>
      </w:r>
      <w:r w:rsidR="008B0559">
        <w:rPr>
          <w:rFonts w:ascii="Times New Roman" w:hAnsi="Times New Roman"/>
          <w:color w:val="000000"/>
        </w:rPr>
        <w:t xml:space="preserve"> стал одним из самых сложных этапов функционирования контрактной системы государственных и муниципальных закупок. Наряду с электронизацией и оптимизацией заказчики и поставщики столкнулись в этом году с последствиями введения санкций и ограничительных мер недружественными государствами в виде роста цен и отсутствия конкуренции среди поставщиков (подрядчиков, исполнителей).</w:t>
      </w:r>
    </w:p>
    <w:p w:rsidR="008B0559" w:rsidRDefault="008B0559" w:rsidP="008B0559">
      <w:pPr>
        <w:ind w:right="140" w:firstLine="426"/>
        <w:jc w:val="both"/>
      </w:pPr>
      <w:r>
        <w:t xml:space="preserve">Введение с 24.02.2022 года мер ограничительного характера иностранными государствами, совершающими недружественные действия в отношении РФ, вызвало дефицит на рынке товаров и материалов, используемых при выполнении работ и оказании услуг, связанных с импортными поставками либо имеющих высокую долю </w:t>
      </w:r>
      <w:r>
        <w:lastRenderedPageBreak/>
        <w:t>комплектующих (сырья) импортного производства, а также повышения цен на товары и материалы. По указанным причинам значительно увеличилась доля закупок, признанных несостоявшимися, которые не привели к заключению контракта, у значительного количества поставщиков возникли трудности при исполнении контрактов.</w:t>
      </w:r>
    </w:p>
    <w:p w:rsidR="008B0559" w:rsidRDefault="008B0559" w:rsidP="008B0559">
      <w:pPr>
        <w:autoSpaceDE w:val="0"/>
        <w:autoSpaceDN w:val="0"/>
        <w:adjustRightInd w:val="0"/>
        <w:jc w:val="both"/>
      </w:pPr>
      <w:r>
        <w:t xml:space="preserve">       Регулирование сферы закупок в 2022 году в связи с изменениями внешних условий функционирования российской экономики, как и  регулирование других отраслей и  сфер, характеризуется в  первую очередь мерами, направленными на противодействие иностранному  </w:t>
      </w:r>
      <w:proofErr w:type="spellStart"/>
      <w:r>
        <w:t>санкционному</w:t>
      </w:r>
      <w:proofErr w:type="spellEnd"/>
      <w:r>
        <w:t xml:space="preserve"> давлению и антикризисную поддержку отраслей экономики. </w:t>
      </w:r>
    </w:p>
    <w:p w:rsidR="008B0559" w:rsidRDefault="008B0559" w:rsidP="008B0559">
      <w:pPr>
        <w:autoSpaceDE w:val="0"/>
        <w:autoSpaceDN w:val="0"/>
        <w:adjustRightInd w:val="0"/>
        <w:jc w:val="both"/>
      </w:pPr>
      <w:r>
        <w:t xml:space="preserve">        Российская экономика, в  целом преодолевшая пандемию, вызванную </w:t>
      </w:r>
      <w:proofErr w:type="spellStart"/>
      <w:r>
        <w:t>коронавирусом</w:t>
      </w:r>
      <w:proofErr w:type="spellEnd"/>
      <w:r>
        <w:t xml:space="preserve"> COVID-19, столкнулась с  беспрецедентным давлением иностранных санкций. Такие условия, образуя новые риски и вызовы, существенно усложнили деятельность заказчиков и поставщиков. </w:t>
      </w:r>
    </w:p>
    <w:p w:rsidR="008B0559" w:rsidRDefault="008B0559" w:rsidP="002741E2">
      <w:pPr>
        <w:pStyle w:val="Pa13"/>
        <w:spacing w:line="240" w:lineRule="auto"/>
        <w:ind w:firstLine="425"/>
        <w:jc w:val="both"/>
      </w:pPr>
      <w:r>
        <w:t>Таким образом, законодательное регулирование и оперативные социально-экономические меры поддержки явились ключевым условием сохранения работоспособности российских компаний, стабилизации и развития экономики в целом</w:t>
      </w:r>
      <w:r w:rsidR="006C2394">
        <w:t>.</w:t>
      </w:r>
    </w:p>
    <w:p w:rsidR="006C2394" w:rsidRPr="00FE2B38" w:rsidRDefault="006C2394" w:rsidP="00FE2B38">
      <w:pPr>
        <w:pStyle w:val="Default"/>
        <w:jc w:val="both"/>
        <w:rPr>
          <w:rFonts w:ascii="Times New Roman" w:hAnsi="Times New Roman" w:cs="Times New Roman"/>
          <w:i/>
        </w:rPr>
      </w:pPr>
      <w:r w:rsidRPr="00FE2B38">
        <w:rPr>
          <w:rFonts w:ascii="Times New Roman" w:hAnsi="Times New Roman" w:cs="Times New Roman"/>
          <w:i/>
        </w:rPr>
        <w:t xml:space="preserve">       В целом представляется, что принятые меры не гарантируют полную защиту заказчико</w:t>
      </w:r>
      <w:r w:rsidR="001C69BE">
        <w:rPr>
          <w:rFonts w:ascii="Times New Roman" w:hAnsi="Times New Roman" w:cs="Times New Roman"/>
          <w:i/>
        </w:rPr>
        <w:t>в</w:t>
      </w:r>
      <w:r w:rsidRPr="00FE2B38">
        <w:rPr>
          <w:rFonts w:ascii="Times New Roman" w:hAnsi="Times New Roman" w:cs="Times New Roman"/>
          <w:i/>
        </w:rPr>
        <w:t xml:space="preserve">  и поставщиков (исполнителей) от всех рисков и вызовов, связанных с новой экономической реальностью, но, </w:t>
      </w:r>
      <w:proofErr w:type="gramStart"/>
      <w:r w:rsidRPr="00FE2B38">
        <w:rPr>
          <w:rFonts w:ascii="Times New Roman" w:hAnsi="Times New Roman" w:cs="Times New Roman"/>
          <w:i/>
        </w:rPr>
        <w:t>представляя значительную  свободу</w:t>
      </w:r>
      <w:proofErr w:type="gramEnd"/>
      <w:r w:rsidRPr="00FE2B38">
        <w:rPr>
          <w:rFonts w:ascii="Times New Roman" w:hAnsi="Times New Roman" w:cs="Times New Roman"/>
          <w:i/>
        </w:rPr>
        <w:t xml:space="preserve"> действий, снимая </w:t>
      </w:r>
      <w:r w:rsidR="00FE2B38" w:rsidRPr="00FE2B38">
        <w:rPr>
          <w:rFonts w:ascii="Times New Roman" w:hAnsi="Times New Roman" w:cs="Times New Roman"/>
          <w:i/>
        </w:rPr>
        <w:t xml:space="preserve"> отдельные ограничения, создают реальную возможность для российской экономики противостоять этим вызовам.</w:t>
      </w:r>
    </w:p>
    <w:p w:rsidR="00BC7300" w:rsidRPr="00610103" w:rsidRDefault="007F22D4" w:rsidP="00BC7300">
      <w:pPr>
        <w:pStyle w:val="ab"/>
        <w:ind w:left="0" w:firstLine="426"/>
        <w:rPr>
          <w:rFonts w:ascii="Times New Roman" w:eastAsia="Calibri" w:hAnsi="Times New Roman" w:cs="Times New Roman"/>
          <w:color w:val="000000"/>
        </w:rPr>
      </w:pPr>
      <w:r w:rsidRPr="00BC7300">
        <w:rPr>
          <w:rFonts w:ascii="Times New Roman" w:hAnsi="Times New Roman" w:cs="Times New Roman"/>
          <w:b/>
          <w:iCs/>
          <w:color w:val="000000"/>
        </w:rPr>
        <w:t>2)</w:t>
      </w:r>
      <w:r w:rsidRPr="00BC7300">
        <w:rPr>
          <w:rFonts w:ascii="Times New Roman" w:hAnsi="Times New Roman" w:cs="Times New Roman"/>
          <w:iCs/>
          <w:color w:val="000000"/>
        </w:rPr>
        <w:t xml:space="preserve"> </w:t>
      </w:r>
      <w:r w:rsidR="00BC7300">
        <w:rPr>
          <w:rFonts w:ascii="Times New Roman" w:eastAsia="Calibri" w:hAnsi="Times New Roman" w:cs="Times New Roman"/>
          <w:lang w:eastAsia="en-US"/>
        </w:rPr>
        <w:t xml:space="preserve">Администрации городских и сельских поселений Приозерского муниципального района  </w:t>
      </w:r>
      <w:r w:rsidR="00BC7300" w:rsidRPr="00610103">
        <w:rPr>
          <w:rFonts w:ascii="Times New Roman" w:eastAsia="Calibri" w:hAnsi="Times New Roman" w:cs="Times New Roman"/>
          <w:lang w:eastAsia="en-US"/>
        </w:rPr>
        <w:t xml:space="preserve">(далее по тексту – </w:t>
      </w:r>
      <w:r w:rsidR="00BC7300" w:rsidRPr="00610103">
        <w:rPr>
          <w:rFonts w:ascii="Times New Roman" w:eastAsia="Calibri" w:hAnsi="Times New Roman" w:cs="Times New Roman"/>
          <w:b/>
          <w:lang w:eastAsia="en-US"/>
        </w:rPr>
        <w:t>Заказчики</w:t>
      </w:r>
      <w:r w:rsidR="00BC7300" w:rsidRPr="00610103">
        <w:rPr>
          <w:rFonts w:ascii="Times New Roman" w:eastAsia="Calibri" w:hAnsi="Times New Roman" w:cs="Times New Roman"/>
          <w:lang w:eastAsia="en-US"/>
        </w:rPr>
        <w:t>), являясь казенными учреждени</w:t>
      </w:r>
      <w:r w:rsidR="00BC7300">
        <w:rPr>
          <w:rFonts w:ascii="Times New Roman" w:eastAsia="Calibri" w:hAnsi="Times New Roman" w:cs="Times New Roman"/>
          <w:lang w:eastAsia="en-US"/>
        </w:rPr>
        <w:t>ями</w:t>
      </w:r>
      <w:r w:rsidR="00BC7300" w:rsidRPr="00610103">
        <w:rPr>
          <w:rFonts w:ascii="Times New Roman" w:eastAsia="Calibri" w:hAnsi="Times New Roman" w:cs="Times New Roman"/>
          <w:lang w:eastAsia="en-US"/>
        </w:rPr>
        <w:t>, осуществля</w:t>
      </w:r>
      <w:r w:rsidR="00BC7300">
        <w:rPr>
          <w:rFonts w:ascii="Times New Roman" w:eastAsia="Calibri" w:hAnsi="Times New Roman" w:cs="Times New Roman"/>
          <w:lang w:eastAsia="en-US"/>
        </w:rPr>
        <w:t>ют</w:t>
      </w:r>
      <w:r w:rsidR="00BC7300" w:rsidRPr="00610103">
        <w:rPr>
          <w:rFonts w:ascii="Times New Roman" w:eastAsia="Calibri" w:hAnsi="Times New Roman" w:cs="Times New Roman"/>
          <w:lang w:eastAsia="en-US"/>
        </w:rPr>
        <w:t xml:space="preserve">   закупочн</w:t>
      </w:r>
      <w:r w:rsidR="00BC7300">
        <w:rPr>
          <w:rFonts w:ascii="Times New Roman" w:eastAsia="Calibri" w:hAnsi="Times New Roman" w:cs="Times New Roman"/>
          <w:lang w:eastAsia="en-US"/>
        </w:rPr>
        <w:t>ую</w:t>
      </w:r>
      <w:r w:rsidR="00BC7300" w:rsidRPr="00610103">
        <w:rPr>
          <w:rFonts w:ascii="Times New Roman" w:eastAsia="Calibri" w:hAnsi="Times New Roman" w:cs="Times New Roman"/>
          <w:lang w:eastAsia="en-US"/>
        </w:rPr>
        <w:t xml:space="preserve"> деятельност</w:t>
      </w:r>
      <w:r w:rsidR="00BC7300">
        <w:rPr>
          <w:rFonts w:ascii="Times New Roman" w:eastAsia="Calibri" w:hAnsi="Times New Roman" w:cs="Times New Roman"/>
          <w:lang w:eastAsia="en-US"/>
        </w:rPr>
        <w:t>ь</w:t>
      </w:r>
      <w:r w:rsidR="00BC7300" w:rsidRPr="00610103">
        <w:rPr>
          <w:rFonts w:ascii="Times New Roman" w:eastAsia="Calibri" w:hAnsi="Times New Roman" w:cs="Times New Roman"/>
          <w:lang w:eastAsia="en-US"/>
        </w:rPr>
        <w:t xml:space="preserve">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№44-ФЗ (далее – Закон № 44-ФЗ).</w:t>
      </w:r>
    </w:p>
    <w:p w:rsidR="00BC7300" w:rsidRDefault="00BC7300" w:rsidP="00BC7300">
      <w:pPr>
        <w:autoSpaceDE w:val="0"/>
        <w:autoSpaceDN w:val="0"/>
        <w:adjustRightInd w:val="0"/>
        <w:jc w:val="both"/>
      </w:pPr>
      <w:r>
        <w:t xml:space="preserve">     </w:t>
      </w:r>
      <w:r w:rsidRPr="00D00DF6">
        <w:t xml:space="preserve"> </w:t>
      </w:r>
      <w:r w:rsidRPr="00D00DF6">
        <w:rPr>
          <w:rFonts w:eastAsia="Calibri"/>
        </w:rPr>
        <w:t>Отчетным периодом является 20</w:t>
      </w:r>
      <w:r>
        <w:rPr>
          <w:rFonts w:eastAsia="Calibri"/>
        </w:rPr>
        <w:t>22</w:t>
      </w:r>
      <w:r w:rsidRPr="00D00DF6">
        <w:rPr>
          <w:rFonts w:eastAsia="Calibri"/>
        </w:rPr>
        <w:t xml:space="preserve"> </w:t>
      </w:r>
      <w:r w:rsidR="001C69BE">
        <w:rPr>
          <w:rFonts w:eastAsia="Calibri"/>
        </w:rPr>
        <w:t xml:space="preserve">год. </w:t>
      </w:r>
      <w:r>
        <w:rPr>
          <w:rFonts w:eastAsia="Calibri"/>
        </w:rPr>
        <w:t xml:space="preserve"> </w:t>
      </w:r>
      <w:r w:rsidRPr="00D00DF6">
        <w:rPr>
          <w:rFonts w:eastAsia="Calibri"/>
        </w:rPr>
        <w:t>Базисным периодом, с которым производится сравнение информации</w:t>
      </w:r>
      <w:r>
        <w:rPr>
          <w:rFonts w:eastAsia="Calibri"/>
        </w:rPr>
        <w:t xml:space="preserve"> </w:t>
      </w:r>
      <w:r w:rsidRPr="00D00DF6">
        <w:rPr>
          <w:rFonts w:eastAsia="Calibri"/>
        </w:rPr>
        <w:t>об осуществлении закупок, является 20</w:t>
      </w:r>
      <w:r>
        <w:rPr>
          <w:rFonts w:eastAsia="Calibri"/>
        </w:rPr>
        <w:t>21</w:t>
      </w:r>
      <w:r w:rsidRPr="00D00DF6">
        <w:rPr>
          <w:rFonts w:eastAsia="Calibri"/>
        </w:rPr>
        <w:t xml:space="preserve"> г</w:t>
      </w:r>
      <w:r w:rsidR="001C69BE">
        <w:rPr>
          <w:rFonts w:eastAsia="Calibri"/>
        </w:rPr>
        <w:t>од.</w:t>
      </w:r>
      <w:r w:rsidRPr="00D00DF6">
        <w:t xml:space="preserve">                 </w:t>
      </w:r>
    </w:p>
    <w:p w:rsidR="00AD1EA2" w:rsidRDefault="00BC7300" w:rsidP="00AD1EA2">
      <w:pPr>
        <w:pStyle w:val="ad"/>
        <w:spacing w:before="0" w:beforeAutospacing="0" w:after="0" w:afterAutospacing="0"/>
        <w:ind w:firstLine="426"/>
        <w:jc w:val="both"/>
        <w:rPr>
          <w:rStyle w:val="af3"/>
          <w:color w:val="000000"/>
        </w:rPr>
      </w:pPr>
      <w:r w:rsidRPr="00BC7300">
        <w:rPr>
          <w:b/>
          <w:iCs/>
          <w:color w:val="000000"/>
        </w:rPr>
        <w:t>3)</w:t>
      </w:r>
      <w:r>
        <w:rPr>
          <w:iCs/>
          <w:color w:val="000000"/>
        </w:rPr>
        <w:t xml:space="preserve"> </w:t>
      </w:r>
      <w:r w:rsidR="00AD1EA2">
        <w:t xml:space="preserve">За информационное обеспечение контрактной системы отвечает Единая информационная система </w:t>
      </w:r>
      <w:r w:rsidR="00AD1EA2" w:rsidRPr="00274A92">
        <w:t>(</w:t>
      </w:r>
      <w:r w:rsidR="00AD1EA2" w:rsidRPr="00274A92">
        <w:rPr>
          <w:rStyle w:val="af"/>
          <w:rFonts w:cs="Times New Roman CYR"/>
          <w:b/>
          <w:bCs/>
          <w:color w:val="auto"/>
          <w:lang w:eastAsia="zh-CN"/>
        </w:rPr>
        <w:t>далее – ЕИС</w:t>
      </w:r>
      <w:r w:rsidR="00AD1EA2" w:rsidRPr="00274A92">
        <w:t>).</w:t>
      </w:r>
      <w:r w:rsidR="00AD1EA2">
        <w:t xml:space="preserve"> Она помогает участникам обмениваться информацией о закупках, размещать заказы</w:t>
      </w:r>
      <w:r w:rsidR="00AD1EA2" w:rsidRPr="001275E7">
        <w:t xml:space="preserve"> на поставку товаров, работ и услуг</w:t>
      </w:r>
      <w:r w:rsidR="00AD1EA2">
        <w:t>:</w:t>
      </w:r>
    </w:p>
    <w:p w:rsidR="00AD1EA2" w:rsidRPr="004E7C20" w:rsidRDefault="00AD1EA2" w:rsidP="00AD1EA2">
      <w:pPr>
        <w:pStyle w:val="ad"/>
        <w:spacing w:before="0" w:beforeAutospacing="0" w:after="0" w:afterAutospacing="0"/>
        <w:ind w:firstLine="426"/>
        <w:jc w:val="both"/>
        <w:rPr>
          <w:b/>
          <w:bCs/>
        </w:rPr>
      </w:pPr>
      <w:r w:rsidRPr="004E7C20">
        <w:rPr>
          <w:b/>
        </w:rPr>
        <w:t>Статья 3</w:t>
      </w:r>
      <w:r w:rsidRPr="004E7C20">
        <w:t xml:space="preserve"> </w:t>
      </w:r>
      <w:r w:rsidRPr="00776110">
        <w:rPr>
          <w:b/>
        </w:rPr>
        <w:t>Закона № 44-ФЗ</w:t>
      </w:r>
      <w:r w:rsidRPr="004E7C20">
        <w:t xml:space="preserve"> определяет Единую информационную систему одновременно и как совокупность информации, которая хранится в базах данных, и как техническое средство, которое служит для формирования, обработки, хранения и использования этих данных. Именно для последнего — использования — и разработан сайт ЕИС</w:t>
      </w:r>
    </w:p>
    <w:p w:rsidR="001D71E9" w:rsidRDefault="00AD1EA2" w:rsidP="007F22D4">
      <w:pPr>
        <w:shd w:val="clear" w:color="auto" w:fill="FFFFFF"/>
        <w:ind w:firstLine="426"/>
        <w:jc w:val="both"/>
        <w:textAlignment w:val="baseline"/>
        <w:rPr>
          <w:iCs/>
          <w:color w:val="000000"/>
        </w:rPr>
      </w:pPr>
      <w:r w:rsidRPr="0035728F">
        <w:rPr>
          <w:b/>
          <w:iCs/>
          <w:color w:val="000000"/>
        </w:rPr>
        <w:t>4)</w:t>
      </w:r>
      <w:r>
        <w:rPr>
          <w:iCs/>
          <w:color w:val="000000"/>
        </w:rPr>
        <w:t xml:space="preserve"> </w:t>
      </w:r>
      <w:r w:rsidR="001D71E9" w:rsidRPr="00403CFA">
        <w:rPr>
          <w:iCs/>
          <w:color w:val="000000"/>
        </w:rPr>
        <w:t xml:space="preserve">В соответствии </w:t>
      </w:r>
      <w:r w:rsidR="001D71E9" w:rsidRPr="001D71E9">
        <w:rPr>
          <w:iCs/>
        </w:rPr>
        <w:t xml:space="preserve">с </w:t>
      </w:r>
      <w:r w:rsidR="001D71E9" w:rsidRPr="001D71E9">
        <w:rPr>
          <w:rStyle w:val="af"/>
          <w:rFonts w:cs="Times New Roman CYR"/>
          <w:b/>
          <w:color w:val="auto"/>
        </w:rPr>
        <w:t>частью 2 статьи 72</w:t>
      </w:r>
      <w:r w:rsidR="001D71E9" w:rsidRPr="001D71E9">
        <w:rPr>
          <w:iCs/>
        </w:rPr>
        <w:t xml:space="preserve"> Бюджет</w:t>
      </w:r>
      <w:r w:rsidR="00BC7300">
        <w:rPr>
          <w:iCs/>
        </w:rPr>
        <w:t>ного Кодекса РФ государственные (муниципальные) контракты</w:t>
      </w:r>
      <w:r w:rsidR="001D71E9" w:rsidRPr="001D71E9">
        <w:rPr>
          <w:iCs/>
        </w:rPr>
        <w:t xml:space="preserve"> заключаются в соответствии</w:t>
      </w:r>
      <w:r w:rsidR="001D71E9" w:rsidRPr="00403CFA">
        <w:rPr>
          <w:iCs/>
          <w:color w:val="000000"/>
        </w:rPr>
        <w:t xml:space="preserve"> с </w:t>
      </w:r>
      <w:r w:rsidR="001D71E9">
        <w:rPr>
          <w:iCs/>
          <w:color w:val="000000"/>
        </w:rPr>
        <w:t>П</w:t>
      </w:r>
      <w:r w:rsidR="001D71E9" w:rsidRPr="00403CFA">
        <w:rPr>
          <w:iCs/>
          <w:color w:val="000000"/>
        </w:rPr>
        <w:t>ланом-графиком закупок товаров, работ, услуг для обеспечения государственных</w:t>
      </w:r>
      <w:r w:rsidR="00BC7300">
        <w:rPr>
          <w:iCs/>
          <w:color w:val="000000"/>
        </w:rPr>
        <w:t xml:space="preserve"> (муниципальных)</w:t>
      </w:r>
      <w:r w:rsidR="001D71E9" w:rsidRPr="00403CFA">
        <w:rPr>
          <w:iCs/>
          <w:color w:val="000000"/>
        </w:rPr>
        <w:t xml:space="preserve"> нужд, сформированным и утвержденным в порядке, установленном Законом о контрактной системе. </w:t>
      </w:r>
    </w:p>
    <w:p w:rsidR="0035728F" w:rsidRDefault="0035728F" w:rsidP="0035728F">
      <w:pPr>
        <w:autoSpaceDE w:val="0"/>
        <w:autoSpaceDN w:val="0"/>
        <w:adjustRightInd w:val="0"/>
        <w:ind w:firstLine="426"/>
        <w:jc w:val="both"/>
        <w:rPr>
          <w:rFonts w:eastAsia="Calibri"/>
        </w:rPr>
      </w:pPr>
      <w:r>
        <w:rPr>
          <w:rFonts w:eastAsia="Calibri"/>
          <w:b/>
          <w:color w:val="000000"/>
        </w:rPr>
        <w:t>5</w:t>
      </w:r>
      <w:r w:rsidR="007F22D4" w:rsidRPr="007F22D4">
        <w:rPr>
          <w:rFonts w:eastAsia="Calibri"/>
          <w:b/>
          <w:color w:val="000000"/>
        </w:rPr>
        <w:t>)</w:t>
      </w:r>
      <w:r w:rsidR="007F22D4">
        <w:rPr>
          <w:rFonts w:eastAsia="Calibri"/>
          <w:color w:val="000000"/>
        </w:rPr>
        <w:t xml:space="preserve"> </w:t>
      </w:r>
      <w:r>
        <w:rPr>
          <w:rFonts w:eastAsia="Calibri"/>
          <w:color w:val="000000"/>
        </w:rPr>
        <w:t xml:space="preserve">Согласно данным ЕИС </w:t>
      </w:r>
      <w:r w:rsidRPr="00DE6A4B">
        <w:rPr>
          <w:rFonts w:eastAsia="Calibri"/>
          <w:b/>
          <w:color w:val="000000"/>
        </w:rPr>
        <w:t xml:space="preserve">в </w:t>
      </w:r>
      <w:r w:rsidRPr="00DE6A4B">
        <w:rPr>
          <w:rFonts w:eastAsia="Calibri"/>
          <w:b/>
        </w:rPr>
        <w:t>20</w:t>
      </w:r>
      <w:r>
        <w:rPr>
          <w:rFonts w:eastAsia="Calibri"/>
          <w:b/>
        </w:rPr>
        <w:t>22</w:t>
      </w:r>
      <w:r w:rsidRPr="00DE6A4B">
        <w:rPr>
          <w:rFonts w:eastAsia="Calibri"/>
          <w:b/>
        </w:rPr>
        <w:t xml:space="preserve"> году</w:t>
      </w:r>
      <w:r w:rsidRPr="00AD79B0">
        <w:rPr>
          <w:rFonts w:eastAsia="Calibri"/>
        </w:rPr>
        <w:t xml:space="preserve"> </w:t>
      </w:r>
      <w:r>
        <w:rPr>
          <w:rFonts w:eastAsia="Calibri"/>
        </w:rPr>
        <w:t xml:space="preserve">всеми  заказчиками размещено </w:t>
      </w:r>
      <w:r w:rsidRPr="00B05080">
        <w:rPr>
          <w:rFonts w:eastAsia="Calibri"/>
          <w:b/>
        </w:rPr>
        <w:t>4</w:t>
      </w:r>
      <w:r>
        <w:rPr>
          <w:rFonts w:eastAsia="Calibri"/>
          <w:b/>
        </w:rPr>
        <w:t>82</w:t>
      </w:r>
      <w:r w:rsidRPr="00B05080">
        <w:rPr>
          <w:rFonts w:eastAsia="Calibri"/>
          <w:b/>
        </w:rPr>
        <w:t xml:space="preserve"> версий</w:t>
      </w:r>
      <w:r>
        <w:rPr>
          <w:rFonts w:eastAsia="Calibri"/>
        </w:rPr>
        <w:t xml:space="preserve"> Планов-графиков на 2022 финансовый год и плановый период 2023 и 2024 годов. За аналогичный период  2022 года заказчиками было размещено меньшее  количество версий –  432. </w:t>
      </w:r>
    </w:p>
    <w:p w:rsidR="0035728F" w:rsidRDefault="0035728F" w:rsidP="0035728F">
      <w:pPr>
        <w:autoSpaceDE w:val="0"/>
        <w:autoSpaceDN w:val="0"/>
        <w:adjustRightInd w:val="0"/>
        <w:ind w:firstLine="425"/>
        <w:jc w:val="both"/>
        <w:rPr>
          <w:rFonts w:eastAsia="Calibri"/>
        </w:rPr>
      </w:pPr>
      <w:r>
        <w:rPr>
          <w:b/>
        </w:rPr>
        <w:t>6</w:t>
      </w:r>
      <w:r w:rsidR="007F22D4" w:rsidRPr="007F22D4">
        <w:rPr>
          <w:b/>
        </w:rPr>
        <w:t>)</w:t>
      </w:r>
      <w:r w:rsidR="007F22D4">
        <w:t xml:space="preserve"> </w:t>
      </w:r>
      <w:r>
        <w:t>В соответствии с планами-графиками о</w:t>
      </w:r>
      <w:r w:rsidRPr="00B05080">
        <w:t xml:space="preserve">бщий объем финансового обеспечения, размещенный </w:t>
      </w:r>
      <w:r>
        <w:t xml:space="preserve">всеми </w:t>
      </w:r>
      <w:r w:rsidRPr="00B05080">
        <w:t>заказчиками в планах-графиках закупок на 20</w:t>
      </w:r>
      <w:r>
        <w:t>22</w:t>
      </w:r>
      <w:r w:rsidRPr="00B05080">
        <w:t xml:space="preserve"> год</w:t>
      </w:r>
      <w:r>
        <w:t xml:space="preserve"> </w:t>
      </w:r>
      <w:r>
        <w:rPr>
          <w:rFonts w:eastAsia="Calibri"/>
        </w:rPr>
        <w:t>и плановый период  2023 и 2024 годов</w:t>
      </w:r>
      <w:r w:rsidRPr="00B05080">
        <w:t>, состав</w:t>
      </w:r>
      <w:r>
        <w:t>ил</w:t>
      </w:r>
      <w:r w:rsidRPr="00B05080">
        <w:t xml:space="preserve"> </w:t>
      </w:r>
      <w:r>
        <w:t xml:space="preserve"> </w:t>
      </w:r>
      <w:r>
        <w:rPr>
          <w:b/>
        </w:rPr>
        <w:t>1 268 756,0 т</w:t>
      </w:r>
      <w:r w:rsidRPr="00B05080">
        <w:rPr>
          <w:b/>
        </w:rPr>
        <w:t>ыс. руб</w:t>
      </w:r>
      <w:r>
        <w:rPr>
          <w:b/>
        </w:rPr>
        <w:t>.</w:t>
      </w:r>
      <w:r>
        <w:rPr>
          <w:rFonts w:eastAsia="Calibri"/>
        </w:rPr>
        <w:t>,</w:t>
      </w:r>
      <w:r w:rsidRPr="00AD79B0">
        <w:rPr>
          <w:rFonts w:eastAsia="Calibri"/>
        </w:rPr>
        <w:t xml:space="preserve"> что на </w:t>
      </w:r>
      <w:r>
        <w:rPr>
          <w:rFonts w:eastAsia="Calibri"/>
        </w:rPr>
        <w:t xml:space="preserve"> </w:t>
      </w:r>
      <w:r>
        <w:rPr>
          <w:rFonts w:eastAsia="Calibri"/>
          <w:b/>
        </w:rPr>
        <w:t>110,9</w:t>
      </w:r>
      <w:r w:rsidRPr="00911A49">
        <w:rPr>
          <w:rFonts w:eastAsia="Calibri"/>
          <w:b/>
          <w:bCs/>
        </w:rPr>
        <w:t>%</w:t>
      </w:r>
      <w:r w:rsidRPr="00AD79B0">
        <w:rPr>
          <w:rFonts w:eastAsia="Calibri"/>
          <w:b/>
          <w:bCs/>
        </w:rPr>
        <w:t xml:space="preserve"> </w:t>
      </w:r>
      <w:r>
        <w:rPr>
          <w:rFonts w:eastAsia="Calibri"/>
        </w:rPr>
        <w:t>больше</w:t>
      </w:r>
      <w:r w:rsidRPr="00AD79B0">
        <w:rPr>
          <w:rFonts w:eastAsia="Calibri"/>
        </w:rPr>
        <w:t>, чем в планах-графиках, размещенных в 20</w:t>
      </w:r>
      <w:r>
        <w:rPr>
          <w:rFonts w:eastAsia="Calibri"/>
        </w:rPr>
        <w:t>21 году</w:t>
      </w:r>
      <w:proofErr w:type="gramStart"/>
      <w:r>
        <w:rPr>
          <w:rFonts w:eastAsia="Calibri"/>
        </w:rPr>
        <w:t xml:space="preserve"> ,</w:t>
      </w:r>
      <w:proofErr w:type="gramEnd"/>
      <w:r>
        <w:rPr>
          <w:rFonts w:eastAsia="Calibri"/>
        </w:rPr>
        <w:t xml:space="preserve"> в абсолютном выражении  рост составил  </w:t>
      </w:r>
      <w:r>
        <w:rPr>
          <w:rFonts w:eastAsia="Calibri"/>
          <w:b/>
        </w:rPr>
        <w:t xml:space="preserve">667 104,3 </w:t>
      </w:r>
      <w:r w:rsidRPr="00911A49">
        <w:rPr>
          <w:rFonts w:eastAsia="Calibri"/>
          <w:b/>
        </w:rPr>
        <w:t>тыс. руб</w:t>
      </w:r>
      <w:r>
        <w:rPr>
          <w:rFonts w:eastAsia="Calibri"/>
        </w:rPr>
        <w:t xml:space="preserve">. (Для сравнения – в 2021 году  </w:t>
      </w:r>
      <w:r>
        <w:t>о</w:t>
      </w:r>
      <w:r w:rsidRPr="00B05080">
        <w:t>бщий объем финансового обеспечения</w:t>
      </w:r>
      <w:r w:rsidRPr="00315045">
        <w:rPr>
          <w:rFonts w:eastAsia="Calibri"/>
          <w:b/>
        </w:rPr>
        <w:t xml:space="preserve"> </w:t>
      </w:r>
      <w:r>
        <w:rPr>
          <w:rFonts w:eastAsia="Calibri"/>
          <w:b/>
        </w:rPr>
        <w:t xml:space="preserve"> </w:t>
      </w:r>
      <w:r w:rsidRPr="002720C9">
        <w:rPr>
          <w:rFonts w:eastAsia="Calibri"/>
        </w:rPr>
        <w:t xml:space="preserve">составлял </w:t>
      </w:r>
      <w:r>
        <w:rPr>
          <w:rFonts w:eastAsia="Calibri"/>
        </w:rPr>
        <w:t xml:space="preserve"> 601 651,7 </w:t>
      </w:r>
      <w:r w:rsidRPr="002720C9">
        <w:rPr>
          <w:rFonts w:eastAsia="Calibri"/>
        </w:rPr>
        <w:t>тыс. руб.)</w:t>
      </w:r>
      <w:proofErr w:type="gramStart"/>
      <w:r>
        <w:rPr>
          <w:rFonts w:eastAsia="Calibri"/>
        </w:rPr>
        <w:t xml:space="preserve"> </w:t>
      </w:r>
      <w:r w:rsidRPr="002720C9">
        <w:rPr>
          <w:rFonts w:eastAsia="Calibri"/>
        </w:rPr>
        <w:t>.</w:t>
      </w:r>
      <w:proofErr w:type="gramEnd"/>
      <w:r w:rsidRPr="002720C9">
        <w:rPr>
          <w:rFonts w:eastAsia="Calibri"/>
        </w:rPr>
        <w:t xml:space="preserve"> </w:t>
      </w:r>
    </w:p>
    <w:p w:rsidR="0035728F" w:rsidRPr="004E5725" w:rsidRDefault="0035728F" w:rsidP="006141A5">
      <w:pPr>
        <w:autoSpaceDE w:val="0"/>
        <w:autoSpaceDN w:val="0"/>
        <w:adjustRightInd w:val="0"/>
        <w:ind w:firstLine="425"/>
        <w:jc w:val="both"/>
        <w:rPr>
          <w:rFonts w:eastAsia="Calibri"/>
          <w:i/>
        </w:rPr>
      </w:pPr>
      <w:r w:rsidRPr="003A45F9">
        <w:rPr>
          <w:rFonts w:eastAsia="Calibri"/>
          <w:i/>
        </w:rPr>
        <w:lastRenderedPageBreak/>
        <w:t xml:space="preserve">Причины значительного  </w:t>
      </w:r>
      <w:r>
        <w:rPr>
          <w:rFonts w:eastAsia="Calibri"/>
          <w:i/>
        </w:rPr>
        <w:t>увеличения</w:t>
      </w:r>
      <w:r w:rsidRPr="003A45F9">
        <w:rPr>
          <w:rFonts w:eastAsia="Calibri"/>
          <w:i/>
        </w:rPr>
        <w:t xml:space="preserve">  стоимостного объема закупок</w:t>
      </w:r>
      <w:r w:rsidR="001C69BE">
        <w:rPr>
          <w:rFonts w:eastAsia="Calibri"/>
          <w:i/>
        </w:rPr>
        <w:t xml:space="preserve"> </w:t>
      </w:r>
      <w:r w:rsidRPr="003A45F9">
        <w:rPr>
          <w:rFonts w:eastAsia="Calibri"/>
          <w:i/>
        </w:rPr>
        <w:t xml:space="preserve"> </w:t>
      </w:r>
      <w:r>
        <w:rPr>
          <w:rFonts w:eastAsia="Calibri"/>
          <w:i/>
        </w:rPr>
        <w:t xml:space="preserve">могут быть </w:t>
      </w:r>
      <w:r w:rsidRPr="003A45F9">
        <w:rPr>
          <w:rFonts w:eastAsia="Calibri"/>
          <w:i/>
        </w:rPr>
        <w:t xml:space="preserve">связаны с началом </w:t>
      </w:r>
      <w:r w:rsidRPr="004E5725">
        <w:rPr>
          <w:i/>
        </w:rPr>
        <w:t>осуществления в 20</w:t>
      </w:r>
      <w:r>
        <w:rPr>
          <w:i/>
        </w:rPr>
        <w:t>22</w:t>
      </w:r>
      <w:r w:rsidRPr="004E5725">
        <w:rPr>
          <w:i/>
        </w:rPr>
        <w:t xml:space="preserve"> года капиталоемких закупок </w:t>
      </w:r>
      <w:r w:rsidRPr="004E5725">
        <w:rPr>
          <w:rFonts w:eastAsia="Calibri"/>
          <w:i/>
          <w:color w:val="000000"/>
        </w:rPr>
        <w:t>в рамках текущей деятельности заказчиков для решения стратегических задач, важнейших вопросов со</w:t>
      </w:r>
      <w:r>
        <w:rPr>
          <w:rFonts w:eastAsia="Calibri"/>
          <w:i/>
          <w:color w:val="000000"/>
        </w:rPr>
        <w:t>циально-экономического развития</w:t>
      </w:r>
      <w:r w:rsidRPr="004E5725">
        <w:rPr>
          <w:i/>
        </w:rPr>
        <w:t>, а  также  с активной фазой реализации национальных и федеральных проектов в предыдущем периоде.</w:t>
      </w:r>
      <w:r w:rsidRPr="004E5725">
        <w:rPr>
          <w:rFonts w:eastAsia="Calibri"/>
          <w:i/>
        </w:rPr>
        <w:t xml:space="preserve"> </w:t>
      </w:r>
    </w:p>
    <w:p w:rsidR="0035728F" w:rsidRPr="007B6267" w:rsidRDefault="0035728F" w:rsidP="0035728F">
      <w:pPr>
        <w:autoSpaceDE w:val="0"/>
        <w:autoSpaceDN w:val="0"/>
        <w:adjustRightInd w:val="0"/>
        <w:ind w:firstLine="426"/>
        <w:jc w:val="both"/>
        <w:rPr>
          <w:rFonts w:eastAsia="Calibri"/>
          <w:b/>
          <w:color w:val="000000"/>
        </w:rPr>
      </w:pPr>
      <w:r>
        <w:rPr>
          <w:rFonts w:eastAsia="Calibri"/>
          <w:b/>
        </w:rPr>
        <w:t>7)</w:t>
      </w:r>
      <w:r w:rsidR="00262121">
        <w:t xml:space="preserve"> </w:t>
      </w:r>
      <w:r w:rsidRPr="007B6267">
        <w:t>За 20</w:t>
      </w:r>
      <w:r>
        <w:t>22</w:t>
      </w:r>
      <w:r w:rsidRPr="007B6267">
        <w:t xml:space="preserve"> год  </w:t>
      </w:r>
      <w:r>
        <w:t>З</w:t>
      </w:r>
      <w:r w:rsidRPr="007B6267">
        <w:t>аказчиками Приозерск</w:t>
      </w:r>
      <w:r>
        <w:t>ого</w:t>
      </w:r>
      <w:r w:rsidRPr="007B6267">
        <w:t xml:space="preserve"> муниципальн</w:t>
      </w:r>
      <w:r>
        <w:t>ого</w:t>
      </w:r>
      <w:r w:rsidRPr="007B6267">
        <w:t xml:space="preserve"> район</w:t>
      </w:r>
      <w:r>
        <w:t>а</w:t>
      </w:r>
      <w:r w:rsidRPr="007B6267">
        <w:t xml:space="preserve"> были внесены изменения в планы-графики закупок  </w:t>
      </w:r>
      <w:r w:rsidRPr="007B6267">
        <w:rPr>
          <w:b/>
        </w:rPr>
        <w:t>4</w:t>
      </w:r>
      <w:r>
        <w:rPr>
          <w:b/>
        </w:rPr>
        <w:t>68</w:t>
      </w:r>
      <w:r w:rsidRPr="007B6267">
        <w:rPr>
          <w:b/>
        </w:rPr>
        <w:t xml:space="preserve"> раз.</w:t>
      </w:r>
    </w:p>
    <w:p w:rsidR="0035728F" w:rsidRDefault="0035728F" w:rsidP="0035728F">
      <w:pPr>
        <w:autoSpaceDE w:val="0"/>
        <w:autoSpaceDN w:val="0"/>
        <w:adjustRightInd w:val="0"/>
        <w:ind w:firstLine="426"/>
        <w:jc w:val="both"/>
        <w:rPr>
          <w:rFonts w:eastAsia="Calibri"/>
          <w:color w:val="000000"/>
        </w:rPr>
      </w:pPr>
      <w:r w:rsidRPr="007B6267">
        <w:rPr>
          <w:rFonts w:eastAsia="Calibri"/>
          <w:color w:val="000000"/>
        </w:rPr>
        <w:t>По сравнению с 20</w:t>
      </w:r>
      <w:r>
        <w:rPr>
          <w:rFonts w:eastAsia="Calibri"/>
          <w:color w:val="000000"/>
        </w:rPr>
        <w:t>21</w:t>
      </w:r>
      <w:r w:rsidRPr="007B6267">
        <w:rPr>
          <w:rFonts w:eastAsia="Calibri"/>
          <w:color w:val="000000"/>
        </w:rPr>
        <w:t xml:space="preserve"> годом количество изменений вносимых в план-график закупок увеличилось на </w:t>
      </w:r>
      <w:r>
        <w:rPr>
          <w:rFonts w:eastAsia="Calibri"/>
          <w:color w:val="000000"/>
        </w:rPr>
        <w:t>15,3</w:t>
      </w:r>
      <w:r w:rsidRPr="007B6267">
        <w:rPr>
          <w:rFonts w:eastAsia="Calibri"/>
          <w:color w:val="000000"/>
        </w:rPr>
        <w:t>%, по сравнению с 20</w:t>
      </w:r>
      <w:r>
        <w:rPr>
          <w:rFonts w:eastAsia="Calibri"/>
          <w:color w:val="000000"/>
        </w:rPr>
        <w:t>20</w:t>
      </w:r>
      <w:r w:rsidRPr="007B6267">
        <w:rPr>
          <w:rFonts w:eastAsia="Calibri"/>
          <w:color w:val="000000"/>
        </w:rPr>
        <w:t xml:space="preserve"> годом </w:t>
      </w:r>
      <w:r>
        <w:rPr>
          <w:rFonts w:eastAsia="Calibri"/>
          <w:color w:val="000000"/>
        </w:rPr>
        <w:t>незначительно увеличилось</w:t>
      </w:r>
      <w:r w:rsidRPr="007B6267">
        <w:rPr>
          <w:rFonts w:eastAsia="Calibri"/>
          <w:color w:val="000000"/>
        </w:rPr>
        <w:t xml:space="preserve">, более чем на </w:t>
      </w:r>
      <w:r>
        <w:rPr>
          <w:rFonts w:eastAsia="Calibri"/>
          <w:color w:val="000000"/>
        </w:rPr>
        <w:t>2,8</w:t>
      </w:r>
      <w:r w:rsidRPr="007B6267">
        <w:rPr>
          <w:rFonts w:eastAsia="Calibri"/>
          <w:color w:val="000000"/>
        </w:rPr>
        <w:t>% (количество изменений вносимых в план-график закупок в 20</w:t>
      </w:r>
      <w:r>
        <w:rPr>
          <w:rFonts w:eastAsia="Calibri"/>
          <w:color w:val="000000"/>
        </w:rPr>
        <w:t>20</w:t>
      </w:r>
      <w:r w:rsidRPr="007B6267">
        <w:rPr>
          <w:rFonts w:eastAsia="Calibri"/>
          <w:color w:val="000000"/>
        </w:rPr>
        <w:t xml:space="preserve"> году </w:t>
      </w:r>
      <w:r>
        <w:rPr>
          <w:rFonts w:eastAsia="Calibri"/>
          <w:color w:val="000000"/>
        </w:rPr>
        <w:t>–</w:t>
      </w:r>
      <w:r w:rsidRPr="007B6267">
        <w:rPr>
          <w:rFonts w:eastAsia="Calibri"/>
          <w:color w:val="000000"/>
        </w:rPr>
        <w:t xml:space="preserve"> </w:t>
      </w:r>
      <w:r>
        <w:rPr>
          <w:rFonts w:eastAsia="Calibri"/>
          <w:color w:val="000000"/>
        </w:rPr>
        <w:t>469; в 2021 году - 418</w:t>
      </w:r>
      <w:r w:rsidRPr="007B6267">
        <w:rPr>
          <w:rFonts w:eastAsia="Calibri"/>
          <w:color w:val="000000"/>
        </w:rPr>
        <w:t xml:space="preserve">) </w:t>
      </w:r>
    </w:p>
    <w:p w:rsidR="00670475" w:rsidRDefault="0035728F" w:rsidP="00670475">
      <w:pPr>
        <w:ind w:firstLine="426"/>
        <w:jc w:val="both"/>
      </w:pPr>
      <w:r>
        <w:rPr>
          <w:b/>
        </w:rPr>
        <w:t>8</w:t>
      </w:r>
      <w:r w:rsidR="002B6EBB" w:rsidRPr="002B6EBB">
        <w:rPr>
          <w:b/>
        </w:rPr>
        <w:t>)</w:t>
      </w:r>
      <w:r w:rsidR="002B6EBB">
        <w:t xml:space="preserve"> </w:t>
      </w:r>
      <w:r w:rsidR="00670475">
        <w:t>Согласно данным ЕИС общее количество позиций в Плане – графике закупках товаров, работ</w:t>
      </w:r>
      <w:proofErr w:type="gramStart"/>
      <w:r w:rsidR="00670475">
        <w:t xml:space="preserve"> ,</w:t>
      </w:r>
      <w:proofErr w:type="gramEnd"/>
      <w:r w:rsidR="00670475">
        <w:t xml:space="preserve"> услуг, которые планировалось осуществить  Заказчиками в 2022 году, составило   </w:t>
      </w:r>
      <w:r w:rsidR="00670475" w:rsidRPr="00943F76">
        <w:rPr>
          <w:b/>
        </w:rPr>
        <w:t>2</w:t>
      </w:r>
      <w:r w:rsidR="00670475">
        <w:rPr>
          <w:b/>
        </w:rPr>
        <w:t>6</w:t>
      </w:r>
      <w:r w:rsidR="00670475" w:rsidRPr="00943F76">
        <w:rPr>
          <w:b/>
        </w:rPr>
        <w:t>8</w:t>
      </w:r>
      <w:r w:rsidR="00670475" w:rsidRPr="00544DEF">
        <w:rPr>
          <w:b/>
        </w:rPr>
        <w:t xml:space="preserve"> </w:t>
      </w:r>
      <w:r w:rsidR="00670475">
        <w:rPr>
          <w:b/>
        </w:rPr>
        <w:t xml:space="preserve"> </w:t>
      </w:r>
      <w:r w:rsidR="00670475" w:rsidRPr="00544DEF">
        <w:rPr>
          <w:b/>
        </w:rPr>
        <w:t>п</w:t>
      </w:r>
      <w:r w:rsidR="00670475" w:rsidRPr="009A34F2">
        <w:rPr>
          <w:b/>
        </w:rPr>
        <w:t>озици</w:t>
      </w:r>
      <w:r w:rsidR="00670475">
        <w:rPr>
          <w:b/>
        </w:rPr>
        <w:t>й</w:t>
      </w:r>
      <w:r w:rsidR="00670475">
        <w:t xml:space="preserve">  общим объемом  </w:t>
      </w:r>
      <w:r w:rsidR="00670475">
        <w:rPr>
          <w:b/>
        </w:rPr>
        <w:t>1</w:t>
      </w:r>
      <w:r w:rsidR="001C69BE">
        <w:rPr>
          <w:b/>
        </w:rPr>
        <w:t> </w:t>
      </w:r>
      <w:r w:rsidR="00670475">
        <w:rPr>
          <w:b/>
        </w:rPr>
        <w:t>197</w:t>
      </w:r>
      <w:r w:rsidR="001C69BE">
        <w:rPr>
          <w:b/>
        </w:rPr>
        <w:t> 423,5 т</w:t>
      </w:r>
      <w:r w:rsidR="00670475" w:rsidRPr="00943F76">
        <w:rPr>
          <w:b/>
        </w:rPr>
        <w:t>ыс</w:t>
      </w:r>
      <w:r w:rsidR="00670475" w:rsidRPr="009A34F2">
        <w:rPr>
          <w:b/>
        </w:rPr>
        <w:t>.</w:t>
      </w:r>
      <w:r w:rsidR="00670475" w:rsidRPr="0065437E">
        <w:rPr>
          <w:b/>
        </w:rPr>
        <w:t xml:space="preserve"> руб</w:t>
      </w:r>
      <w:r w:rsidR="00670475" w:rsidRPr="001E000D">
        <w:rPr>
          <w:b/>
        </w:rPr>
        <w:t>.</w:t>
      </w:r>
    </w:p>
    <w:p w:rsidR="00670475" w:rsidRDefault="00670475" w:rsidP="00670475">
      <w:pPr>
        <w:ind w:firstLine="426"/>
        <w:jc w:val="both"/>
        <w:rPr>
          <w:rFonts w:eastAsia="Calibri"/>
          <w:color w:val="000000"/>
        </w:rPr>
      </w:pPr>
      <w:r w:rsidRPr="00B4470C">
        <w:rPr>
          <w:rFonts w:eastAsia="Calibri"/>
          <w:color w:val="000000"/>
        </w:rPr>
        <w:t xml:space="preserve">За аналогичный период </w:t>
      </w:r>
      <w:r>
        <w:rPr>
          <w:rFonts w:eastAsia="Calibri"/>
          <w:color w:val="000000"/>
        </w:rPr>
        <w:t xml:space="preserve"> </w:t>
      </w:r>
      <w:r w:rsidRPr="00B4470C">
        <w:rPr>
          <w:rFonts w:eastAsia="Calibri"/>
          <w:color w:val="000000"/>
        </w:rPr>
        <w:t>20</w:t>
      </w:r>
      <w:r>
        <w:rPr>
          <w:rFonts w:eastAsia="Calibri"/>
          <w:color w:val="000000"/>
        </w:rPr>
        <w:t>21</w:t>
      </w:r>
      <w:r w:rsidRPr="00B4470C">
        <w:rPr>
          <w:rFonts w:eastAsia="Calibri"/>
          <w:color w:val="000000"/>
        </w:rPr>
        <w:t xml:space="preserve"> года </w:t>
      </w:r>
      <w:r>
        <w:rPr>
          <w:rFonts w:eastAsia="Calibri"/>
          <w:color w:val="000000"/>
        </w:rPr>
        <w:t xml:space="preserve"> З</w:t>
      </w:r>
      <w:r w:rsidRPr="00B4470C">
        <w:rPr>
          <w:rFonts w:eastAsia="Calibri"/>
          <w:color w:val="000000"/>
        </w:rPr>
        <w:t xml:space="preserve">аказчиками было размещено </w:t>
      </w:r>
      <w:r>
        <w:rPr>
          <w:rFonts w:eastAsia="Calibri"/>
          <w:color w:val="000000"/>
        </w:rPr>
        <w:t xml:space="preserve"> меньшее</w:t>
      </w:r>
      <w:r w:rsidRPr="00B4470C">
        <w:rPr>
          <w:rFonts w:eastAsia="Calibri"/>
          <w:color w:val="000000"/>
        </w:rPr>
        <w:t xml:space="preserve"> количество позиций в планах-графика</w:t>
      </w:r>
      <w:r>
        <w:rPr>
          <w:rFonts w:eastAsia="Calibri"/>
          <w:color w:val="000000"/>
        </w:rPr>
        <w:t>х</w:t>
      </w:r>
      <w:r w:rsidRPr="00B4470C">
        <w:rPr>
          <w:rFonts w:eastAsia="Calibri"/>
          <w:color w:val="000000"/>
        </w:rPr>
        <w:t xml:space="preserve"> –</w:t>
      </w:r>
      <w:r>
        <w:rPr>
          <w:rFonts w:eastAsia="Calibri"/>
          <w:color w:val="000000"/>
        </w:rPr>
        <w:t xml:space="preserve">238 позиций общим </w:t>
      </w:r>
      <w:r w:rsidRPr="00943F76">
        <w:rPr>
          <w:rFonts w:eastAsia="Calibri"/>
          <w:color w:val="000000"/>
        </w:rPr>
        <w:t xml:space="preserve">объемом </w:t>
      </w:r>
      <w:r>
        <w:rPr>
          <w:rFonts w:eastAsia="Calibri"/>
          <w:color w:val="000000"/>
        </w:rPr>
        <w:t>525 040,0</w:t>
      </w:r>
      <w:r w:rsidRPr="00943F76">
        <w:t xml:space="preserve"> тыс. руб</w:t>
      </w:r>
      <w:r w:rsidRPr="00943F76">
        <w:rPr>
          <w:rFonts w:eastAsia="Calibri"/>
          <w:color w:val="000000"/>
        </w:rPr>
        <w:t>.</w:t>
      </w:r>
    </w:p>
    <w:p w:rsidR="00670475" w:rsidRDefault="00670475" w:rsidP="00A760F3">
      <w:pPr>
        <w:ind w:firstLine="425"/>
        <w:jc w:val="both"/>
      </w:pPr>
      <w:r>
        <w:rPr>
          <w:rFonts w:eastAsia="Calibri"/>
          <w:b/>
          <w:color w:val="000000"/>
        </w:rPr>
        <w:t>9</w:t>
      </w:r>
      <w:r w:rsidR="004E4FEF" w:rsidRPr="004E4FEF">
        <w:rPr>
          <w:rFonts w:eastAsia="Calibri"/>
          <w:b/>
          <w:color w:val="000000"/>
        </w:rPr>
        <w:t>)</w:t>
      </w:r>
      <w:r w:rsidR="004E4FEF">
        <w:rPr>
          <w:rFonts w:eastAsia="Calibri"/>
          <w:color w:val="000000"/>
        </w:rPr>
        <w:t xml:space="preserve"> </w:t>
      </w:r>
      <w:r>
        <w:t>Традиционно наибольшее количество позиций планов – графиков и наибольший стоимостный объем НМЦК позиций планов – графиков, как и в аналогичном периоде 2021 года пришлись на закупки, планируемые заказчиками путем проведения:</w:t>
      </w:r>
    </w:p>
    <w:p w:rsidR="00670475" w:rsidRPr="00274A92" w:rsidRDefault="00670475" w:rsidP="00A760F3">
      <w:pPr>
        <w:numPr>
          <w:ilvl w:val="0"/>
          <w:numId w:val="3"/>
        </w:numPr>
        <w:autoSpaceDE w:val="0"/>
        <w:autoSpaceDN w:val="0"/>
        <w:adjustRightInd w:val="0"/>
        <w:ind w:left="0" w:firstLine="425"/>
        <w:jc w:val="both"/>
        <w:rPr>
          <w:rFonts w:eastAsia="Calibri"/>
        </w:rPr>
      </w:pPr>
      <w:r w:rsidRPr="00274A92">
        <w:rPr>
          <w:rStyle w:val="af"/>
          <w:rFonts w:cs="Times New Roman CYR"/>
          <w:b/>
          <w:color w:val="auto"/>
        </w:rPr>
        <w:t>Электронного аукциона</w:t>
      </w:r>
      <w:r w:rsidRPr="00274A92">
        <w:rPr>
          <w:rFonts w:eastAsia="Calibri"/>
        </w:rPr>
        <w:t xml:space="preserve"> – </w:t>
      </w:r>
      <w:r>
        <w:rPr>
          <w:rFonts w:eastAsia="Calibri"/>
          <w:b/>
        </w:rPr>
        <w:t>59,3%</w:t>
      </w:r>
      <w:r w:rsidRPr="00274A92">
        <w:rPr>
          <w:rFonts w:eastAsia="Calibri"/>
          <w:b/>
          <w:bCs/>
        </w:rPr>
        <w:t xml:space="preserve"> </w:t>
      </w:r>
      <w:r w:rsidRPr="00274A92">
        <w:rPr>
          <w:rFonts w:eastAsia="Calibri"/>
        </w:rPr>
        <w:t>(1</w:t>
      </w:r>
      <w:r>
        <w:rPr>
          <w:rFonts w:eastAsia="Calibri"/>
        </w:rPr>
        <w:t xml:space="preserve">59 </w:t>
      </w:r>
      <w:r w:rsidRPr="00274A92">
        <w:rPr>
          <w:rFonts w:eastAsia="Calibri"/>
        </w:rPr>
        <w:t xml:space="preserve">позиций планов-графиков) от общего количества позиций планов-графиков и </w:t>
      </w:r>
      <w:r w:rsidRPr="00804156">
        <w:rPr>
          <w:rFonts w:eastAsia="Calibri"/>
          <w:b/>
        </w:rPr>
        <w:t>4</w:t>
      </w:r>
      <w:r w:rsidR="00F006E5">
        <w:rPr>
          <w:rFonts w:eastAsia="Calibri"/>
          <w:b/>
        </w:rPr>
        <w:t>4,8</w:t>
      </w:r>
      <w:r w:rsidRPr="00804156">
        <w:rPr>
          <w:rFonts w:eastAsia="Calibri"/>
          <w:b/>
          <w:bCs/>
        </w:rPr>
        <w:t>%</w:t>
      </w:r>
      <w:r w:rsidRPr="00274A92">
        <w:rPr>
          <w:rFonts w:eastAsia="Calibri"/>
          <w:b/>
          <w:bCs/>
        </w:rPr>
        <w:t xml:space="preserve"> </w:t>
      </w:r>
      <w:r w:rsidRPr="00274A92">
        <w:rPr>
          <w:rFonts w:eastAsia="Calibri"/>
        </w:rPr>
        <w:t>(</w:t>
      </w:r>
      <w:r>
        <w:rPr>
          <w:rFonts w:eastAsia="Calibri"/>
        </w:rPr>
        <w:t>53</w:t>
      </w:r>
      <w:r w:rsidR="00F006E5">
        <w:rPr>
          <w:rFonts w:eastAsia="Calibri"/>
        </w:rPr>
        <w:t>6</w:t>
      </w:r>
      <w:r>
        <w:rPr>
          <w:rFonts w:eastAsia="Calibri"/>
        </w:rPr>
        <w:t> 698,7</w:t>
      </w:r>
      <w:r w:rsidRPr="00274A92">
        <w:rPr>
          <w:rFonts w:eastAsia="Calibri"/>
        </w:rPr>
        <w:t xml:space="preserve"> тыс. руб.) от общего объема НМЦК; </w:t>
      </w:r>
    </w:p>
    <w:p w:rsidR="00670475" w:rsidRPr="00274A92" w:rsidRDefault="00670475" w:rsidP="00670475">
      <w:pPr>
        <w:numPr>
          <w:ilvl w:val="0"/>
          <w:numId w:val="3"/>
        </w:numPr>
        <w:autoSpaceDE w:val="0"/>
        <w:autoSpaceDN w:val="0"/>
        <w:adjustRightInd w:val="0"/>
        <w:ind w:left="0" w:firstLine="425"/>
        <w:jc w:val="both"/>
        <w:rPr>
          <w:rFonts w:eastAsia="Calibri"/>
        </w:rPr>
      </w:pPr>
      <w:r w:rsidRPr="00274A92">
        <w:rPr>
          <w:rFonts w:eastAsia="Calibri"/>
        </w:rPr>
        <w:t xml:space="preserve"> </w:t>
      </w:r>
      <w:r w:rsidRPr="00274A92">
        <w:rPr>
          <w:rStyle w:val="af"/>
          <w:rFonts w:cs="Times New Roman CYR"/>
          <w:b/>
          <w:color w:val="auto"/>
        </w:rPr>
        <w:t>Закупки у единственного поставщика</w:t>
      </w:r>
      <w:r w:rsidRPr="00274A92">
        <w:rPr>
          <w:rFonts w:eastAsia="Calibri"/>
        </w:rPr>
        <w:t xml:space="preserve"> (исполнителя, подрядчика) – </w:t>
      </w:r>
      <w:r>
        <w:rPr>
          <w:rFonts w:eastAsia="Calibri"/>
          <w:b/>
        </w:rPr>
        <w:t>32,5</w:t>
      </w:r>
      <w:r w:rsidRPr="00274A92">
        <w:rPr>
          <w:rFonts w:eastAsia="Calibri"/>
          <w:b/>
          <w:bCs/>
        </w:rPr>
        <w:t xml:space="preserve">% </w:t>
      </w:r>
      <w:r w:rsidRPr="00274A92">
        <w:rPr>
          <w:rFonts w:eastAsia="Calibri"/>
        </w:rPr>
        <w:t>(</w:t>
      </w:r>
      <w:r>
        <w:rPr>
          <w:rFonts w:eastAsia="Calibri"/>
        </w:rPr>
        <w:t>87</w:t>
      </w:r>
      <w:r w:rsidRPr="00274A92">
        <w:rPr>
          <w:rFonts w:eastAsia="Calibri"/>
        </w:rPr>
        <w:t xml:space="preserve"> позиций планов-графиков) от общего количества позиций планов-графиков и </w:t>
      </w:r>
      <w:r>
        <w:rPr>
          <w:rFonts w:eastAsia="Calibri"/>
          <w:b/>
        </w:rPr>
        <w:t>29,8</w:t>
      </w:r>
      <w:r w:rsidRPr="00274A92">
        <w:rPr>
          <w:rFonts w:eastAsia="Calibri"/>
          <w:b/>
          <w:bCs/>
        </w:rPr>
        <w:t xml:space="preserve">% </w:t>
      </w:r>
      <w:r w:rsidRPr="00274A92">
        <w:rPr>
          <w:rFonts w:eastAsia="Calibri"/>
        </w:rPr>
        <w:t>(</w:t>
      </w:r>
      <w:r>
        <w:rPr>
          <w:rFonts w:eastAsia="Calibri"/>
        </w:rPr>
        <w:t>356 463,4</w:t>
      </w:r>
      <w:r w:rsidRPr="00274A92">
        <w:rPr>
          <w:rFonts w:eastAsia="Calibri"/>
        </w:rPr>
        <w:t xml:space="preserve"> тыс. руб.) от общего объема НМЦК. </w:t>
      </w:r>
    </w:p>
    <w:p w:rsidR="00670475" w:rsidRDefault="00670475" w:rsidP="00670475">
      <w:pPr>
        <w:spacing w:line="264" w:lineRule="auto"/>
        <w:jc w:val="both"/>
        <w:rPr>
          <w:i/>
        </w:rPr>
      </w:pPr>
      <w:r w:rsidRPr="00274A92">
        <w:t xml:space="preserve">      </w:t>
      </w:r>
      <w:r w:rsidRPr="002255E1">
        <w:rPr>
          <w:i/>
        </w:rPr>
        <w:t>Как уже отмечалось, применение заказчиками электронных аукционов обусловлено минимизацией временных и материальных затрат, что в сравнении с другими процедурами, делает их наиболее привлекательными как для заказчиков, так и для поставщиков (подрядчиков, исполнителей).</w:t>
      </w:r>
    </w:p>
    <w:p w:rsidR="00670475" w:rsidRDefault="00670475" w:rsidP="00670475">
      <w:pPr>
        <w:shd w:val="clear" w:color="auto" w:fill="FFFFFF"/>
        <w:ind w:firstLine="425"/>
        <w:jc w:val="both"/>
      </w:pPr>
      <w:r>
        <w:rPr>
          <w:b/>
          <w:noProof/>
        </w:rPr>
        <w:t>10</w:t>
      </w:r>
      <w:r w:rsidR="004E4FEF" w:rsidRPr="004E4FEF">
        <w:rPr>
          <w:b/>
          <w:noProof/>
        </w:rPr>
        <w:t xml:space="preserve">) </w:t>
      </w:r>
      <w:r w:rsidRPr="00274A92">
        <w:t xml:space="preserve">В </w:t>
      </w:r>
      <w:r>
        <w:t>Е</w:t>
      </w:r>
      <w:r w:rsidRPr="00274A92">
        <w:t>диной информационной системе в сфере закупок (ЕИС) в случаях, предусмотренных Законом № 44-ФЗ</w:t>
      </w:r>
      <w:proofErr w:type="gramStart"/>
      <w:r>
        <w:t xml:space="preserve"> </w:t>
      </w:r>
      <w:r w:rsidRPr="00274A92">
        <w:t>,</w:t>
      </w:r>
      <w:proofErr w:type="gramEnd"/>
      <w:r w:rsidRPr="00274A92">
        <w:t xml:space="preserve"> </w:t>
      </w:r>
      <w:r w:rsidRPr="00274A92">
        <w:rPr>
          <w:rFonts w:cs="Times New Roman,Bold"/>
          <w:bCs/>
          <w:szCs w:val="32"/>
        </w:rPr>
        <w:t xml:space="preserve">поселениями </w:t>
      </w:r>
      <w:r>
        <w:rPr>
          <w:rFonts w:cs="Times New Roman,Bold"/>
          <w:bCs/>
          <w:szCs w:val="32"/>
        </w:rPr>
        <w:t xml:space="preserve"> </w:t>
      </w:r>
      <w:r w:rsidRPr="00274A92">
        <w:rPr>
          <w:rFonts w:cs="Times New Roman,Bold"/>
          <w:bCs/>
          <w:szCs w:val="32"/>
        </w:rPr>
        <w:t>П</w:t>
      </w:r>
      <w:r w:rsidRPr="00274A92">
        <w:t xml:space="preserve">риозерского </w:t>
      </w:r>
      <w:r>
        <w:t xml:space="preserve">муниципального </w:t>
      </w:r>
      <w:r w:rsidRPr="00274A92">
        <w:t xml:space="preserve">района в </w:t>
      </w:r>
      <w:r>
        <w:t xml:space="preserve"> </w:t>
      </w:r>
      <w:r w:rsidRPr="00482429">
        <w:rPr>
          <w:b/>
        </w:rPr>
        <w:t>2022 году</w:t>
      </w:r>
      <w:r w:rsidRPr="00274A92">
        <w:t xml:space="preserve"> размещено   </w:t>
      </w:r>
      <w:r w:rsidRPr="00274A92">
        <w:rPr>
          <w:b/>
        </w:rPr>
        <w:t>1</w:t>
      </w:r>
      <w:r>
        <w:rPr>
          <w:b/>
        </w:rPr>
        <w:t>67</w:t>
      </w:r>
      <w:r w:rsidRPr="00274A92">
        <w:rPr>
          <w:b/>
        </w:rPr>
        <w:t xml:space="preserve"> извещений</w:t>
      </w:r>
      <w:r w:rsidRPr="00274A92">
        <w:t xml:space="preserve"> </w:t>
      </w:r>
      <w:r>
        <w:t xml:space="preserve"> </w:t>
      </w:r>
      <w:r w:rsidRPr="00274A92">
        <w:t xml:space="preserve">о проведении закупочных процедур определения поставщика (подрядчика, исполнителя) с целью заключения контрактов путем проведения конкурентных способов проведения закупок  с общим суммарным значением начальных (максимальных) цен контрактов </w:t>
      </w:r>
      <w:r>
        <w:t>–</w:t>
      </w:r>
      <w:r w:rsidRPr="00274A92">
        <w:t xml:space="preserve"> </w:t>
      </w:r>
      <w:r>
        <w:rPr>
          <w:b/>
        </w:rPr>
        <w:t>652 605,3</w:t>
      </w:r>
      <w:r w:rsidRPr="00274A92">
        <w:rPr>
          <w:b/>
        </w:rPr>
        <w:t xml:space="preserve"> тыс. руб.,</w:t>
      </w:r>
      <w:r w:rsidRPr="00274A92">
        <w:t xml:space="preserve"> запланированных в планах - графиках закупок на 20</w:t>
      </w:r>
      <w:r>
        <w:t>22</w:t>
      </w:r>
      <w:r w:rsidRPr="00274A92">
        <w:t xml:space="preserve"> год, </w:t>
      </w:r>
      <w:r>
        <w:t xml:space="preserve">что на </w:t>
      </w:r>
      <w:r>
        <w:rPr>
          <w:b/>
        </w:rPr>
        <w:t>16,0</w:t>
      </w:r>
      <w:r w:rsidRPr="00930614">
        <w:rPr>
          <w:b/>
        </w:rPr>
        <w:t>%</w:t>
      </w:r>
      <w:r>
        <w:t xml:space="preserve"> в количественном и на </w:t>
      </w:r>
      <w:r>
        <w:rPr>
          <w:b/>
        </w:rPr>
        <w:t>102,7%</w:t>
      </w:r>
      <w:r>
        <w:t xml:space="preserve"> в стоимостном выражении больше чем в 2021 году (144 извещений общим стоимостным объемом – 321 886,1 тыс. руб.)</w:t>
      </w:r>
    </w:p>
    <w:p w:rsidR="00670475" w:rsidRPr="00274A92" w:rsidRDefault="00670475" w:rsidP="00670475">
      <w:pPr>
        <w:shd w:val="clear" w:color="auto" w:fill="FFFFFF"/>
        <w:spacing w:line="264" w:lineRule="auto"/>
        <w:ind w:firstLine="426"/>
        <w:jc w:val="both"/>
      </w:pPr>
      <w:r>
        <w:t>И</w:t>
      </w:r>
      <w:r w:rsidRPr="00274A92">
        <w:t>з них:</w:t>
      </w:r>
    </w:p>
    <w:p w:rsidR="00670475" w:rsidRPr="00274A92" w:rsidRDefault="00670475" w:rsidP="00670475">
      <w:pPr>
        <w:numPr>
          <w:ilvl w:val="0"/>
          <w:numId w:val="10"/>
        </w:numPr>
        <w:shd w:val="clear" w:color="auto" w:fill="FFFFFF"/>
        <w:ind w:left="0" w:firstLine="425"/>
        <w:jc w:val="both"/>
      </w:pPr>
      <w:r>
        <w:rPr>
          <w:b/>
        </w:rPr>
        <w:t>89,2</w:t>
      </w:r>
      <w:r w:rsidRPr="00274A92">
        <w:rPr>
          <w:b/>
        </w:rPr>
        <w:t xml:space="preserve">% </w:t>
      </w:r>
      <w:r w:rsidRPr="00274A92">
        <w:t xml:space="preserve">извещений  </w:t>
      </w:r>
      <w:r>
        <w:t xml:space="preserve">(149 ед.) </w:t>
      </w:r>
      <w:r w:rsidRPr="00274A92">
        <w:rPr>
          <w:b/>
        </w:rPr>
        <w:t>привели</w:t>
      </w:r>
      <w:r w:rsidRPr="00274A92">
        <w:t xml:space="preserve"> к заключению контрактов, в том числе:</w:t>
      </w:r>
    </w:p>
    <w:p w:rsidR="00670475" w:rsidRPr="00274A92" w:rsidRDefault="00670475" w:rsidP="00670475">
      <w:pPr>
        <w:shd w:val="clear" w:color="auto" w:fill="FFFFFF"/>
        <w:ind w:firstLine="425"/>
        <w:jc w:val="both"/>
      </w:pPr>
      <w:r>
        <w:rPr>
          <w:b/>
        </w:rPr>
        <w:t>-  67,8</w:t>
      </w:r>
      <w:r w:rsidRPr="00274A92">
        <w:rPr>
          <w:b/>
        </w:rPr>
        <w:t xml:space="preserve">% </w:t>
      </w:r>
      <w:r w:rsidRPr="00991575">
        <w:t>(101 ед.)</w:t>
      </w:r>
      <w:r>
        <w:rPr>
          <w:b/>
        </w:rPr>
        <w:t xml:space="preserve"> </w:t>
      </w:r>
      <w:r w:rsidRPr="00274A92">
        <w:t>извещений</w:t>
      </w:r>
      <w:r w:rsidRPr="00274A92">
        <w:rPr>
          <w:b/>
        </w:rPr>
        <w:t xml:space="preserve"> - </w:t>
      </w:r>
      <w:r w:rsidRPr="00274A92">
        <w:t xml:space="preserve">с единственным поставщиком в связи с признанием конкурентных закупок </w:t>
      </w:r>
      <w:proofErr w:type="gramStart"/>
      <w:r w:rsidRPr="00274A92">
        <w:t>несостоявшимися</w:t>
      </w:r>
      <w:proofErr w:type="gramEnd"/>
      <w:r w:rsidRPr="00274A92">
        <w:t>;</w:t>
      </w:r>
    </w:p>
    <w:p w:rsidR="00670475" w:rsidRPr="00274A92" w:rsidRDefault="00670475" w:rsidP="00670475">
      <w:pPr>
        <w:numPr>
          <w:ilvl w:val="0"/>
          <w:numId w:val="11"/>
        </w:numPr>
        <w:shd w:val="clear" w:color="auto" w:fill="FFFFFF"/>
        <w:ind w:left="0" w:firstLine="425"/>
        <w:jc w:val="both"/>
      </w:pPr>
      <w:r>
        <w:rPr>
          <w:b/>
        </w:rPr>
        <w:t>9,0</w:t>
      </w:r>
      <w:r w:rsidRPr="00274A92">
        <w:rPr>
          <w:b/>
        </w:rPr>
        <w:t xml:space="preserve">% </w:t>
      </w:r>
      <w:r w:rsidRPr="00991575">
        <w:t>(15 ед.)</w:t>
      </w:r>
      <w:r>
        <w:rPr>
          <w:b/>
        </w:rPr>
        <w:t xml:space="preserve"> </w:t>
      </w:r>
      <w:r w:rsidRPr="00274A92">
        <w:t xml:space="preserve">извещений </w:t>
      </w:r>
      <w:r w:rsidRPr="00274A92">
        <w:rPr>
          <w:b/>
        </w:rPr>
        <w:t>не привели</w:t>
      </w:r>
      <w:r w:rsidRPr="00274A92">
        <w:t xml:space="preserve"> к заключению контрактов в связи с признанием конкурентных закупок </w:t>
      </w:r>
      <w:proofErr w:type="gramStart"/>
      <w:r w:rsidRPr="00274A92">
        <w:t>несостоявшимися</w:t>
      </w:r>
      <w:proofErr w:type="gramEnd"/>
      <w:r>
        <w:t xml:space="preserve"> -</w:t>
      </w:r>
      <w:r w:rsidRPr="00274A92">
        <w:t xml:space="preserve"> по окончании срока подачи заявок не подано ни одной заявки; по результатам рассмотрения единственной заявки, данная заявка отклонена и по другим причинам;</w:t>
      </w:r>
    </w:p>
    <w:p w:rsidR="00670475" w:rsidRDefault="00670475" w:rsidP="00670475">
      <w:pPr>
        <w:numPr>
          <w:ilvl w:val="0"/>
          <w:numId w:val="11"/>
        </w:numPr>
        <w:shd w:val="clear" w:color="auto" w:fill="FFFFFF"/>
        <w:ind w:left="0" w:firstLine="426"/>
        <w:jc w:val="both"/>
      </w:pPr>
      <w:r>
        <w:rPr>
          <w:b/>
        </w:rPr>
        <w:t>1,8</w:t>
      </w:r>
      <w:r w:rsidRPr="00274A92">
        <w:rPr>
          <w:b/>
        </w:rPr>
        <w:t xml:space="preserve">% </w:t>
      </w:r>
      <w:r>
        <w:rPr>
          <w:b/>
        </w:rPr>
        <w:t xml:space="preserve"> </w:t>
      </w:r>
      <w:r w:rsidRPr="00991575">
        <w:t>(3 ед.)</w:t>
      </w:r>
      <w:r>
        <w:rPr>
          <w:b/>
        </w:rPr>
        <w:t xml:space="preserve"> </w:t>
      </w:r>
      <w:r w:rsidRPr="00274A92">
        <w:t>извещений</w:t>
      </w:r>
      <w:r w:rsidRPr="00274A92">
        <w:rPr>
          <w:b/>
        </w:rPr>
        <w:t xml:space="preserve"> отменены </w:t>
      </w:r>
      <w:r w:rsidRPr="00274A92">
        <w:t>в связи с принятием решения об отмене определения поставщика (подрядчика, исполнителя).</w:t>
      </w:r>
    </w:p>
    <w:p w:rsidR="00670475" w:rsidRDefault="00670475" w:rsidP="00670475">
      <w:pPr>
        <w:autoSpaceDE w:val="0"/>
        <w:autoSpaceDN w:val="0"/>
        <w:adjustRightInd w:val="0"/>
        <w:ind w:firstLine="426"/>
        <w:jc w:val="both"/>
        <w:rPr>
          <w:rFonts w:eastAsia="Calibri"/>
          <w:color w:val="000000"/>
        </w:rPr>
      </w:pPr>
      <w:r>
        <w:rPr>
          <w:rFonts w:eastAsia="Calibri"/>
          <w:b/>
          <w:color w:val="000000"/>
        </w:rPr>
        <w:lastRenderedPageBreak/>
        <w:t>11</w:t>
      </w:r>
      <w:r w:rsidR="00DF46C8" w:rsidRPr="00DF46C8">
        <w:rPr>
          <w:rFonts w:eastAsia="Calibri"/>
          <w:b/>
          <w:color w:val="000000"/>
        </w:rPr>
        <w:t>)</w:t>
      </w:r>
      <w:r w:rsidR="00DF46C8">
        <w:rPr>
          <w:rFonts w:eastAsia="Calibri"/>
          <w:color w:val="000000"/>
        </w:rPr>
        <w:t xml:space="preserve"> </w:t>
      </w:r>
      <w:r>
        <w:rPr>
          <w:rFonts w:eastAsia="Calibri"/>
          <w:color w:val="000000"/>
        </w:rPr>
        <w:t xml:space="preserve">В сравнении с  показателями базисного периода 2021 года наблюдается  рост общего количества опубликованных извещений в 2022 году на </w:t>
      </w:r>
      <w:r w:rsidRPr="00521571">
        <w:rPr>
          <w:rFonts w:eastAsia="Calibri"/>
          <w:b/>
          <w:color w:val="000000"/>
        </w:rPr>
        <w:t>16 п</w:t>
      </w:r>
      <w:r>
        <w:rPr>
          <w:rFonts w:eastAsia="Calibri"/>
          <w:b/>
          <w:color w:val="000000"/>
        </w:rPr>
        <w:t xml:space="preserve">роцентных пунктов </w:t>
      </w:r>
      <w:r w:rsidRPr="00ED7174">
        <w:rPr>
          <w:rFonts w:eastAsia="Calibri"/>
          <w:color w:val="000000"/>
        </w:rPr>
        <w:t>при</w:t>
      </w:r>
      <w:r>
        <w:rPr>
          <w:rFonts w:eastAsia="Calibri"/>
          <w:color w:val="000000"/>
        </w:rPr>
        <w:t xml:space="preserve"> одновременном увеличении стоимостного объема на </w:t>
      </w:r>
      <w:r w:rsidRPr="00521571">
        <w:rPr>
          <w:rFonts w:eastAsia="Calibri"/>
          <w:b/>
          <w:color w:val="000000"/>
        </w:rPr>
        <w:t>102,7 процентных</w:t>
      </w:r>
      <w:r w:rsidRPr="00ED7174">
        <w:rPr>
          <w:rFonts w:eastAsia="Calibri"/>
          <w:b/>
          <w:color w:val="000000"/>
        </w:rPr>
        <w:t xml:space="preserve"> пунктов</w:t>
      </w:r>
      <w:r>
        <w:rPr>
          <w:rFonts w:eastAsia="Calibri"/>
          <w:color w:val="000000"/>
        </w:rPr>
        <w:t>.</w:t>
      </w:r>
    </w:p>
    <w:p w:rsidR="00670475" w:rsidRDefault="00670475" w:rsidP="00670475">
      <w:pPr>
        <w:autoSpaceDE w:val="0"/>
        <w:autoSpaceDN w:val="0"/>
        <w:adjustRightInd w:val="0"/>
        <w:jc w:val="both"/>
      </w:pPr>
      <w:r>
        <w:rPr>
          <w:rFonts w:eastAsia="Calibri"/>
          <w:color w:val="000000"/>
        </w:rPr>
        <w:t xml:space="preserve">       Данное </w:t>
      </w:r>
      <w:r w:rsidRPr="00521571">
        <w:rPr>
          <w:rFonts w:eastAsia="Calibri"/>
          <w:color w:val="000000"/>
        </w:rPr>
        <w:t>увеличение может быть</w:t>
      </w:r>
      <w:r>
        <w:rPr>
          <w:rFonts w:eastAsia="Calibri"/>
          <w:color w:val="000000"/>
        </w:rPr>
        <w:t xml:space="preserve"> обусловлено н</w:t>
      </w:r>
      <w:r w:rsidRPr="00B665A9">
        <w:rPr>
          <w:rFonts w:eastAsia="Calibri"/>
        </w:rPr>
        <w:t xml:space="preserve">ачалом </w:t>
      </w:r>
      <w:r w:rsidRPr="00B665A9">
        <w:t>осуществления в 20</w:t>
      </w:r>
      <w:r>
        <w:t>22</w:t>
      </w:r>
      <w:r w:rsidRPr="00B665A9">
        <w:t xml:space="preserve"> год</w:t>
      </w:r>
      <w:r>
        <w:t>у</w:t>
      </w:r>
      <w:r w:rsidRPr="00B665A9">
        <w:t xml:space="preserve"> капиталоемких закупок, а  также  с активной фазой реализации национальных и федеральных проектов</w:t>
      </w:r>
      <w:r>
        <w:t>.</w:t>
      </w:r>
    </w:p>
    <w:p w:rsidR="005F5167" w:rsidRPr="00274A92" w:rsidRDefault="005721CE" w:rsidP="005F5167">
      <w:pPr>
        <w:autoSpaceDE w:val="0"/>
        <w:autoSpaceDN w:val="0"/>
        <w:adjustRightInd w:val="0"/>
        <w:ind w:firstLine="426"/>
        <w:jc w:val="both"/>
        <w:rPr>
          <w:rFonts w:eastAsia="Calibri"/>
        </w:rPr>
      </w:pPr>
      <w:r w:rsidRPr="005721CE">
        <w:rPr>
          <w:rFonts w:eastAsia="Calibri"/>
          <w:b/>
        </w:rPr>
        <w:t>1</w:t>
      </w:r>
      <w:r w:rsidR="005F5167">
        <w:rPr>
          <w:rFonts w:eastAsia="Calibri"/>
          <w:b/>
        </w:rPr>
        <w:t>2</w:t>
      </w:r>
      <w:r w:rsidRPr="005721CE">
        <w:rPr>
          <w:rFonts w:eastAsia="Calibri"/>
          <w:b/>
        </w:rPr>
        <w:t>)</w:t>
      </w:r>
      <w:r>
        <w:rPr>
          <w:rFonts w:eastAsia="Calibri"/>
        </w:rPr>
        <w:t xml:space="preserve"> </w:t>
      </w:r>
      <w:r w:rsidR="005F5167" w:rsidRPr="00274A92">
        <w:rPr>
          <w:rFonts w:eastAsia="Calibri"/>
        </w:rPr>
        <w:t>Исходя из выше приведенных данных, в 20</w:t>
      </w:r>
      <w:r w:rsidR="005F5167">
        <w:rPr>
          <w:rFonts w:eastAsia="Calibri"/>
        </w:rPr>
        <w:t>22</w:t>
      </w:r>
      <w:r w:rsidR="005F5167" w:rsidRPr="00274A92">
        <w:rPr>
          <w:rFonts w:eastAsia="Calibri"/>
        </w:rPr>
        <w:t xml:space="preserve">году, </w:t>
      </w:r>
      <w:r w:rsidR="005F5167">
        <w:rPr>
          <w:rFonts w:eastAsia="Calibri"/>
        </w:rPr>
        <w:t xml:space="preserve">как и в аналогичном периоде 2021 </w:t>
      </w:r>
      <w:r w:rsidR="005F5167" w:rsidRPr="00274A92">
        <w:rPr>
          <w:rFonts w:eastAsia="Calibri"/>
        </w:rPr>
        <w:t xml:space="preserve">года, наиболее распространенными способами определения поставщика (подрядчика, исполнителя) являются: </w:t>
      </w:r>
    </w:p>
    <w:p w:rsidR="005F5167" w:rsidRPr="00274A92" w:rsidRDefault="005F5167" w:rsidP="005F5167">
      <w:pPr>
        <w:numPr>
          <w:ilvl w:val="0"/>
          <w:numId w:val="4"/>
        </w:numPr>
        <w:autoSpaceDE w:val="0"/>
        <w:autoSpaceDN w:val="0"/>
        <w:adjustRightInd w:val="0"/>
        <w:ind w:left="0" w:firstLine="426"/>
        <w:jc w:val="both"/>
        <w:rPr>
          <w:rFonts w:eastAsia="Calibri"/>
        </w:rPr>
      </w:pPr>
      <w:r w:rsidRPr="00274A92">
        <w:rPr>
          <w:rStyle w:val="af"/>
          <w:rFonts w:cs="Times New Roman CYR"/>
          <w:b/>
          <w:color w:val="auto"/>
        </w:rPr>
        <w:t>Электронный аукцион</w:t>
      </w:r>
      <w:r w:rsidRPr="00274A92">
        <w:rPr>
          <w:rFonts w:eastAsia="Calibri"/>
        </w:rPr>
        <w:t xml:space="preserve"> – </w:t>
      </w:r>
      <w:r>
        <w:rPr>
          <w:rFonts w:eastAsia="Calibri"/>
          <w:b/>
        </w:rPr>
        <w:t>95,2</w:t>
      </w:r>
      <w:r w:rsidRPr="00B665A9">
        <w:rPr>
          <w:rFonts w:eastAsia="Calibri"/>
          <w:b/>
          <w:bCs/>
        </w:rPr>
        <w:t>%</w:t>
      </w:r>
      <w:r w:rsidRPr="00274A92">
        <w:rPr>
          <w:rFonts w:eastAsia="Calibri"/>
          <w:b/>
          <w:bCs/>
        </w:rPr>
        <w:t xml:space="preserve">  </w:t>
      </w:r>
      <w:r w:rsidRPr="00274A92">
        <w:rPr>
          <w:rFonts w:eastAsia="Calibri"/>
        </w:rPr>
        <w:t>от общего количества извещений, размещенных в ЕИС</w:t>
      </w:r>
      <w:r>
        <w:rPr>
          <w:rFonts w:eastAsia="Calibri"/>
        </w:rPr>
        <w:t>.</w:t>
      </w:r>
    </w:p>
    <w:p w:rsidR="005F5167" w:rsidRDefault="005F5167" w:rsidP="005F5167">
      <w:pPr>
        <w:jc w:val="both"/>
      </w:pPr>
      <w:r>
        <w:t xml:space="preserve">       По итогам 2022 года в сравнении с 2021 годом наблюдается увеличение доли опубликованных извещений (по количеству) по </w:t>
      </w:r>
      <w:r w:rsidRPr="003A345B">
        <w:rPr>
          <w:i/>
        </w:rPr>
        <w:t>электронным аукционам</w:t>
      </w:r>
      <w:r>
        <w:t xml:space="preserve"> на 5,6 процентных пунктов.</w:t>
      </w:r>
    </w:p>
    <w:p w:rsidR="005F5167" w:rsidRDefault="005F5167" w:rsidP="005F5167">
      <w:pPr>
        <w:autoSpaceDE w:val="0"/>
        <w:autoSpaceDN w:val="0"/>
        <w:adjustRightInd w:val="0"/>
        <w:ind w:firstLine="425"/>
        <w:jc w:val="both"/>
      </w:pPr>
      <w:r w:rsidRPr="00437A8A">
        <w:t>Колич</w:t>
      </w:r>
      <w:r>
        <w:t xml:space="preserve">ественный объем размещенных извещений по другим конкурентным процедурам определения поставщика составил  </w:t>
      </w:r>
      <w:r>
        <w:rPr>
          <w:b/>
        </w:rPr>
        <w:t>4,8</w:t>
      </w:r>
      <w:r w:rsidRPr="00FD6913">
        <w:rPr>
          <w:b/>
        </w:rPr>
        <w:t>%</w:t>
      </w:r>
      <w:r>
        <w:rPr>
          <w:b/>
        </w:rPr>
        <w:t xml:space="preserve"> </w:t>
      </w:r>
      <w:r>
        <w:t>(Электронный конкурс).</w:t>
      </w:r>
      <w:r w:rsidRPr="00274A92">
        <w:rPr>
          <w:rFonts w:eastAsia="Calibri"/>
        </w:rPr>
        <w:t xml:space="preserve"> </w:t>
      </w:r>
    </w:p>
    <w:p w:rsidR="005F5167" w:rsidRPr="00976389" w:rsidRDefault="005F5167" w:rsidP="005F5167">
      <w:pPr>
        <w:autoSpaceDE w:val="0"/>
        <w:autoSpaceDN w:val="0"/>
        <w:adjustRightInd w:val="0"/>
        <w:jc w:val="both"/>
        <w:rPr>
          <w:rFonts w:eastAsia="Calibri"/>
          <w:color w:val="000000"/>
        </w:rPr>
      </w:pPr>
      <w:r>
        <w:t xml:space="preserve">      </w:t>
      </w:r>
      <w:r w:rsidRPr="005F5167">
        <w:rPr>
          <w:b/>
        </w:rPr>
        <w:t>13)</w:t>
      </w:r>
      <w:r>
        <w:t xml:space="preserve"> </w:t>
      </w:r>
      <w:r w:rsidR="009A6ADC">
        <w:t xml:space="preserve"> </w:t>
      </w:r>
      <w:r>
        <w:rPr>
          <w:rFonts w:eastAsia="Calibri"/>
          <w:color w:val="000000"/>
        </w:rPr>
        <w:t xml:space="preserve">По итогам 2022 года отмечается  </w:t>
      </w:r>
      <w:r w:rsidRPr="008E269C">
        <w:rPr>
          <w:rFonts w:eastAsia="Calibri"/>
        </w:rPr>
        <w:t xml:space="preserve">существенное </w:t>
      </w:r>
      <w:r>
        <w:rPr>
          <w:rFonts w:eastAsia="Calibri"/>
        </w:rPr>
        <w:t>уменьшение</w:t>
      </w:r>
      <w:r w:rsidRPr="008E269C">
        <w:rPr>
          <w:rFonts w:eastAsia="Calibri"/>
        </w:rPr>
        <w:t xml:space="preserve"> количества объема</w:t>
      </w:r>
      <w:r>
        <w:rPr>
          <w:rFonts w:eastAsia="Calibri"/>
        </w:rPr>
        <w:t xml:space="preserve"> </w:t>
      </w:r>
      <w:r w:rsidRPr="008E269C">
        <w:rPr>
          <w:rFonts w:eastAsia="Calibri"/>
        </w:rPr>
        <w:t xml:space="preserve">закупок, проводимых в форме </w:t>
      </w:r>
      <w:r w:rsidRPr="008E269C">
        <w:rPr>
          <w:rFonts w:eastAsia="Calibri"/>
          <w:b/>
        </w:rPr>
        <w:t>конкурса в электронной форме</w:t>
      </w:r>
      <w:r>
        <w:rPr>
          <w:rFonts w:eastAsia="Calibri"/>
          <w:b/>
        </w:rPr>
        <w:t xml:space="preserve"> </w:t>
      </w:r>
      <w:r w:rsidRPr="00231384">
        <w:rPr>
          <w:rFonts w:eastAsia="Calibri"/>
        </w:rPr>
        <w:t xml:space="preserve">на </w:t>
      </w:r>
      <w:r>
        <w:rPr>
          <w:rFonts w:eastAsia="Calibri"/>
          <w:b/>
        </w:rPr>
        <w:t xml:space="preserve">42,9% </w:t>
      </w:r>
      <w:r w:rsidRPr="002C1AFE">
        <w:rPr>
          <w:rFonts w:eastAsia="Calibri"/>
        </w:rPr>
        <w:t>при</w:t>
      </w:r>
      <w:r>
        <w:rPr>
          <w:rFonts w:eastAsia="Calibri"/>
          <w:b/>
        </w:rPr>
        <w:t xml:space="preserve"> </w:t>
      </w:r>
      <w:r>
        <w:rPr>
          <w:rFonts w:eastAsia="Calibri"/>
          <w:color w:val="000000"/>
        </w:rPr>
        <w:t xml:space="preserve">одновременном увеличении стоимостного объема на  </w:t>
      </w:r>
      <w:r>
        <w:rPr>
          <w:rFonts w:eastAsia="Calibri"/>
          <w:b/>
          <w:color w:val="000000"/>
        </w:rPr>
        <w:t>65,7</w:t>
      </w:r>
      <w:r w:rsidRPr="00521571">
        <w:rPr>
          <w:rFonts w:eastAsia="Calibri"/>
          <w:b/>
          <w:color w:val="000000"/>
        </w:rPr>
        <w:t xml:space="preserve"> процентных</w:t>
      </w:r>
      <w:r w:rsidRPr="00ED7174">
        <w:rPr>
          <w:rFonts w:eastAsia="Calibri"/>
          <w:b/>
          <w:color w:val="000000"/>
        </w:rPr>
        <w:t xml:space="preserve"> пунктов</w:t>
      </w:r>
      <w:r>
        <w:rPr>
          <w:rFonts w:eastAsia="Calibri"/>
          <w:b/>
          <w:color w:val="000000"/>
        </w:rPr>
        <w:t xml:space="preserve"> </w:t>
      </w:r>
      <w:r w:rsidRPr="00976389">
        <w:rPr>
          <w:rFonts w:eastAsia="Calibri"/>
          <w:color w:val="000000"/>
        </w:rPr>
        <w:t>по сравнению с базисным периодом</w:t>
      </w:r>
      <w:r w:rsidRPr="00976389">
        <w:rPr>
          <w:rFonts w:eastAsia="Calibri"/>
        </w:rPr>
        <w:t xml:space="preserve">. </w:t>
      </w:r>
    </w:p>
    <w:p w:rsidR="005F5167" w:rsidRDefault="005F5167" w:rsidP="005F5167">
      <w:pPr>
        <w:shd w:val="clear" w:color="auto" w:fill="FFFFFF"/>
        <w:autoSpaceDE w:val="0"/>
        <w:autoSpaceDN w:val="0"/>
        <w:adjustRightInd w:val="0"/>
        <w:ind w:firstLine="426"/>
        <w:jc w:val="both"/>
      </w:pPr>
      <w:r>
        <w:rPr>
          <w:rFonts w:eastAsia="Calibri"/>
        </w:rPr>
        <w:t xml:space="preserve"> </w:t>
      </w:r>
      <w:r w:rsidRPr="00976389">
        <w:rPr>
          <w:rFonts w:eastAsia="Calibri"/>
        </w:rPr>
        <w:t>Указанное во многом обусловлено вступившими с начала отчетного</w:t>
      </w:r>
      <w:r>
        <w:rPr>
          <w:rFonts w:eastAsia="Calibri"/>
        </w:rPr>
        <w:t xml:space="preserve"> </w:t>
      </w:r>
      <w:r w:rsidRPr="00976389">
        <w:rPr>
          <w:rFonts w:eastAsia="Calibri"/>
        </w:rPr>
        <w:t xml:space="preserve">периода в силу изменениями </w:t>
      </w:r>
      <w:r w:rsidR="007A177F">
        <w:rPr>
          <w:rFonts w:eastAsia="Calibri"/>
        </w:rPr>
        <w:t xml:space="preserve"> Закона</w:t>
      </w:r>
      <w:r w:rsidRPr="00976389">
        <w:rPr>
          <w:rFonts w:eastAsia="Calibri"/>
        </w:rPr>
        <w:t xml:space="preserve"> № 44-ФЗ, предусматривающими </w:t>
      </w:r>
      <w:r w:rsidRPr="00976389">
        <w:rPr>
          <w:rFonts w:eastAsia="Calibri"/>
          <w:b/>
        </w:rPr>
        <w:t>сокращение</w:t>
      </w:r>
      <w:r>
        <w:rPr>
          <w:rFonts w:eastAsia="Calibri"/>
        </w:rPr>
        <w:t xml:space="preserve"> </w:t>
      </w:r>
      <w:r w:rsidRPr="00976389">
        <w:rPr>
          <w:rFonts w:eastAsia="Calibri"/>
        </w:rPr>
        <w:t>количества способов осуществления закупок</w:t>
      </w:r>
      <w:r w:rsidR="009A6ADC">
        <w:rPr>
          <w:rFonts w:eastAsia="Calibri"/>
        </w:rPr>
        <w:t>.</w:t>
      </w:r>
    </w:p>
    <w:p w:rsidR="009A6ADC" w:rsidRDefault="009A6ADC" w:rsidP="009A6ADC">
      <w:pPr>
        <w:autoSpaceDE w:val="0"/>
        <w:autoSpaceDN w:val="0"/>
        <w:adjustRightInd w:val="0"/>
        <w:ind w:firstLine="426"/>
        <w:jc w:val="both"/>
        <w:rPr>
          <w:rFonts w:eastAsia="Calibri"/>
          <w:color w:val="000000"/>
        </w:rPr>
      </w:pPr>
      <w:r>
        <w:t xml:space="preserve">В отчетном периоде 2022 года закупок путем проведения </w:t>
      </w:r>
      <w:r w:rsidRPr="002D4619">
        <w:rPr>
          <w:i/>
        </w:rPr>
        <w:t>Запрос котировок в электронной форме</w:t>
      </w:r>
      <w:r w:rsidRPr="00D90145">
        <w:rPr>
          <w:i/>
        </w:rPr>
        <w:t xml:space="preserve"> </w:t>
      </w:r>
      <w:r>
        <w:rPr>
          <w:i/>
        </w:rPr>
        <w:t xml:space="preserve"> </w:t>
      </w:r>
      <w:r>
        <w:t>виде не осуществлялось. (В 2021 года доля закупок, осуществленных  путем запроса котировок  составляла 0,7% - 1 извещение).</w:t>
      </w:r>
    </w:p>
    <w:p w:rsidR="009A6ADC" w:rsidRPr="008E5DC2" w:rsidRDefault="009A6ADC" w:rsidP="009A6ADC">
      <w:pPr>
        <w:ind w:firstLine="426"/>
        <w:contextualSpacing/>
        <w:jc w:val="both"/>
        <w:rPr>
          <w:color w:val="000000"/>
        </w:rPr>
      </w:pPr>
      <w:r w:rsidRPr="009A6ADC">
        <w:rPr>
          <w:b/>
        </w:rPr>
        <w:t>14)</w:t>
      </w:r>
      <w:r>
        <w:t xml:space="preserve"> Преобладающим конкурентным способом закупок по итогам  2022 года в разрезе способов размещения заказа традиционно является – </w:t>
      </w:r>
      <w:r w:rsidRPr="00874EB4">
        <w:rPr>
          <w:b/>
        </w:rPr>
        <w:t>Электронный аукцион</w:t>
      </w:r>
      <w:r>
        <w:t xml:space="preserve">  - </w:t>
      </w:r>
      <w:r>
        <w:rPr>
          <w:b/>
        </w:rPr>
        <w:t>82,2</w:t>
      </w:r>
      <w:r w:rsidRPr="00874EB4">
        <w:rPr>
          <w:b/>
        </w:rPr>
        <w:t>%</w:t>
      </w:r>
      <w:r>
        <w:rPr>
          <w:b/>
        </w:rPr>
        <w:t xml:space="preserve"> </w:t>
      </w:r>
      <w:r>
        <w:t xml:space="preserve"> (536 698,7 тыс. руб.). </w:t>
      </w:r>
      <w:r w:rsidRPr="008E5DC2">
        <w:rPr>
          <w:color w:val="000000"/>
        </w:rPr>
        <w:t xml:space="preserve">Такой показатель характеризует высокий уровень прозрачности и доступности осуществления закупок </w:t>
      </w:r>
      <w:proofErr w:type="gramStart"/>
      <w:r w:rsidRPr="008E5DC2">
        <w:rPr>
          <w:color w:val="000000"/>
        </w:rPr>
        <w:t>в</w:t>
      </w:r>
      <w:proofErr w:type="gramEnd"/>
      <w:r w:rsidRPr="008E5DC2">
        <w:rPr>
          <w:color w:val="000000"/>
        </w:rPr>
        <w:t xml:space="preserve"> </w:t>
      </w:r>
      <w:proofErr w:type="gramStart"/>
      <w:r>
        <w:rPr>
          <w:color w:val="000000"/>
        </w:rPr>
        <w:t>Приозерском</w:t>
      </w:r>
      <w:proofErr w:type="gramEnd"/>
      <w:r>
        <w:rPr>
          <w:color w:val="000000"/>
        </w:rPr>
        <w:t xml:space="preserve"> районе</w:t>
      </w:r>
      <w:r w:rsidRPr="008E5DC2">
        <w:rPr>
          <w:color w:val="000000"/>
        </w:rPr>
        <w:t>.</w:t>
      </w:r>
    </w:p>
    <w:p w:rsidR="009A6ADC" w:rsidRDefault="009A6ADC" w:rsidP="009A6ADC">
      <w:pPr>
        <w:ind w:firstLine="426"/>
        <w:jc w:val="both"/>
      </w:pPr>
      <w:r>
        <w:t>В 2021 году доля закупок, осуществленных путем проведения электронных аукционов составляла  78,2%, со стоимостным объемом в  251 744,1 тыс. руб., что соответственно на 18,9%  меньше  по количеству на  53,1%  больше аналогичных показателей  2022 года.</w:t>
      </w:r>
    </w:p>
    <w:p w:rsidR="009A6ADC" w:rsidRDefault="009A6ADC" w:rsidP="009A6ADC">
      <w:pPr>
        <w:jc w:val="both"/>
      </w:pPr>
      <w:r>
        <w:t xml:space="preserve">      Таким образом, доля закупок, проведенных с помощью электронных аукционов в 2022 году,  увеличилась  по сравнению с 2021 годом  на  23,3% при значительном увеличении стоимостного объема на  284 954,6 тыс. руб. (на 113,2%).     </w:t>
      </w:r>
    </w:p>
    <w:p w:rsidR="009A6ADC" w:rsidRPr="00692F5C" w:rsidRDefault="009A6ADC" w:rsidP="009A6ADC">
      <w:pPr>
        <w:jc w:val="both"/>
        <w:rPr>
          <w:i/>
        </w:rPr>
      </w:pPr>
      <w:r w:rsidRPr="00692F5C">
        <w:rPr>
          <w:i/>
        </w:rPr>
        <w:t xml:space="preserve">      Существенный рост суммы  НМЦК может быть обусловлен общим ростом цен на товары и материалы  в связи с введением с 24.02.2022 года мер ограничительного характера иностранными государствами, совершающими недружественные действия в отношении Российской Федерации.</w:t>
      </w:r>
    </w:p>
    <w:p w:rsidR="00364FF6" w:rsidRDefault="00364FF6" w:rsidP="00364FF6">
      <w:pPr>
        <w:autoSpaceDE w:val="0"/>
        <w:autoSpaceDN w:val="0"/>
        <w:adjustRightInd w:val="0"/>
        <w:ind w:firstLine="426"/>
        <w:jc w:val="both"/>
      </w:pPr>
      <w:r>
        <w:t>Удельный вес других конкурентных способов  закупок  составляет – 18,7% (Электронный конкурс).</w:t>
      </w:r>
    </w:p>
    <w:p w:rsidR="00364FF6" w:rsidRPr="00F96B20" w:rsidRDefault="00364FF6" w:rsidP="00364FF6">
      <w:pPr>
        <w:ind w:right="-2" w:firstLine="426"/>
        <w:jc w:val="both"/>
      </w:pPr>
      <w:r w:rsidRPr="00364FF6">
        <w:rPr>
          <w:b/>
        </w:rPr>
        <w:t xml:space="preserve">15) </w:t>
      </w:r>
      <w:r w:rsidRPr="003A4799">
        <w:rPr>
          <w:rFonts w:eastAsia="Calibri"/>
          <w:color w:val="000000"/>
        </w:rPr>
        <w:t>Согл</w:t>
      </w:r>
      <w:r>
        <w:rPr>
          <w:rFonts w:eastAsia="Calibri"/>
          <w:color w:val="000000"/>
        </w:rPr>
        <w:t>а</w:t>
      </w:r>
      <w:r w:rsidRPr="003A4799">
        <w:rPr>
          <w:rFonts w:eastAsia="Calibri"/>
          <w:color w:val="000000"/>
        </w:rPr>
        <w:t>сно сведениям ЕИС по итогам 20</w:t>
      </w:r>
      <w:r>
        <w:rPr>
          <w:rFonts w:eastAsia="Calibri"/>
          <w:color w:val="000000"/>
        </w:rPr>
        <w:t>22</w:t>
      </w:r>
      <w:r w:rsidRPr="003A4799">
        <w:rPr>
          <w:rFonts w:eastAsia="Calibri"/>
          <w:color w:val="000000"/>
        </w:rPr>
        <w:t xml:space="preserve"> года </w:t>
      </w:r>
      <w:r>
        <w:rPr>
          <w:rFonts w:eastAsia="Calibri"/>
          <w:color w:val="000000"/>
        </w:rPr>
        <w:t xml:space="preserve"> п</w:t>
      </w:r>
      <w:r w:rsidRPr="00F96B20">
        <w:t>о результатам осуществления</w:t>
      </w:r>
      <w:r>
        <w:t xml:space="preserve">  заку</w:t>
      </w:r>
      <w:r w:rsidRPr="00F96B20">
        <w:t xml:space="preserve">пок в отчетном периоде: </w:t>
      </w:r>
    </w:p>
    <w:p w:rsidR="00364FF6" w:rsidRDefault="00364FF6" w:rsidP="00364FF6">
      <w:pPr>
        <w:numPr>
          <w:ilvl w:val="0"/>
          <w:numId w:val="15"/>
        </w:numPr>
        <w:autoSpaceDE w:val="0"/>
        <w:autoSpaceDN w:val="0"/>
        <w:adjustRightInd w:val="0"/>
        <w:ind w:left="0" w:firstLine="425"/>
        <w:jc w:val="both"/>
        <w:rPr>
          <w:rFonts w:eastAsia="Calibri"/>
          <w:color w:val="000000"/>
        </w:rPr>
      </w:pPr>
      <w:r w:rsidRPr="00FB74F2">
        <w:rPr>
          <w:rFonts w:eastAsia="Calibri"/>
          <w:b/>
          <w:color w:val="000000"/>
        </w:rPr>
        <w:t>Состоявшимися</w:t>
      </w:r>
      <w:r w:rsidRPr="00F96B20">
        <w:rPr>
          <w:rFonts w:eastAsia="Calibri"/>
          <w:color w:val="000000"/>
        </w:rPr>
        <w:t xml:space="preserve"> было признано </w:t>
      </w:r>
      <w:r w:rsidRPr="00596E9E">
        <w:rPr>
          <w:rFonts w:eastAsia="Calibri"/>
          <w:b/>
          <w:color w:val="000000"/>
        </w:rPr>
        <w:t>1</w:t>
      </w:r>
      <w:r>
        <w:rPr>
          <w:rFonts w:eastAsia="Calibri"/>
          <w:b/>
          <w:color w:val="000000"/>
        </w:rPr>
        <w:t>35</w:t>
      </w:r>
      <w:r w:rsidRPr="00D969A5">
        <w:rPr>
          <w:rFonts w:eastAsia="Calibri"/>
          <w:b/>
          <w:color w:val="000000"/>
        </w:rPr>
        <w:t xml:space="preserve"> </w:t>
      </w:r>
      <w:r w:rsidRPr="00D969A5">
        <w:rPr>
          <w:rFonts w:eastAsia="Calibri"/>
          <w:b/>
          <w:bCs/>
          <w:color w:val="000000"/>
        </w:rPr>
        <w:t>закупок</w:t>
      </w:r>
      <w:r w:rsidRPr="00F96B20">
        <w:rPr>
          <w:rFonts w:eastAsia="Calibri"/>
          <w:b/>
          <w:bCs/>
          <w:color w:val="000000"/>
        </w:rPr>
        <w:t xml:space="preserve"> </w:t>
      </w:r>
      <w:r w:rsidRPr="00AD2BA3">
        <w:rPr>
          <w:rFonts w:eastAsia="Calibri"/>
          <w:color w:val="000000"/>
        </w:rPr>
        <w:t>(</w:t>
      </w:r>
      <w:r>
        <w:rPr>
          <w:rFonts w:eastAsia="Calibri"/>
          <w:color w:val="000000"/>
        </w:rPr>
        <w:t>53,1% от общего количества процедур</w:t>
      </w:r>
      <w:r w:rsidRPr="00AD2BA3">
        <w:rPr>
          <w:rFonts w:eastAsia="Calibri"/>
          <w:color w:val="000000"/>
        </w:rPr>
        <w:t>)</w:t>
      </w:r>
      <w:r w:rsidRPr="00F96B20">
        <w:rPr>
          <w:rFonts w:eastAsia="Calibri"/>
          <w:color w:val="000000"/>
        </w:rPr>
        <w:t xml:space="preserve"> (определен победитель и заключен контракт), сумма НМЦК</w:t>
      </w:r>
      <w:r w:rsidRPr="008A7BFF">
        <w:rPr>
          <w:rFonts w:eastAsia="Calibri"/>
          <w:color w:val="000000"/>
        </w:rPr>
        <w:t xml:space="preserve"> </w:t>
      </w:r>
      <w:r w:rsidRPr="00F96B20">
        <w:rPr>
          <w:rFonts w:eastAsia="Calibri"/>
          <w:color w:val="000000"/>
        </w:rPr>
        <w:t xml:space="preserve">таких закупок составила </w:t>
      </w:r>
      <w:r w:rsidRPr="008A7BFF">
        <w:rPr>
          <w:rFonts w:eastAsia="Calibri"/>
          <w:color w:val="000000"/>
        </w:rPr>
        <w:t xml:space="preserve"> </w:t>
      </w:r>
      <w:r>
        <w:rPr>
          <w:rFonts w:eastAsia="Calibri"/>
          <w:b/>
          <w:color w:val="000000"/>
        </w:rPr>
        <w:t>509 929,6</w:t>
      </w:r>
      <w:r w:rsidRPr="00E450E4">
        <w:rPr>
          <w:rFonts w:eastAsia="Calibri"/>
          <w:b/>
          <w:color w:val="000000"/>
        </w:rPr>
        <w:t xml:space="preserve"> тыс.</w:t>
      </w:r>
      <w:r w:rsidRPr="00AD2BA3">
        <w:rPr>
          <w:rFonts w:eastAsia="Calibri"/>
          <w:b/>
          <w:color w:val="000000"/>
        </w:rPr>
        <w:t xml:space="preserve"> руб</w:t>
      </w:r>
      <w:r w:rsidRPr="008A7BFF">
        <w:rPr>
          <w:rFonts w:eastAsia="Calibri"/>
          <w:color w:val="000000"/>
        </w:rPr>
        <w:t>.</w:t>
      </w:r>
      <w:r w:rsidRPr="00F96B20">
        <w:rPr>
          <w:rFonts w:eastAsia="Calibri"/>
          <w:color w:val="000000"/>
        </w:rPr>
        <w:t xml:space="preserve"> </w:t>
      </w:r>
      <w:r w:rsidRPr="008A7BFF">
        <w:rPr>
          <w:rFonts w:eastAsia="Calibri"/>
          <w:color w:val="000000"/>
        </w:rPr>
        <w:t>(</w:t>
      </w:r>
      <w:r>
        <w:rPr>
          <w:rFonts w:eastAsia="Calibri"/>
          <w:color w:val="000000"/>
        </w:rPr>
        <w:t>50,5</w:t>
      </w:r>
      <w:r w:rsidRPr="008A7BFF">
        <w:rPr>
          <w:rFonts w:eastAsia="Calibri"/>
          <w:color w:val="000000"/>
        </w:rPr>
        <w:t>% от общего объема закупок).</w:t>
      </w:r>
    </w:p>
    <w:p w:rsidR="00364FF6" w:rsidRDefault="00364FF6" w:rsidP="00364FF6">
      <w:pPr>
        <w:jc w:val="both"/>
      </w:pPr>
      <w:r>
        <w:t xml:space="preserve">      </w:t>
      </w:r>
      <w:r w:rsidRPr="004E5B0D">
        <w:t xml:space="preserve">По сравнению с показателями </w:t>
      </w:r>
      <w:r>
        <w:t>базисного периода</w:t>
      </w:r>
      <w:r w:rsidRPr="004E5B0D">
        <w:t xml:space="preserve"> количество состоявшихся конкурентных закупок </w:t>
      </w:r>
      <w:r>
        <w:t xml:space="preserve">снизилось на </w:t>
      </w:r>
      <w:r w:rsidRPr="00E22407">
        <w:rPr>
          <w:b/>
        </w:rPr>
        <w:t>6,9%</w:t>
      </w:r>
      <w:r>
        <w:t xml:space="preserve"> при значительном увеличении стоимостного объема  на </w:t>
      </w:r>
      <w:r>
        <w:rPr>
          <w:b/>
        </w:rPr>
        <w:t>131,5</w:t>
      </w:r>
      <w:r w:rsidRPr="004E5B0D">
        <w:rPr>
          <w:b/>
        </w:rPr>
        <w:t>%.</w:t>
      </w:r>
      <w:r>
        <w:t xml:space="preserve">    </w:t>
      </w:r>
    </w:p>
    <w:p w:rsidR="00364FF6" w:rsidRDefault="00364FF6" w:rsidP="00364FF6">
      <w:pPr>
        <w:autoSpaceDE w:val="0"/>
        <w:autoSpaceDN w:val="0"/>
        <w:adjustRightInd w:val="0"/>
        <w:ind w:right="142" w:firstLine="425"/>
        <w:jc w:val="both"/>
        <w:rPr>
          <w:rFonts w:eastAsia="Calibri"/>
          <w:color w:val="000000"/>
        </w:rPr>
      </w:pPr>
      <w:r>
        <w:rPr>
          <w:rFonts w:eastAsia="Calibri"/>
          <w:color w:val="000000"/>
        </w:rPr>
        <w:lastRenderedPageBreak/>
        <w:t xml:space="preserve">За аналогичный период 2021 года состоявшимися были признаны  </w:t>
      </w:r>
      <w:r w:rsidRPr="009722B1">
        <w:rPr>
          <w:rFonts w:eastAsia="Calibri"/>
          <w:b/>
          <w:color w:val="000000"/>
        </w:rPr>
        <w:t>1</w:t>
      </w:r>
      <w:r>
        <w:rPr>
          <w:rFonts w:eastAsia="Calibri"/>
          <w:b/>
          <w:color w:val="000000"/>
        </w:rPr>
        <w:t>45 закупок</w:t>
      </w:r>
      <w:r>
        <w:rPr>
          <w:rFonts w:eastAsia="Calibri"/>
          <w:color w:val="000000"/>
        </w:rPr>
        <w:t xml:space="preserve"> (64,7% от общего количества закупок)</w:t>
      </w:r>
      <w:proofErr w:type="gramStart"/>
      <w:r>
        <w:rPr>
          <w:rFonts w:eastAsia="Calibri"/>
          <w:color w:val="000000"/>
        </w:rPr>
        <w:t xml:space="preserve"> ,</w:t>
      </w:r>
      <w:proofErr w:type="gramEnd"/>
      <w:r>
        <w:rPr>
          <w:rFonts w:eastAsia="Calibri"/>
          <w:color w:val="000000"/>
        </w:rPr>
        <w:t xml:space="preserve"> с суммарным значением НМЦК –              </w:t>
      </w:r>
      <w:r w:rsidRPr="00E22407">
        <w:rPr>
          <w:rFonts w:eastAsia="Calibri"/>
          <w:b/>
          <w:color w:val="000000"/>
        </w:rPr>
        <w:t>220 226,3</w:t>
      </w:r>
      <w:r w:rsidRPr="0097544D">
        <w:rPr>
          <w:rFonts w:eastAsia="Calibri"/>
          <w:b/>
          <w:color w:val="000000"/>
        </w:rPr>
        <w:t xml:space="preserve"> тыс</w:t>
      </w:r>
      <w:r w:rsidRPr="008A7BFF">
        <w:rPr>
          <w:rFonts w:eastAsia="Calibri"/>
          <w:b/>
          <w:color w:val="000000"/>
        </w:rPr>
        <w:t>. руб</w:t>
      </w:r>
      <w:r w:rsidRPr="008A7BFF">
        <w:rPr>
          <w:rFonts w:eastAsia="Calibri"/>
          <w:color w:val="000000"/>
        </w:rPr>
        <w:t>. (</w:t>
      </w:r>
      <w:r>
        <w:rPr>
          <w:rFonts w:eastAsia="Calibri"/>
          <w:color w:val="000000"/>
        </w:rPr>
        <w:t>58,6</w:t>
      </w:r>
      <w:r w:rsidRPr="008A7BFF">
        <w:rPr>
          <w:rFonts w:eastAsia="Calibri"/>
          <w:color w:val="000000"/>
        </w:rPr>
        <w:t>%</w:t>
      </w:r>
      <w:r w:rsidRPr="008A7BFF">
        <w:rPr>
          <w:rFonts w:eastAsia="Calibri"/>
          <w:b/>
          <w:bCs/>
          <w:color w:val="000000"/>
        </w:rPr>
        <w:t xml:space="preserve"> </w:t>
      </w:r>
      <w:r w:rsidRPr="008A7BFF">
        <w:rPr>
          <w:rFonts w:eastAsia="Calibri"/>
          <w:color w:val="000000"/>
        </w:rPr>
        <w:t xml:space="preserve">от общего объема </w:t>
      </w:r>
      <w:r>
        <w:rPr>
          <w:rFonts w:eastAsia="Calibri"/>
          <w:color w:val="000000"/>
        </w:rPr>
        <w:t>закупок</w:t>
      </w:r>
      <w:r w:rsidRPr="008A7BFF">
        <w:rPr>
          <w:rFonts w:eastAsia="Calibri"/>
          <w:color w:val="000000"/>
        </w:rPr>
        <w:t>)</w:t>
      </w:r>
      <w:r>
        <w:rPr>
          <w:rFonts w:eastAsia="Calibri"/>
          <w:color w:val="000000"/>
        </w:rPr>
        <w:t>.</w:t>
      </w:r>
    </w:p>
    <w:p w:rsidR="00364FF6" w:rsidRPr="00364FF6" w:rsidRDefault="00364FF6" w:rsidP="00364FF6">
      <w:pPr>
        <w:jc w:val="both"/>
        <w:rPr>
          <w:i/>
        </w:rPr>
      </w:pPr>
      <w:r>
        <w:rPr>
          <w:rFonts w:eastAsia="Calibri"/>
          <w:color w:val="000000"/>
        </w:rPr>
        <w:t xml:space="preserve">       </w:t>
      </w:r>
      <w:r w:rsidRPr="00364FF6">
        <w:rPr>
          <w:rFonts w:eastAsia="Calibri"/>
          <w:i/>
          <w:color w:val="000000"/>
        </w:rPr>
        <w:t>Как уже отмечалось выше,</w:t>
      </w:r>
      <w:r w:rsidRPr="00364FF6">
        <w:rPr>
          <w:i/>
        </w:rPr>
        <w:t xml:space="preserve"> существенный рост стоимостного объема закупок может быть обусловлен общим ростом цен на товары и материалы  в связи с введением с 24.02.2022 года мер ограничительного характера иностранными государствами, совершающими недружественные действия в отношении Российской Федерации (санкции).</w:t>
      </w:r>
    </w:p>
    <w:p w:rsidR="00364FF6" w:rsidRDefault="00364FF6" w:rsidP="006141A5">
      <w:pPr>
        <w:autoSpaceDE w:val="0"/>
        <w:autoSpaceDN w:val="0"/>
        <w:adjustRightInd w:val="0"/>
        <w:jc w:val="both"/>
        <w:rPr>
          <w:rFonts w:eastAsia="Calibri"/>
          <w:color w:val="000000"/>
        </w:rPr>
      </w:pPr>
      <w:r>
        <w:rPr>
          <w:b/>
        </w:rPr>
        <w:t xml:space="preserve">       16) </w:t>
      </w:r>
      <w:r>
        <w:rPr>
          <w:rFonts w:eastAsia="Calibri"/>
          <w:color w:val="000000"/>
        </w:rPr>
        <w:t>По итогам проведения за 2022 год закупок, запланированных в планах - графиках на 2022  финансовый год и плановый период 2023-2024 годов, н</w:t>
      </w:r>
      <w:r w:rsidRPr="008A7BFF">
        <w:rPr>
          <w:rFonts w:eastAsia="Calibri"/>
          <w:color w:val="000000"/>
        </w:rPr>
        <w:t xml:space="preserve">есостоявшимися было признано </w:t>
      </w:r>
      <w:r>
        <w:rPr>
          <w:rFonts w:eastAsia="Calibri"/>
          <w:color w:val="000000"/>
        </w:rPr>
        <w:t xml:space="preserve"> </w:t>
      </w:r>
      <w:r>
        <w:rPr>
          <w:rFonts w:eastAsia="Calibri"/>
          <w:b/>
          <w:color w:val="000000"/>
        </w:rPr>
        <w:t>119</w:t>
      </w:r>
      <w:r w:rsidRPr="00FB74F2">
        <w:rPr>
          <w:rFonts w:eastAsia="Calibri"/>
          <w:b/>
          <w:color w:val="000000"/>
        </w:rPr>
        <w:t xml:space="preserve"> </w:t>
      </w:r>
      <w:r>
        <w:rPr>
          <w:rFonts w:eastAsia="Calibri"/>
          <w:b/>
          <w:color w:val="000000"/>
        </w:rPr>
        <w:t xml:space="preserve"> </w:t>
      </w:r>
      <w:r w:rsidRPr="00FB74F2">
        <w:rPr>
          <w:rFonts w:eastAsia="Calibri"/>
          <w:b/>
          <w:color w:val="000000"/>
        </w:rPr>
        <w:t>закупок</w:t>
      </w:r>
      <w:r w:rsidRPr="008A7BFF">
        <w:rPr>
          <w:rFonts w:eastAsia="Calibri"/>
          <w:b/>
          <w:color w:val="000000"/>
        </w:rPr>
        <w:t xml:space="preserve"> </w:t>
      </w:r>
      <w:r w:rsidRPr="0097544D">
        <w:rPr>
          <w:rFonts w:eastAsia="Calibri"/>
          <w:color w:val="000000"/>
        </w:rPr>
        <w:t>(</w:t>
      </w:r>
      <w:r>
        <w:rPr>
          <w:rFonts w:eastAsia="Calibri"/>
          <w:color w:val="000000"/>
        </w:rPr>
        <w:t>46,9</w:t>
      </w:r>
      <w:r w:rsidRPr="0097544D">
        <w:rPr>
          <w:rFonts w:eastAsia="Calibri"/>
          <w:color w:val="000000"/>
        </w:rPr>
        <w:t>%)</w:t>
      </w:r>
      <w:r w:rsidRPr="008A7BFF">
        <w:rPr>
          <w:rFonts w:eastAsia="Calibri"/>
          <w:b/>
          <w:color w:val="000000"/>
        </w:rPr>
        <w:t xml:space="preserve"> </w:t>
      </w:r>
      <w:r w:rsidRPr="008A7BFF">
        <w:rPr>
          <w:rFonts w:eastAsia="Calibri"/>
          <w:color w:val="000000"/>
        </w:rPr>
        <w:t xml:space="preserve">от общего количества закупок. </w:t>
      </w:r>
      <w:r>
        <w:rPr>
          <w:rFonts w:eastAsia="Calibri"/>
          <w:color w:val="000000"/>
        </w:rPr>
        <w:t xml:space="preserve"> </w:t>
      </w:r>
      <w:r w:rsidRPr="008A7BFF">
        <w:rPr>
          <w:rFonts w:eastAsia="Calibri"/>
          <w:color w:val="000000"/>
        </w:rPr>
        <w:t xml:space="preserve">В стоимостном выражении объем несостоявшихся закупок составил </w:t>
      </w:r>
      <w:r>
        <w:rPr>
          <w:rFonts w:eastAsia="Calibri"/>
          <w:color w:val="000000"/>
        </w:rPr>
        <w:t xml:space="preserve"> </w:t>
      </w:r>
      <w:r>
        <w:rPr>
          <w:rFonts w:eastAsia="Calibri"/>
          <w:b/>
          <w:color w:val="000000"/>
        </w:rPr>
        <w:t>499 139,3</w:t>
      </w:r>
      <w:r w:rsidRPr="0097544D">
        <w:rPr>
          <w:rFonts w:eastAsia="Calibri"/>
          <w:b/>
          <w:color w:val="000000"/>
        </w:rPr>
        <w:t xml:space="preserve"> тыс</w:t>
      </w:r>
      <w:r w:rsidRPr="008A7BFF">
        <w:rPr>
          <w:rFonts w:eastAsia="Calibri"/>
          <w:b/>
          <w:color w:val="000000"/>
        </w:rPr>
        <w:t>. руб</w:t>
      </w:r>
      <w:r w:rsidRPr="008A7BFF">
        <w:rPr>
          <w:rFonts w:eastAsia="Calibri"/>
          <w:color w:val="000000"/>
        </w:rPr>
        <w:t>. (</w:t>
      </w:r>
      <w:r>
        <w:rPr>
          <w:rFonts w:eastAsia="Calibri"/>
          <w:color w:val="000000"/>
        </w:rPr>
        <w:t>49,4%</w:t>
      </w:r>
      <w:r w:rsidRPr="008A7BFF">
        <w:rPr>
          <w:rFonts w:eastAsia="Calibri"/>
          <w:b/>
          <w:bCs/>
          <w:color w:val="000000"/>
        </w:rPr>
        <w:t xml:space="preserve"> </w:t>
      </w:r>
      <w:r w:rsidRPr="008A7BFF">
        <w:rPr>
          <w:rFonts w:eastAsia="Calibri"/>
          <w:color w:val="000000"/>
        </w:rPr>
        <w:t xml:space="preserve">от общего объема </w:t>
      </w:r>
      <w:r>
        <w:rPr>
          <w:rFonts w:eastAsia="Calibri"/>
          <w:color w:val="000000"/>
        </w:rPr>
        <w:t>закупок</w:t>
      </w:r>
      <w:r w:rsidRPr="008A7BFF">
        <w:rPr>
          <w:rFonts w:eastAsia="Calibri"/>
          <w:color w:val="000000"/>
        </w:rPr>
        <w:t>)</w:t>
      </w:r>
      <w:r>
        <w:rPr>
          <w:rFonts w:eastAsia="Calibri"/>
          <w:color w:val="000000"/>
        </w:rPr>
        <w:t>, из них в 84,9% случаев (</w:t>
      </w:r>
      <w:r>
        <w:rPr>
          <w:rFonts w:eastAsia="Calibri"/>
          <w:b/>
          <w:color w:val="000000"/>
        </w:rPr>
        <w:t xml:space="preserve">101 </w:t>
      </w:r>
      <w:r w:rsidRPr="00072B1A">
        <w:rPr>
          <w:rFonts w:eastAsia="Calibri"/>
          <w:b/>
          <w:color w:val="000000"/>
        </w:rPr>
        <w:t>з</w:t>
      </w:r>
      <w:r w:rsidRPr="001F0C31">
        <w:rPr>
          <w:rFonts w:eastAsia="Calibri"/>
          <w:b/>
          <w:color w:val="000000"/>
        </w:rPr>
        <w:t>акуп</w:t>
      </w:r>
      <w:r>
        <w:rPr>
          <w:rFonts w:eastAsia="Calibri"/>
          <w:b/>
          <w:color w:val="000000"/>
        </w:rPr>
        <w:t>ка</w:t>
      </w:r>
      <w:r>
        <w:rPr>
          <w:rFonts w:eastAsia="Calibri"/>
          <w:color w:val="000000"/>
        </w:rPr>
        <w:t xml:space="preserve"> общим объемом </w:t>
      </w:r>
      <w:r>
        <w:rPr>
          <w:rFonts w:eastAsia="Calibri"/>
          <w:b/>
          <w:color w:val="000000"/>
        </w:rPr>
        <w:t>437 647,8</w:t>
      </w:r>
      <w:r w:rsidRPr="007C111E">
        <w:rPr>
          <w:rFonts w:eastAsia="Calibri"/>
          <w:b/>
          <w:color w:val="000000"/>
        </w:rPr>
        <w:t>1</w:t>
      </w:r>
      <w:r>
        <w:rPr>
          <w:rFonts w:eastAsia="Calibri"/>
          <w:b/>
          <w:color w:val="000000"/>
        </w:rPr>
        <w:t xml:space="preserve"> </w:t>
      </w:r>
      <w:r w:rsidRPr="007C111E">
        <w:rPr>
          <w:rFonts w:eastAsia="Calibri"/>
          <w:b/>
          <w:color w:val="000000"/>
        </w:rPr>
        <w:t>тыс</w:t>
      </w:r>
      <w:r w:rsidRPr="001F0C31">
        <w:rPr>
          <w:rFonts w:eastAsia="Calibri"/>
          <w:b/>
          <w:color w:val="000000"/>
        </w:rPr>
        <w:t>. руб</w:t>
      </w:r>
      <w:r>
        <w:rPr>
          <w:rFonts w:eastAsia="Calibri"/>
          <w:color w:val="000000"/>
        </w:rPr>
        <w:t>.) были заключены контракты с единственным поставщиком.</w:t>
      </w:r>
    </w:p>
    <w:p w:rsidR="00364FF6" w:rsidRDefault="00364FF6" w:rsidP="00364FF6">
      <w:pPr>
        <w:autoSpaceDE w:val="0"/>
        <w:autoSpaceDN w:val="0"/>
        <w:adjustRightInd w:val="0"/>
        <w:ind w:right="-2" w:firstLine="425"/>
        <w:jc w:val="both"/>
        <w:rPr>
          <w:rFonts w:eastAsia="Calibri"/>
          <w:color w:val="000000"/>
        </w:rPr>
      </w:pPr>
      <w:r>
        <w:rPr>
          <w:rFonts w:eastAsia="Calibri"/>
          <w:color w:val="000000"/>
        </w:rPr>
        <w:t xml:space="preserve">За аналогичный период 2021 года несостоявшимися признана  </w:t>
      </w:r>
      <w:r>
        <w:rPr>
          <w:rFonts w:eastAsia="Calibri"/>
          <w:b/>
          <w:color w:val="000000"/>
        </w:rPr>
        <w:t>79 закупок</w:t>
      </w:r>
      <w:r>
        <w:rPr>
          <w:rFonts w:eastAsia="Calibri"/>
          <w:color w:val="000000"/>
        </w:rPr>
        <w:t xml:space="preserve"> (35,3% от общего количества закупок)</w:t>
      </w:r>
      <w:proofErr w:type="gramStart"/>
      <w:r>
        <w:rPr>
          <w:rFonts w:eastAsia="Calibri"/>
          <w:color w:val="000000"/>
        </w:rPr>
        <w:t xml:space="preserve"> ,</w:t>
      </w:r>
      <w:proofErr w:type="gramEnd"/>
      <w:r>
        <w:rPr>
          <w:rFonts w:eastAsia="Calibri"/>
          <w:color w:val="000000"/>
        </w:rPr>
        <w:t xml:space="preserve"> с суммарным значением НМЦК – </w:t>
      </w:r>
      <w:r>
        <w:rPr>
          <w:rFonts w:eastAsia="Calibri"/>
          <w:b/>
          <w:color w:val="000000"/>
        </w:rPr>
        <w:t>155 634,5</w:t>
      </w:r>
      <w:r w:rsidRPr="0097544D">
        <w:rPr>
          <w:rFonts w:eastAsia="Calibri"/>
          <w:b/>
          <w:color w:val="000000"/>
        </w:rPr>
        <w:t xml:space="preserve"> тыс</w:t>
      </w:r>
      <w:r w:rsidRPr="008A7BFF">
        <w:rPr>
          <w:rFonts w:eastAsia="Calibri"/>
          <w:b/>
          <w:color w:val="000000"/>
        </w:rPr>
        <w:t>. руб</w:t>
      </w:r>
      <w:r w:rsidRPr="008A7BFF">
        <w:rPr>
          <w:rFonts w:eastAsia="Calibri"/>
          <w:color w:val="000000"/>
        </w:rPr>
        <w:t>. (</w:t>
      </w:r>
      <w:r>
        <w:rPr>
          <w:rFonts w:eastAsia="Calibri"/>
          <w:color w:val="000000"/>
        </w:rPr>
        <w:t>41,4</w:t>
      </w:r>
      <w:r w:rsidRPr="008A7BFF">
        <w:rPr>
          <w:rFonts w:eastAsia="Calibri"/>
          <w:color w:val="000000"/>
        </w:rPr>
        <w:t>%</w:t>
      </w:r>
      <w:r w:rsidRPr="008A7BFF">
        <w:rPr>
          <w:rFonts w:eastAsia="Calibri"/>
          <w:b/>
          <w:bCs/>
          <w:color w:val="000000"/>
        </w:rPr>
        <w:t xml:space="preserve"> </w:t>
      </w:r>
      <w:r w:rsidRPr="008A7BFF">
        <w:rPr>
          <w:rFonts w:eastAsia="Calibri"/>
          <w:color w:val="000000"/>
        </w:rPr>
        <w:t xml:space="preserve">от общего объема </w:t>
      </w:r>
      <w:r>
        <w:rPr>
          <w:rFonts w:eastAsia="Calibri"/>
          <w:color w:val="000000"/>
        </w:rPr>
        <w:t>закупок</w:t>
      </w:r>
      <w:r w:rsidRPr="008A7BFF">
        <w:rPr>
          <w:rFonts w:eastAsia="Calibri"/>
          <w:color w:val="000000"/>
        </w:rPr>
        <w:t>)</w:t>
      </w:r>
      <w:r>
        <w:rPr>
          <w:rFonts w:eastAsia="Calibri"/>
          <w:color w:val="000000"/>
        </w:rPr>
        <w:t>.</w:t>
      </w:r>
    </w:p>
    <w:p w:rsidR="00364FF6" w:rsidRDefault="00364FF6" w:rsidP="00364FF6">
      <w:pPr>
        <w:autoSpaceDE w:val="0"/>
        <w:autoSpaceDN w:val="0"/>
        <w:adjustRightInd w:val="0"/>
        <w:ind w:right="-2" w:firstLine="425"/>
        <w:jc w:val="both"/>
        <w:rPr>
          <w:rFonts w:eastAsia="Calibri"/>
          <w:color w:val="000000"/>
        </w:rPr>
      </w:pPr>
      <w:r w:rsidRPr="00364FF6">
        <w:rPr>
          <w:rFonts w:eastAsia="Calibri"/>
          <w:b/>
          <w:color w:val="000000"/>
        </w:rPr>
        <w:t>17)</w:t>
      </w:r>
      <w:r>
        <w:rPr>
          <w:rFonts w:eastAsia="Calibri"/>
          <w:color w:val="000000"/>
        </w:rPr>
        <w:t xml:space="preserve"> По итогам отчетного периода 2022 года в  сравнении с базовым отмечается существенное </w:t>
      </w:r>
      <w:r w:rsidRPr="0083434C">
        <w:rPr>
          <w:rFonts w:eastAsia="Calibri"/>
          <w:b/>
          <w:color w:val="000000"/>
        </w:rPr>
        <w:t>увеличение</w:t>
      </w:r>
      <w:r>
        <w:rPr>
          <w:rFonts w:eastAsia="Calibri"/>
          <w:color w:val="000000"/>
        </w:rPr>
        <w:t xml:space="preserve"> количества несостоявшихся закупок  на  </w:t>
      </w:r>
      <w:r w:rsidRPr="0083434C">
        <w:rPr>
          <w:rFonts w:eastAsia="Calibri"/>
          <w:b/>
          <w:color w:val="000000"/>
        </w:rPr>
        <w:t>50,6 процентных пунктов</w:t>
      </w:r>
      <w:r>
        <w:rPr>
          <w:rFonts w:eastAsia="Calibri"/>
          <w:color w:val="000000"/>
        </w:rPr>
        <w:t xml:space="preserve"> при </w:t>
      </w:r>
      <w:r w:rsidRPr="0083434C">
        <w:rPr>
          <w:rFonts w:eastAsia="Calibri"/>
          <w:b/>
          <w:color w:val="000000"/>
        </w:rPr>
        <w:t>увеличении</w:t>
      </w:r>
      <w:r>
        <w:rPr>
          <w:rFonts w:eastAsia="Calibri"/>
          <w:color w:val="000000"/>
        </w:rPr>
        <w:t xml:space="preserve"> их стоимостного объема на  </w:t>
      </w:r>
      <w:r w:rsidRPr="0083434C">
        <w:rPr>
          <w:rFonts w:eastAsia="Calibri"/>
          <w:b/>
          <w:color w:val="000000"/>
        </w:rPr>
        <w:t>220,7 процентных пунктов</w:t>
      </w:r>
      <w:proofErr w:type="gramStart"/>
      <w:r>
        <w:rPr>
          <w:rFonts w:eastAsia="Calibri"/>
          <w:color w:val="000000"/>
        </w:rPr>
        <w:t xml:space="preserve"> .</w:t>
      </w:r>
      <w:proofErr w:type="gramEnd"/>
      <w:r>
        <w:rPr>
          <w:rFonts w:eastAsia="Calibri"/>
          <w:color w:val="000000"/>
        </w:rPr>
        <w:t xml:space="preserve">  </w:t>
      </w:r>
    </w:p>
    <w:p w:rsidR="00364FF6" w:rsidRPr="006B699E" w:rsidRDefault="00364FF6" w:rsidP="00364FF6">
      <w:pPr>
        <w:autoSpaceDE w:val="0"/>
        <w:autoSpaceDN w:val="0"/>
        <w:adjustRightInd w:val="0"/>
        <w:ind w:right="142" w:firstLine="425"/>
        <w:jc w:val="both"/>
        <w:rPr>
          <w:rFonts w:eastAsia="Calibri"/>
          <w:i/>
          <w:color w:val="000000"/>
        </w:rPr>
      </w:pPr>
      <w:r w:rsidRPr="006B699E">
        <w:rPr>
          <w:rFonts w:eastAsia="Calibri"/>
          <w:i/>
          <w:color w:val="000000"/>
        </w:rPr>
        <w:t xml:space="preserve">Увеличение </w:t>
      </w:r>
      <w:r>
        <w:rPr>
          <w:rFonts w:eastAsia="Calibri"/>
          <w:i/>
          <w:color w:val="000000"/>
        </w:rPr>
        <w:t>доли несостоявшихся закупок может быть обусловлено ростом цен на товары и дефицитом отдельных товаров на рынке в связи с введением с 24.02.2022 г. мер ограничительного характера иностранными государствами, совершающими недружественные действия в отношении Российской Федерации (санкции).</w:t>
      </w:r>
    </w:p>
    <w:p w:rsidR="00364FF6" w:rsidRDefault="00364FF6" w:rsidP="00364FF6">
      <w:pPr>
        <w:autoSpaceDE w:val="0"/>
        <w:autoSpaceDN w:val="0"/>
        <w:adjustRightInd w:val="0"/>
        <w:ind w:right="142" w:firstLine="425"/>
        <w:jc w:val="both"/>
        <w:rPr>
          <w:rFonts w:eastAsia="Calibri"/>
          <w:color w:val="000000"/>
        </w:rPr>
      </w:pPr>
      <w:r>
        <w:rPr>
          <w:rFonts w:eastAsia="Calibri"/>
          <w:color w:val="000000"/>
        </w:rPr>
        <w:t>И в то же время наблюдается  уменьшение доли несостоявшихся закупок,  которые в итоге привели к заключению контрактов  по сравнению с прошлым  периодом  2021 году на 13,9 процентных пунктов.</w:t>
      </w:r>
    </w:p>
    <w:p w:rsidR="00364FF6" w:rsidRDefault="00364FF6" w:rsidP="00364FF6">
      <w:pPr>
        <w:autoSpaceDE w:val="0"/>
        <w:autoSpaceDN w:val="0"/>
        <w:adjustRightInd w:val="0"/>
        <w:ind w:right="142" w:firstLine="425"/>
        <w:jc w:val="both"/>
        <w:rPr>
          <w:rFonts w:eastAsia="Calibri"/>
          <w:color w:val="000000"/>
        </w:rPr>
      </w:pPr>
      <w:proofErr w:type="gramStart"/>
      <w:r>
        <w:rPr>
          <w:rFonts w:eastAsia="Calibri"/>
          <w:color w:val="000000"/>
        </w:rPr>
        <w:t>Указанное</w:t>
      </w:r>
      <w:proofErr w:type="gramEnd"/>
      <w:r>
        <w:rPr>
          <w:rFonts w:eastAsia="Calibri"/>
          <w:color w:val="000000"/>
        </w:rPr>
        <w:t xml:space="preserve"> выше может свидетельствовать о нестабильном функционировании контрактной системы в сфере закупок в условиях </w:t>
      </w:r>
      <w:proofErr w:type="spellStart"/>
      <w:r>
        <w:rPr>
          <w:rFonts w:eastAsia="Calibri"/>
          <w:color w:val="000000"/>
        </w:rPr>
        <w:t>санкционного</w:t>
      </w:r>
      <w:proofErr w:type="spellEnd"/>
      <w:r>
        <w:rPr>
          <w:rFonts w:eastAsia="Calibri"/>
          <w:color w:val="000000"/>
        </w:rPr>
        <w:t xml:space="preserve"> давления.</w:t>
      </w:r>
    </w:p>
    <w:p w:rsidR="00EB2905" w:rsidRDefault="00EB2905" w:rsidP="00EB2905">
      <w:pPr>
        <w:spacing w:line="268" w:lineRule="auto"/>
        <w:ind w:firstLine="426"/>
        <w:jc w:val="both"/>
      </w:pPr>
      <w:r w:rsidRPr="00EB2905">
        <w:rPr>
          <w:b/>
        </w:rPr>
        <w:t>18)</w:t>
      </w:r>
      <w:r>
        <w:t xml:space="preserve"> Основными</w:t>
      </w:r>
      <w:r w:rsidRPr="00D94105">
        <w:t xml:space="preserve"> причин</w:t>
      </w:r>
      <w:r>
        <w:t>ами</w:t>
      </w:r>
      <w:r w:rsidRPr="00D94105">
        <w:t xml:space="preserve"> признания </w:t>
      </w:r>
      <w:r>
        <w:t xml:space="preserve">проведенных </w:t>
      </w:r>
      <w:r w:rsidRPr="00D94105">
        <w:t>закупок несостоявшимися</w:t>
      </w:r>
      <w:r>
        <w:t xml:space="preserve"> за 2022 год,</w:t>
      </w:r>
      <w:r w:rsidRPr="00D94105">
        <w:t xml:space="preserve"> </w:t>
      </w:r>
      <w:r>
        <w:t>как и в аналогичном периоде 2021 года, являются:</w:t>
      </w:r>
    </w:p>
    <w:p w:rsidR="00EB2905" w:rsidRDefault="00EB2905" w:rsidP="00EB2905">
      <w:pPr>
        <w:numPr>
          <w:ilvl w:val="0"/>
          <w:numId w:val="18"/>
        </w:numPr>
        <w:ind w:left="0" w:firstLine="425"/>
        <w:jc w:val="both"/>
      </w:pPr>
      <w:r w:rsidRPr="00E541D0">
        <w:rPr>
          <w:b/>
        </w:rPr>
        <w:t>подача на участие в закупке единственной заявки</w:t>
      </w:r>
      <w:r>
        <w:t xml:space="preserve"> и признание ее соответствующей требованиям законодательства о контрактной системе, извещению о закупке, что может свидетельствовать об отсутствии конкуренции при осуществлении закупок.</w:t>
      </w:r>
    </w:p>
    <w:p w:rsidR="00EB2905" w:rsidRDefault="00EB2905" w:rsidP="00EB2905">
      <w:pPr>
        <w:ind w:firstLine="425"/>
        <w:jc w:val="both"/>
      </w:pPr>
      <w:r>
        <w:t xml:space="preserve"> Доля таких закупок в 2022 году составляет  </w:t>
      </w:r>
      <w:r w:rsidRPr="004E0B3C">
        <w:rPr>
          <w:b/>
        </w:rPr>
        <w:t>81,5%</w:t>
      </w:r>
      <w:r>
        <w:t xml:space="preserve">  от всех несостоявшихся закупок (в 2021  году – 54,4%)</w:t>
      </w:r>
      <w:proofErr w:type="gramStart"/>
      <w:r>
        <w:t xml:space="preserve"> ;</w:t>
      </w:r>
      <w:proofErr w:type="gramEnd"/>
    </w:p>
    <w:p w:rsidR="00EB2905" w:rsidRDefault="00EB2905" w:rsidP="00EB2905">
      <w:pPr>
        <w:numPr>
          <w:ilvl w:val="0"/>
          <w:numId w:val="19"/>
        </w:numPr>
        <w:ind w:left="0" w:firstLine="425"/>
        <w:jc w:val="both"/>
      </w:pPr>
      <w:r w:rsidRPr="00EF5E7D">
        <w:rPr>
          <w:b/>
        </w:rPr>
        <w:t>соответствие только одной заявки</w:t>
      </w:r>
      <w:r>
        <w:t xml:space="preserve">, поданной на участие в закупке, требованиям законодательства о контрактной системе, извещению о закупке, что может свидетельствовать как о низком качестве подготовки заявок участниками закупок,  зачастую, приводит к отклонению участников закупок. </w:t>
      </w:r>
    </w:p>
    <w:p w:rsidR="00EB2905" w:rsidRDefault="00EB2905" w:rsidP="00EB2905">
      <w:pPr>
        <w:spacing w:line="268" w:lineRule="auto"/>
        <w:ind w:firstLine="426"/>
        <w:jc w:val="both"/>
      </w:pPr>
      <w:r>
        <w:t>Доля таких закупок в 2022 году составляет  3,4% от всех несостоявшихся закупок</w:t>
      </w:r>
      <w:proofErr w:type="gramStart"/>
      <w:r w:rsidRPr="00202DEE">
        <w:t xml:space="preserve"> </w:t>
      </w:r>
      <w:r>
        <w:t>,</w:t>
      </w:r>
      <w:proofErr w:type="gramEnd"/>
      <w:r>
        <w:t xml:space="preserve"> что на 5,5 процентных пунктов ниже итогов 2021 года (в аналогичном периоде 2021  год – 8,9%).</w:t>
      </w:r>
    </w:p>
    <w:p w:rsidR="00EB2905" w:rsidRDefault="00EB2905" w:rsidP="00EB2905">
      <w:pPr>
        <w:spacing w:line="268" w:lineRule="auto"/>
        <w:ind w:firstLine="426"/>
        <w:jc w:val="both"/>
        <w:rPr>
          <w:i/>
        </w:rPr>
      </w:pPr>
      <w:r w:rsidRPr="003244E4">
        <w:rPr>
          <w:i/>
        </w:rPr>
        <w:t>Данный факт может быть обусловлен</w:t>
      </w:r>
      <w:r>
        <w:rPr>
          <w:i/>
        </w:rPr>
        <w:t xml:space="preserve"> вступлением  </w:t>
      </w:r>
      <w:r w:rsidRPr="003244E4">
        <w:rPr>
          <w:i/>
        </w:rPr>
        <w:t xml:space="preserve">с 01.01.2022 года </w:t>
      </w:r>
      <w:r>
        <w:rPr>
          <w:i/>
        </w:rPr>
        <w:t xml:space="preserve"> в силу основных положений </w:t>
      </w:r>
      <w:r w:rsidRPr="003244E4">
        <w:rPr>
          <w:i/>
        </w:rPr>
        <w:t xml:space="preserve"> Оптимизационного закона (№360 –ФЗ от 02.07.2021</w:t>
      </w:r>
      <w:r>
        <w:rPr>
          <w:i/>
        </w:rPr>
        <w:t>г).</w:t>
      </w:r>
    </w:p>
    <w:p w:rsidR="00EB2905" w:rsidRPr="003244E4" w:rsidRDefault="00EB2905" w:rsidP="006141A5">
      <w:pPr>
        <w:ind w:firstLine="425"/>
        <w:jc w:val="both"/>
        <w:rPr>
          <w:i/>
        </w:rPr>
      </w:pPr>
      <w:r>
        <w:rPr>
          <w:i/>
        </w:rPr>
        <w:t>В</w:t>
      </w:r>
      <w:r w:rsidRPr="003244E4">
        <w:rPr>
          <w:i/>
        </w:rPr>
        <w:t xml:space="preserve"> частности, введены единые требования к содержанию извещения, а также к составу и содержанию заявок. Это  существенно упростило  потенциальным участникам закупок подготовку заявок на участие  в закупке, а также упростило заказчикам рассмотрение и оценку поступивших заявок. Кроме того, </w:t>
      </w:r>
      <w:proofErr w:type="gramStart"/>
      <w:r w:rsidRPr="003244E4">
        <w:rPr>
          <w:i/>
        </w:rPr>
        <w:t>введена</w:t>
      </w:r>
      <w:proofErr w:type="gramEnd"/>
      <w:r w:rsidRPr="003244E4">
        <w:rPr>
          <w:i/>
        </w:rPr>
        <w:t xml:space="preserve"> </w:t>
      </w:r>
      <w:r w:rsidRPr="003244E4">
        <w:rPr>
          <w:i/>
        </w:rPr>
        <w:lastRenderedPageBreak/>
        <w:t>универсальная  «</w:t>
      </w:r>
      <w:proofErr w:type="spellStart"/>
      <w:r w:rsidRPr="003244E4">
        <w:rPr>
          <w:i/>
        </w:rPr>
        <w:t>предквалификация</w:t>
      </w:r>
      <w:proofErr w:type="spellEnd"/>
      <w:r w:rsidRPr="003244E4">
        <w:rPr>
          <w:i/>
        </w:rPr>
        <w:t xml:space="preserve">», когда в закупке с НМЦК свыше 20 млн. руб. сможет участвовать хозяйствующий субъект, уже имеющий опыт исполнения контракта, заключенного в рамках закона №44-ФЗ на сумму не менее 20% от НМЦК. В результате введения данных новаций </w:t>
      </w:r>
      <w:r>
        <w:rPr>
          <w:i/>
        </w:rPr>
        <w:t xml:space="preserve"> предположительно и сократилось </w:t>
      </w:r>
      <w:r w:rsidRPr="003244E4">
        <w:rPr>
          <w:i/>
        </w:rPr>
        <w:t xml:space="preserve"> количеств</w:t>
      </w:r>
      <w:r>
        <w:rPr>
          <w:i/>
        </w:rPr>
        <w:t>о</w:t>
      </w:r>
      <w:r w:rsidRPr="003244E4">
        <w:rPr>
          <w:i/>
        </w:rPr>
        <w:t xml:space="preserve"> отклоненных заявок</w:t>
      </w:r>
      <w:r>
        <w:rPr>
          <w:i/>
        </w:rPr>
        <w:t>.</w:t>
      </w:r>
    </w:p>
    <w:p w:rsidR="00EB2905" w:rsidRDefault="00EB2905" w:rsidP="00EB2905">
      <w:pPr>
        <w:pStyle w:val="ab"/>
        <w:numPr>
          <w:ilvl w:val="0"/>
          <w:numId w:val="24"/>
        </w:numPr>
        <w:spacing w:line="268" w:lineRule="auto"/>
        <w:ind w:left="0" w:firstLine="426"/>
        <w:rPr>
          <w:rFonts w:ascii="Times New Roman" w:hAnsi="Times New Roman" w:cs="Times New Roman"/>
        </w:rPr>
      </w:pPr>
      <w:r>
        <w:rPr>
          <w:rFonts w:ascii="Times New Roman" w:hAnsi="Times New Roman" w:cs="Times New Roman"/>
          <w:b/>
        </w:rPr>
        <w:t>о</w:t>
      </w:r>
      <w:r w:rsidRPr="00202DEE">
        <w:rPr>
          <w:rFonts w:ascii="Times New Roman" w:hAnsi="Times New Roman" w:cs="Times New Roman"/>
          <w:b/>
        </w:rPr>
        <w:t>тсутствие заявок</w:t>
      </w:r>
      <w:r w:rsidRPr="00202DEE">
        <w:rPr>
          <w:rFonts w:ascii="Times New Roman" w:hAnsi="Times New Roman" w:cs="Times New Roman"/>
        </w:rPr>
        <w:t xml:space="preserve"> на участие в закупке, что может свидетельствовать об отсутствии конкуренции при осуществлении закупок. Доля таких закупок в 20</w:t>
      </w:r>
      <w:r>
        <w:rPr>
          <w:rFonts w:ascii="Times New Roman" w:hAnsi="Times New Roman" w:cs="Times New Roman"/>
        </w:rPr>
        <w:t>22</w:t>
      </w:r>
      <w:r w:rsidRPr="00202DEE">
        <w:rPr>
          <w:rFonts w:ascii="Times New Roman" w:hAnsi="Times New Roman" w:cs="Times New Roman"/>
        </w:rPr>
        <w:t xml:space="preserve"> году составляет  </w:t>
      </w:r>
      <w:r>
        <w:rPr>
          <w:rFonts w:ascii="Times New Roman" w:hAnsi="Times New Roman" w:cs="Times New Roman"/>
          <w:b/>
        </w:rPr>
        <w:t>11,8</w:t>
      </w:r>
      <w:r w:rsidRPr="00202DEE">
        <w:rPr>
          <w:rFonts w:ascii="Times New Roman" w:hAnsi="Times New Roman" w:cs="Times New Roman"/>
          <w:b/>
        </w:rPr>
        <w:t>%</w:t>
      </w:r>
      <w:r w:rsidRPr="00202DEE">
        <w:rPr>
          <w:rFonts w:ascii="Times New Roman" w:hAnsi="Times New Roman" w:cs="Times New Roman"/>
        </w:rPr>
        <w:t xml:space="preserve"> от всех несостоявшихся закупок</w:t>
      </w:r>
      <w:r>
        <w:rPr>
          <w:rFonts w:ascii="Times New Roman" w:hAnsi="Times New Roman" w:cs="Times New Roman"/>
        </w:rPr>
        <w:t>, что на 21,1 процентных пунктов ниже показателя за аналогичный период 2021 года, составивший 32,9</w:t>
      </w:r>
      <w:r w:rsidRPr="00202DEE">
        <w:rPr>
          <w:rFonts w:ascii="Times New Roman" w:hAnsi="Times New Roman" w:cs="Times New Roman"/>
        </w:rPr>
        <w:t>%</w:t>
      </w:r>
      <w:r>
        <w:rPr>
          <w:rFonts w:ascii="Times New Roman" w:hAnsi="Times New Roman" w:cs="Times New Roman"/>
        </w:rPr>
        <w:t>.</w:t>
      </w:r>
    </w:p>
    <w:p w:rsidR="00EB2905" w:rsidRDefault="00EB2905" w:rsidP="00EB2905">
      <w:pPr>
        <w:spacing w:line="268" w:lineRule="auto"/>
        <w:ind w:firstLine="426"/>
        <w:jc w:val="both"/>
        <w:rPr>
          <w:rFonts w:eastAsia="Calibri"/>
          <w:i/>
          <w:color w:val="000000"/>
        </w:rPr>
      </w:pPr>
      <w:r>
        <w:rPr>
          <w:rFonts w:eastAsia="Calibri"/>
          <w:i/>
          <w:color w:val="000000"/>
        </w:rPr>
        <w:t xml:space="preserve">В результате применения антикризисных мер, разработанных Правительством РФ и Правительством Ленинградской области </w:t>
      </w:r>
      <w:proofErr w:type="gramStart"/>
      <w:r>
        <w:rPr>
          <w:rFonts w:eastAsia="Calibri"/>
          <w:i/>
          <w:color w:val="000000"/>
        </w:rPr>
        <w:t>начиная с апреля 2022 года отмечена тенденция по</w:t>
      </w:r>
      <w:proofErr w:type="gramEnd"/>
      <w:r>
        <w:rPr>
          <w:rFonts w:eastAsia="Calibri"/>
          <w:i/>
          <w:color w:val="000000"/>
        </w:rPr>
        <w:t xml:space="preserve"> снижению доли несостоявшихся закупок по причине отсутствия участников.</w:t>
      </w:r>
    </w:p>
    <w:p w:rsidR="00EB2905" w:rsidRPr="00EF5E7D" w:rsidRDefault="00EB2905" w:rsidP="00EB2905">
      <w:pPr>
        <w:autoSpaceDE w:val="0"/>
        <w:autoSpaceDN w:val="0"/>
        <w:adjustRightInd w:val="0"/>
        <w:ind w:firstLine="425"/>
        <w:jc w:val="both"/>
        <w:rPr>
          <w:rFonts w:eastAsia="Calibri"/>
          <w:color w:val="000000"/>
        </w:rPr>
      </w:pPr>
      <w:r w:rsidRPr="00EB2905">
        <w:rPr>
          <w:rFonts w:eastAsia="Calibri"/>
          <w:b/>
          <w:color w:val="000000"/>
        </w:rPr>
        <w:t xml:space="preserve">19) </w:t>
      </w:r>
      <w:r>
        <w:rPr>
          <w:rFonts w:eastAsia="Calibri"/>
          <w:color w:val="000000"/>
        </w:rPr>
        <w:t>П</w:t>
      </w:r>
      <w:r w:rsidRPr="003A4799">
        <w:rPr>
          <w:rFonts w:eastAsia="Calibri"/>
          <w:color w:val="000000"/>
        </w:rPr>
        <w:t>оскольку</w:t>
      </w:r>
      <w:r>
        <w:rPr>
          <w:rFonts w:eastAsia="Calibri"/>
          <w:color w:val="000000"/>
        </w:rPr>
        <w:t>,</w:t>
      </w:r>
      <w:r w:rsidRPr="003A4799">
        <w:rPr>
          <w:rFonts w:eastAsia="Calibri"/>
          <w:color w:val="000000"/>
        </w:rPr>
        <w:t xml:space="preserve"> </w:t>
      </w:r>
      <w:r>
        <w:rPr>
          <w:rFonts w:eastAsia="Calibri"/>
          <w:color w:val="000000"/>
        </w:rPr>
        <w:t xml:space="preserve">как уже отмечалось выше,  </w:t>
      </w:r>
      <w:r>
        <w:rPr>
          <w:rFonts w:eastAsia="Calibri"/>
          <w:b/>
          <w:color w:val="000000"/>
        </w:rPr>
        <w:t>95,2</w:t>
      </w:r>
      <w:r w:rsidRPr="00F37B0E">
        <w:rPr>
          <w:rFonts w:eastAsia="Calibri"/>
          <w:b/>
          <w:color w:val="000000"/>
        </w:rPr>
        <w:t>%</w:t>
      </w:r>
      <w:r w:rsidRPr="003A4799">
        <w:rPr>
          <w:rFonts w:eastAsia="Calibri"/>
          <w:color w:val="000000"/>
        </w:rPr>
        <w:t xml:space="preserve"> закупок осуществлялись заказчиками путем проведения </w:t>
      </w:r>
      <w:r w:rsidRPr="000A3127">
        <w:rPr>
          <w:rFonts w:eastAsia="Calibri"/>
          <w:b/>
          <w:color w:val="000000"/>
        </w:rPr>
        <w:t>электронного аукциона</w:t>
      </w:r>
      <w:r w:rsidRPr="003A4799">
        <w:rPr>
          <w:rFonts w:eastAsia="Calibri"/>
          <w:color w:val="000000"/>
        </w:rPr>
        <w:t xml:space="preserve">, в связи с этим </w:t>
      </w:r>
      <w:r>
        <w:rPr>
          <w:rFonts w:eastAsia="Calibri"/>
          <w:color w:val="000000"/>
        </w:rPr>
        <w:t xml:space="preserve">существенную долю в общее количество несостоявшихся закупок  внесли аукционы – </w:t>
      </w:r>
      <w:r w:rsidRPr="0083434C">
        <w:rPr>
          <w:rFonts w:eastAsia="Calibri"/>
          <w:b/>
          <w:color w:val="000000"/>
        </w:rPr>
        <w:t>70,4%</w:t>
      </w:r>
      <w:r>
        <w:rPr>
          <w:rFonts w:eastAsia="Calibri"/>
          <w:b/>
          <w:color w:val="000000"/>
        </w:rPr>
        <w:t xml:space="preserve"> </w:t>
      </w:r>
      <w:r>
        <w:rPr>
          <w:rFonts w:eastAsia="Calibri"/>
          <w:color w:val="000000"/>
        </w:rPr>
        <w:t xml:space="preserve"> которых признаны несостоявшимися. При этом их доля от общего числа и общей </w:t>
      </w:r>
      <w:proofErr w:type="gramStart"/>
      <w:r>
        <w:rPr>
          <w:rFonts w:eastAsia="Calibri"/>
          <w:color w:val="000000"/>
        </w:rPr>
        <w:t>суммы</w:t>
      </w:r>
      <w:proofErr w:type="gramEnd"/>
      <w:r>
        <w:rPr>
          <w:rFonts w:eastAsia="Calibri"/>
          <w:color w:val="000000"/>
        </w:rPr>
        <w:t xml:space="preserve"> несостоявшихся в отчетном периоде закупок составляет  около  </w:t>
      </w:r>
      <w:r>
        <w:rPr>
          <w:rFonts w:eastAsia="Calibri"/>
          <w:b/>
          <w:color w:val="000000"/>
        </w:rPr>
        <w:t>94,1</w:t>
      </w:r>
      <w:r w:rsidRPr="0057003A">
        <w:rPr>
          <w:rFonts w:eastAsia="Calibri"/>
          <w:b/>
          <w:color w:val="000000"/>
        </w:rPr>
        <w:t>%</w:t>
      </w:r>
      <w:r>
        <w:rPr>
          <w:rFonts w:eastAsia="Calibri"/>
          <w:b/>
          <w:color w:val="000000"/>
        </w:rPr>
        <w:t xml:space="preserve"> </w:t>
      </w:r>
      <w:r w:rsidRPr="00EF5E7D">
        <w:rPr>
          <w:rFonts w:eastAsia="Calibri"/>
          <w:color w:val="000000"/>
        </w:rPr>
        <w:t>и</w:t>
      </w:r>
      <w:r>
        <w:rPr>
          <w:rFonts w:eastAsia="Calibri"/>
          <w:b/>
          <w:color w:val="000000"/>
        </w:rPr>
        <w:t xml:space="preserve"> 76,9% </w:t>
      </w:r>
      <w:r w:rsidRPr="00EF5E7D">
        <w:rPr>
          <w:rFonts w:eastAsia="Calibri"/>
          <w:color w:val="000000"/>
        </w:rPr>
        <w:t>соответственно.</w:t>
      </w:r>
    </w:p>
    <w:p w:rsidR="00EB2905" w:rsidRDefault="00EB2905" w:rsidP="00EB2905">
      <w:pPr>
        <w:spacing w:line="260" w:lineRule="auto"/>
        <w:ind w:right="-2" w:firstLine="426"/>
        <w:jc w:val="both"/>
        <w:rPr>
          <w:noProof/>
        </w:rPr>
      </w:pPr>
      <w:r w:rsidRPr="00EB2905">
        <w:rPr>
          <w:rFonts w:eastAsia="Calibri"/>
          <w:b/>
          <w:color w:val="000000"/>
        </w:rPr>
        <w:t xml:space="preserve">20) </w:t>
      </w:r>
      <w:r w:rsidRPr="00F10054">
        <w:rPr>
          <w:bCs/>
        </w:rPr>
        <w:t xml:space="preserve">По итогам </w:t>
      </w:r>
      <w:r>
        <w:rPr>
          <w:bCs/>
        </w:rPr>
        <w:t xml:space="preserve"> </w:t>
      </w:r>
      <w:r w:rsidRPr="00F10054">
        <w:rPr>
          <w:bCs/>
        </w:rPr>
        <w:t>20</w:t>
      </w:r>
      <w:r>
        <w:rPr>
          <w:bCs/>
        </w:rPr>
        <w:t>22</w:t>
      </w:r>
      <w:r w:rsidRPr="00F10054">
        <w:rPr>
          <w:bCs/>
        </w:rPr>
        <w:t xml:space="preserve"> года </w:t>
      </w:r>
      <w:r>
        <w:rPr>
          <w:bCs/>
        </w:rPr>
        <w:t xml:space="preserve"> </w:t>
      </w:r>
      <w:r w:rsidRPr="00E65E87">
        <w:rPr>
          <w:b/>
          <w:bCs/>
        </w:rPr>
        <w:t>3</w:t>
      </w:r>
      <w:r w:rsidRPr="00D94105">
        <w:t xml:space="preserve"> </w:t>
      </w:r>
      <w:r w:rsidRPr="00DF1F9E">
        <w:rPr>
          <w:b/>
        </w:rPr>
        <w:t>закупки</w:t>
      </w:r>
      <w:r>
        <w:t xml:space="preserve"> (2,5% от общего количества несостоявшихся закупок) </w:t>
      </w:r>
      <w:r w:rsidRPr="00D94105">
        <w:t xml:space="preserve">на общую сумму </w:t>
      </w:r>
      <w:r>
        <w:t xml:space="preserve"> </w:t>
      </w:r>
      <w:r>
        <w:rPr>
          <w:b/>
        </w:rPr>
        <w:t>12 300,6</w:t>
      </w:r>
      <w:r w:rsidRPr="00182B5D">
        <w:rPr>
          <w:b/>
        </w:rPr>
        <w:t xml:space="preserve"> тыс. руб</w:t>
      </w:r>
      <w:r>
        <w:t>.</w:t>
      </w:r>
      <w:r w:rsidRPr="00D94105">
        <w:t xml:space="preserve"> были отменены</w:t>
      </w:r>
      <w:r>
        <w:t xml:space="preserve">  </w:t>
      </w:r>
      <w:r w:rsidRPr="00692F5C">
        <w:rPr>
          <w:b/>
        </w:rPr>
        <w:t>по решению заказчика</w:t>
      </w:r>
      <w:r>
        <w:rPr>
          <w:b/>
        </w:rPr>
        <w:t xml:space="preserve">  </w:t>
      </w:r>
      <w:r w:rsidRPr="007B0CA4">
        <w:t>(организации, осуществляющей определение поставщика (подрядчика, исполнителя) для заказчика)</w:t>
      </w:r>
      <w:r>
        <w:t>.</w:t>
      </w:r>
      <w:r w:rsidRPr="00D94105">
        <w:rPr>
          <w:noProof/>
        </w:rPr>
        <w:t xml:space="preserve"> </w:t>
      </w:r>
    </w:p>
    <w:p w:rsidR="00EB2905" w:rsidRDefault="00EB2905" w:rsidP="00EB2905">
      <w:pPr>
        <w:autoSpaceDE w:val="0"/>
        <w:autoSpaceDN w:val="0"/>
        <w:adjustRightInd w:val="0"/>
        <w:ind w:right="-2" w:firstLine="426"/>
        <w:jc w:val="both"/>
        <w:rPr>
          <w:rFonts w:eastAsia="Calibri"/>
          <w:color w:val="000000"/>
        </w:rPr>
      </w:pPr>
      <w:r>
        <w:rPr>
          <w:rFonts w:eastAsia="Calibri"/>
          <w:color w:val="000000"/>
        </w:rPr>
        <w:t>Отмечается увеличение стоимостного объема отмененных определений поставщика (подрядчика, исполнителя) по сравнению с базисным периодом на 53,8% при одновременном сохранении количественного объема на уровне 2021 года. В аналогичном периоде прошлого года были отменены 3 закупки на сумму 7 997,4 тыс. руб.</w:t>
      </w:r>
    </w:p>
    <w:p w:rsidR="00A760F3" w:rsidRDefault="00A760F3" w:rsidP="00A760F3">
      <w:pPr>
        <w:ind w:firstLine="425"/>
        <w:jc w:val="both"/>
        <w:rPr>
          <w:i/>
        </w:rPr>
      </w:pPr>
      <w:r>
        <w:rPr>
          <w:rFonts w:eastAsia="Calibri"/>
          <w:b/>
          <w:color w:val="000000"/>
        </w:rPr>
        <w:t xml:space="preserve">21) </w:t>
      </w:r>
      <w:r w:rsidRPr="002A618E">
        <w:t>В проверяемом периоде 2022 года администрациями городских и сельских поселениями Приозерского муниципального района  мероприятия по осуществлению закупок исполнялись</w:t>
      </w:r>
      <w:r>
        <w:t xml:space="preserve"> </w:t>
      </w:r>
      <w:r w:rsidRPr="006A4869">
        <w:t xml:space="preserve">путем заключения </w:t>
      </w:r>
      <w:r w:rsidRPr="006A4869">
        <w:rPr>
          <w:i/>
        </w:rPr>
        <w:t>контрактов с единственным поставщиком на основании п</w:t>
      </w:r>
      <w:r>
        <w:rPr>
          <w:i/>
        </w:rPr>
        <w:t xml:space="preserve">унктов  </w:t>
      </w:r>
      <w:r w:rsidRPr="000C0410">
        <w:rPr>
          <w:b/>
        </w:rPr>
        <w:t xml:space="preserve">1, </w:t>
      </w:r>
      <w:r>
        <w:rPr>
          <w:b/>
        </w:rPr>
        <w:t xml:space="preserve">2, </w:t>
      </w:r>
      <w:r w:rsidRPr="000C0410">
        <w:rPr>
          <w:b/>
        </w:rPr>
        <w:t>6, 8, 22,23,29</w:t>
      </w:r>
      <w:r>
        <w:rPr>
          <w:i/>
        </w:rPr>
        <w:t xml:space="preserve">  части 1 статьи </w:t>
      </w:r>
      <w:r w:rsidRPr="006A4869">
        <w:rPr>
          <w:i/>
        </w:rPr>
        <w:t xml:space="preserve"> 93 Закона 44-ФЗ. </w:t>
      </w:r>
    </w:p>
    <w:p w:rsidR="00A760F3" w:rsidRPr="001B2B72" w:rsidRDefault="00A760F3" w:rsidP="00A760F3">
      <w:pPr>
        <w:ind w:firstLine="425"/>
        <w:jc w:val="both"/>
      </w:pPr>
      <w:r w:rsidRPr="001B2B72">
        <w:t>Согласно данным ЕИС в 20</w:t>
      </w:r>
      <w:r>
        <w:t>22</w:t>
      </w:r>
      <w:r w:rsidRPr="001B2B72">
        <w:t xml:space="preserve"> году общий объем контрактов, заключенных  заказчиками с единственным поставщиком, составил </w:t>
      </w:r>
      <w:r>
        <w:rPr>
          <w:b/>
        </w:rPr>
        <w:t xml:space="preserve">792 006,9 </w:t>
      </w:r>
      <w:r w:rsidRPr="001B2B72">
        <w:rPr>
          <w:b/>
        </w:rPr>
        <w:t>тыс. руб</w:t>
      </w:r>
      <w:r w:rsidRPr="001B2B72">
        <w:t xml:space="preserve">. с общим количеством – </w:t>
      </w:r>
      <w:r>
        <w:rPr>
          <w:b/>
        </w:rPr>
        <w:t xml:space="preserve">188 </w:t>
      </w:r>
      <w:r w:rsidRPr="001B2B72">
        <w:rPr>
          <w:b/>
        </w:rPr>
        <w:t>контрактов</w:t>
      </w:r>
      <w:r w:rsidRPr="001B2B72">
        <w:t>, из них:</w:t>
      </w:r>
    </w:p>
    <w:p w:rsidR="00A760F3" w:rsidRPr="001B2B72" w:rsidRDefault="00A760F3" w:rsidP="00A760F3">
      <w:pPr>
        <w:numPr>
          <w:ilvl w:val="0"/>
          <w:numId w:val="20"/>
        </w:numPr>
        <w:ind w:left="0" w:firstLine="425"/>
        <w:jc w:val="both"/>
        <w:rPr>
          <w:u w:val="single"/>
        </w:rPr>
      </w:pPr>
      <w:r w:rsidRPr="001B2B72">
        <w:rPr>
          <w:b/>
        </w:rPr>
        <w:t>8</w:t>
      </w:r>
      <w:r>
        <w:rPr>
          <w:b/>
        </w:rPr>
        <w:t>7</w:t>
      </w:r>
      <w:r w:rsidRPr="001B2B72">
        <w:rPr>
          <w:b/>
        </w:rPr>
        <w:t xml:space="preserve"> контрактов</w:t>
      </w:r>
      <w:r w:rsidRPr="001B2B72">
        <w:t xml:space="preserve"> общим объемом  </w:t>
      </w:r>
      <w:r>
        <w:rPr>
          <w:b/>
        </w:rPr>
        <w:t xml:space="preserve">356 463,4 </w:t>
      </w:r>
      <w:r w:rsidRPr="001B2B72">
        <w:rPr>
          <w:b/>
        </w:rPr>
        <w:t>тыс. руб</w:t>
      </w:r>
      <w:r>
        <w:rPr>
          <w:b/>
        </w:rPr>
        <w:t>.</w:t>
      </w:r>
      <w:r w:rsidRPr="001B2B72">
        <w:t xml:space="preserve"> (</w:t>
      </w:r>
      <w:r>
        <w:t>37,0</w:t>
      </w:r>
      <w:r w:rsidRPr="001B2B72">
        <w:t xml:space="preserve">% и </w:t>
      </w:r>
      <w:r>
        <w:t>38,7</w:t>
      </w:r>
      <w:r w:rsidRPr="001B2B72">
        <w:t xml:space="preserve">% от общего количества и объема заключенных в отчетном периоде контрактов соответственно) - </w:t>
      </w:r>
      <w:r w:rsidRPr="001B2B72">
        <w:rPr>
          <w:u w:val="single"/>
        </w:rPr>
        <w:t xml:space="preserve">без учета контрактов, заключенных по результатам несостоявшихся конкурентных закупок; </w:t>
      </w:r>
    </w:p>
    <w:p w:rsidR="00A760F3" w:rsidRPr="00A3596C" w:rsidRDefault="00A760F3" w:rsidP="00A760F3">
      <w:pPr>
        <w:numPr>
          <w:ilvl w:val="0"/>
          <w:numId w:val="20"/>
        </w:numPr>
        <w:spacing w:after="120" w:line="300" w:lineRule="exact"/>
        <w:ind w:left="0" w:firstLine="425"/>
        <w:jc w:val="both"/>
        <w:rPr>
          <w:u w:val="single"/>
        </w:rPr>
      </w:pPr>
      <w:r>
        <w:rPr>
          <w:b/>
        </w:rPr>
        <w:t>101</w:t>
      </w:r>
      <w:r w:rsidRPr="001B2B72">
        <w:rPr>
          <w:b/>
        </w:rPr>
        <w:t xml:space="preserve"> контракт</w:t>
      </w:r>
      <w:r>
        <w:rPr>
          <w:b/>
        </w:rPr>
        <w:t>ов</w:t>
      </w:r>
      <w:r w:rsidRPr="001B2B72">
        <w:t xml:space="preserve"> общим объемом </w:t>
      </w:r>
      <w:r>
        <w:t xml:space="preserve"> </w:t>
      </w:r>
      <w:r w:rsidRPr="00EF3FC0">
        <w:rPr>
          <w:b/>
        </w:rPr>
        <w:t>435 543,5 тыс</w:t>
      </w:r>
      <w:r w:rsidRPr="001B2B72">
        <w:rPr>
          <w:b/>
        </w:rPr>
        <w:t>. руб.</w:t>
      </w:r>
      <w:r w:rsidRPr="001B2B72">
        <w:t xml:space="preserve"> (</w:t>
      </w:r>
      <w:r>
        <w:t>43,0</w:t>
      </w:r>
      <w:r w:rsidRPr="001B2B72">
        <w:t xml:space="preserve">% и </w:t>
      </w:r>
      <w:r>
        <w:t>47,3</w:t>
      </w:r>
      <w:r w:rsidRPr="001B2B72">
        <w:t>% от общего количества и объема заключенных</w:t>
      </w:r>
      <w:r>
        <w:t xml:space="preserve"> в отчетном периоде контрактов соответственно) - </w:t>
      </w:r>
      <w:r w:rsidRPr="00312995">
        <w:rPr>
          <w:u w:val="single"/>
        </w:rPr>
        <w:t xml:space="preserve"> контракт</w:t>
      </w:r>
      <w:r>
        <w:rPr>
          <w:u w:val="single"/>
        </w:rPr>
        <w:t>ы</w:t>
      </w:r>
      <w:r w:rsidRPr="00312995">
        <w:rPr>
          <w:u w:val="single"/>
        </w:rPr>
        <w:t>, заключенн</w:t>
      </w:r>
      <w:r>
        <w:rPr>
          <w:u w:val="single"/>
        </w:rPr>
        <w:t>ые</w:t>
      </w:r>
      <w:r w:rsidRPr="00312995">
        <w:rPr>
          <w:u w:val="single"/>
        </w:rPr>
        <w:t xml:space="preserve"> по результатам несостоявшихся конкурентных процедур.</w:t>
      </w:r>
    </w:p>
    <w:p w:rsidR="00A760F3" w:rsidRDefault="00A760F3" w:rsidP="00A760F3">
      <w:pPr>
        <w:jc w:val="both"/>
      </w:pPr>
      <w:r>
        <w:t xml:space="preserve">      </w:t>
      </w:r>
      <w:r w:rsidRPr="00A3596C">
        <w:t>В сравнении</w:t>
      </w:r>
      <w:r>
        <w:t xml:space="preserve"> с аналогичным показателем отчетного периода 2021 года наблюдается увеличение  на  </w:t>
      </w:r>
      <w:r>
        <w:rPr>
          <w:b/>
        </w:rPr>
        <w:t>45,7</w:t>
      </w:r>
      <w:r w:rsidRPr="00CE7C8F">
        <w:rPr>
          <w:b/>
        </w:rPr>
        <w:t>%</w:t>
      </w:r>
      <w:r>
        <w:t xml:space="preserve">  количества контрактов, заключенных с единственным поставщиком, при значительном росте  стоимостного объема на  630 937,4 тыс. руб. (на </w:t>
      </w:r>
      <w:r>
        <w:rPr>
          <w:b/>
        </w:rPr>
        <w:t xml:space="preserve">391,7% </w:t>
      </w:r>
      <w:r>
        <w:t xml:space="preserve">(почти в 5 раз)).     </w:t>
      </w:r>
    </w:p>
    <w:p w:rsidR="00A760F3" w:rsidRPr="00CE7C8F" w:rsidRDefault="00A760F3" w:rsidP="00A760F3">
      <w:pPr>
        <w:ind w:firstLine="425"/>
        <w:jc w:val="both"/>
      </w:pPr>
      <w:r w:rsidRPr="00CE7C8F">
        <w:t>Для сравнения в 20</w:t>
      </w:r>
      <w:r>
        <w:t>21</w:t>
      </w:r>
      <w:r w:rsidRPr="00CE7C8F">
        <w:t xml:space="preserve"> году </w:t>
      </w:r>
      <w:r>
        <w:t>объем закупок у единственного поставщика составлял 161 069,5 тыс. руб.</w:t>
      </w:r>
      <w:proofErr w:type="gramStart"/>
      <w:r>
        <w:t xml:space="preserve"> ,</w:t>
      </w:r>
      <w:proofErr w:type="gramEnd"/>
      <w:r>
        <w:t xml:space="preserve"> было заключено по итогам 2021 года - 129 контрактов).</w:t>
      </w:r>
    </w:p>
    <w:p w:rsidR="00A760F3" w:rsidRDefault="00A760F3" w:rsidP="00A760F3">
      <w:pPr>
        <w:ind w:firstLine="425"/>
        <w:jc w:val="both"/>
      </w:pPr>
      <w:proofErr w:type="gramStart"/>
      <w:r w:rsidRPr="00573DCC">
        <w:rPr>
          <w:i/>
        </w:rPr>
        <w:t>Указанное</w:t>
      </w:r>
      <w:proofErr w:type="gramEnd"/>
      <w:r w:rsidRPr="00573DCC">
        <w:rPr>
          <w:i/>
        </w:rPr>
        <w:t xml:space="preserve">, в том числе, обусловлено вступившими в силу изменениями законодательства о контрактной системе в части введения специальных </w:t>
      </w:r>
      <w:proofErr w:type="spellStart"/>
      <w:r w:rsidRPr="00573DCC">
        <w:rPr>
          <w:i/>
        </w:rPr>
        <w:t>антисанкционных</w:t>
      </w:r>
      <w:proofErr w:type="spellEnd"/>
      <w:r w:rsidRPr="00573DCC">
        <w:rPr>
          <w:i/>
        </w:rPr>
        <w:t xml:space="preserve"> мер по нивелированию негативных последствий от введения </w:t>
      </w:r>
      <w:r w:rsidRPr="00573DCC">
        <w:rPr>
          <w:i/>
        </w:rPr>
        <w:lastRenderedPageBreak/>
        <w:t>иностранными государствами санкций, предусматривающими возможность осуществления заказчиками закупок у единственного поставщика (подрядчика, исполнителя).</w:t>
      </w:r>
      <w:r>
        <w:rPr>
          <w:i/>
        </w:rPr>
        <w:t xml:space="preserve"> </w:t>
      </w:r>
      <w:r w:rsidRPr="00573DCC">
        <w:t>Возможность осуществления закупок в соответствии со ст. 15 Федерального закона от 08.03.2022 № 46-ФЗ, либо п. 2 ч. 1 ст. 93 Закона № 44-ФЗ</w:t>
      </w:r>
      <w:r>
        <w:t>.</w:t>
      </w:r>
    </w:p>
    <w:p w:rsidR="009E6A15" w:rsidRDefault="009E6A15" w:rsidP="009E6A15">
      <w:pPr>
        <w:ind w:firstLine="425"/>
        <w:jc w:val="both"/>
      </w:pPr>
      <w:r w:rsidRPr="009E6A15">
        <w:rPr>
          <w:b/>
        </w:rPr>
        <w:t>22)</w:t>
      </w:r>
      <w:r>
        <w:rPr>
          <w:b/>
        </w:rPr>
        <w:t xml:space="preserve"> </w:t>
      </w:r>
      <w:r>
        <w:t>Заказчиками  в 2022 году  з</w:t>
      </w:r>
      <w:r w:rsidRPr="00D106A8">
        <w:t xml:space="preserve">акупок в целях оперативного проведения мероприятий по профилактике, предупреждению, ликвидации последствий распространения новой </w:t>
      </w:r>
      <w:proofErr w:type="spellStart"/>
      <w:r w:rsidRPr="00D106A8">
        <w:t>коронавирусной</w:t>
      </w:r>
      <w:proofErr w:type="spellEnd"/>
      <w:r w:rsidRPr="00D106A8">
        <w:t xml:space="preserve"> инфекции</w:t>
      </w:r>
      <w:r>
        <w:t xml:space="preserve"> </w:t>
      </w:r>
      <w:r w:rsidRPr="00D106A8">
        <w:t>(</w:t>
      </w:r>
      <w:r w:rsidRPr="00D106A8">
        <w:rPr>
          <w:lang w:val="en-US"/>
        </w:rPr>
        <w:t>COVID</w:t>
      </w:r>
      <w:r w:rsidRPr="00D106A8">
        <w:t>-19)</w:t>
      </w:r>
      <w:r>
        <w:t xml:space="preserve"> </w:t>
      </w:r>
      <w:r w:rsidRPr="00CE5D3D">
        <w:rPr>
          <w:b/>
        </w:rPr>
        <w:t>не осуществлялось</w:t>
      </w:r>
      <w:r>
        <w:t xml:space="preserve">. </w:t>
      </w:r>
    </w:p>
    <w:p w:rsidR="009E6A15" w:rsidRPr="006E4254" w:rsidRDefault="009E6A15" w:rsidP="009E6A15">
      <w:pPr>
        <w:ind w:firstLine="425"/>
        <w:jc w:val="both"/>
        <w:rPr>
          <w:i/>
        </w:rPr>
      </w:pPr>
      <w:r w:rsidRPr="006E4254">
        <w:rPr>
          <w:i/>
        </w:rPr>
        <w:t xml:space="preserve">Это </w:t>
      </w:r>
      <w:r>
        <w:rPr>
          <w:i/>
        </w:rPr>
        <w:t xml:space="preserve">может быть </w:t>
      </w:r>
      <w:r w:rsidRPr="006E4254">
        <w:rPr>
          <w:i/>
        </w:rPr>
        <w:t xml:space="preserve">обусловлено </w:t>
      </w:r>
      <w:r>
        <w:rPr>
          <w:i/>
        </w:rPr>
        <w:t xml:space="preserve">снижением в 2022 году заболеваемости населения Приозерского района, прежде всего </w:t>
      </w:r>
      <w:proofErr w:type="spellStart"/>
      <w:r>
        <w:rPr>
          <w:i/>
        </w:rPr>
        <w:t>коронавирусной</w:t>
      </w:r>
      <w:proofErr w:type="spellEnd"/>
      <w:r>
        <w:rPr>
          <w:i/>
        </w:rPr>
        <w:t xml:space="preserve"> инфекцией, и как следствие, </w:t>
      </w:r>
      <w:r w:rsidRPr="006E4254">
        <w:rPr>
          <w:i/>
        </w:rPr>
        <w:t>отсутствием в 20</w:t>
      </w:r>
      <w:r>
        <w:rPr>
          <w:i/>
        </w:rPr>
        <w:t>22</w:t>
      </w:r>
      <w:r w:rsidRPr="006E4254">
        <w:rPr>
          <w:i/>
        </w:rPr>
        <w:t xml:space="preserve"> году потребности в закупках, проводимых в целях осуществления мер, направленных на противодействие распространению на территории Приозерского района новой </w:t>
      </w:r>
      <w:proofErr w:type="spellStart"/>
      <w:r w:rsidRPr="006E4254">
        <w:rPr>
          <w:i/>
        </w:rPr>
        <w:t>коронавирусной</w:t>
      </w:r>
      <w:proofErr w:type="spellEnd"/>
      <w:r w:rsidRPr="006E4254">
        <w:rPr>
          <w:i/>
        </w:rPr>
        <w:t xml:space="preserve"> инфекции (</w:t>
      </w:r>
      <w:r w:rsidRPr="006E4254">
        <w:rPr>
          <w:i/>
          <w:lang w:val="en-US"/>
        </w:rPr>
        <w:t>COVID</w:t>
      </w:r>
      <w:r w:rsidRPr="006E4254">
        <w:rPr>
          <w:i/>
        </w:rPr>
        <w:t>-19) в объемах 20</w:t>
      </w:r>
      <w:r>
        <w:rPr>
          <w:i/>
        </w:rPr>
        <w:t>21 года.</w:t>
      </w:r>
    </w:p>
    <w:p w:rsidR="009E6A15" w:rsidRDefault="009E6A15" w:rsidP="009E6A15">
      <w:pPr>
        <w:ind w:firstLine="425"/>
        <w:jc w:val="both"/>
        <w:rPr>
          <w:bCs/>
        </w:rPr>
      </w:pPr>
      <w:r>
        <w:t xml:space="preserve">Кроме того, в  2022 году по отношению к аналогичному периоду 2021 года наблюдается  сокращение  на  20,7%  количества контрактов, а также суммарного объема контрактов на  8,7% , заключенных по пунктам  </w:t>
      </w:r>
      <w:r w:rsidRPr="008178F5">
        <w:rPr>
          <w:b/>
        </w:rPr>
        <w:t>1</w:t>
      </w:r>
      <w:r>
        <w:t>,</w:t>
      </w:r>
      <w:r w:rsidRPr="00952F9E">
        <w:rPr>
          <w:b/>
        </w:rPr>
        <w:t>8, 29</w:t>
      </w:r>
      <w:r>
        <w:t xml:space="preserve"> части 1 статьи 93 Закона №44-ФЗ </w:t>
      </w:r>
      <w:proofErr w:type="gramStart"/>
      <w:r>
        <w:t xml:space="preserve">( </w:t>
      </w:r>
      <w:proofErr w:type="gramEnd"/>
      <w:r>
        <w:t xml:space="preserve">закупка товаров, работ, услуг у субъектов естественных монополий, закупка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ценам (тарифам) </w:t>
      </w:r>
      <w:r w:rsidRPr="00521BC8">
        <w:rPr>
          <w:bCs/>
        </w:rPr>
        <w:t>по договору энергоснабжения или договора купли-продажи электрической энергии с гарантирующим поставщиком электрической энергии</w:t>
      </w:r>
      <w:r w:rsidRPr="008711FA">
        <w:rPr>
          <w:bCs/>
        </w:rPr>
        <w:t xml:space="preserve">). </w:t>
      </w:r>
    </w:p>
    <w:p w:rsidR="009E6A15" w:rsidRDefault="009E6A15" w:rsidP="009E6A15">
      <w:pPr>
        <w:spacing w:after="120" w:line="300" w:lineRule="exact"/>
        <w:ind w:firstLine="425"/>
        <w:jc w:val="both"/>
      </w:pPr>
      <w:r w:rsidRPr="008711FA">
        <w:rPr>
          <w:bCs/>
          <w:i/>
        </w:rPr>
        <w:t>Данн</w:t>
      </w:r>
      <w:r>
        <w:rPr>
          <w:bCs/>
          <w:i/>
        </w:rPr>
        <w:t xml:space="preserve">ое снижение </w:t>
      </w:r>
      <w:r w:rsidRPr="008711FA">
        <w:rPr>
          <w:bCs/>
          <w:i/>
        </w:rPr>
        <w:t>может быть обусловлен</w:t>
      </w:r>
      <w:r>
        <w:rPr>
          <w:bCs/>
          <w:i/>
        </w:rPr>
        <w:t>о</w:t>
      </w:r>
      <w:r w:rsidRPr="008711FA">
        <w:rPr>
          <w:bCs/>
          <w:i/>
        </w:rPr>
        <w:t xml:space="preserve"> </w:t>
      </w:r>
      <w:r>
        <w:rPr>
          <w:bCs/>
          <w:i/>
        </w:rPr>
        <w:t xml:space="preserve"> отсутствием необходимости заключения в 2022 году </w:t>
      </w:r>
      <w:r w:rsidRPr="008711FA">
        <w:rPr>
          <w:bCs/>
          <w:i/>
        </w:rPr>
        <w:t xml:space="preserve"> контрактов на оказание </w:t>
      </w:r>
      <w:r>
        <w:rPr>
          <w:bCs/>
          <w:i/>
        </w:rPr>
        <w:t xml:space="preserve">указанных </w:t>
      </w:r>
      <w:r w:rsidRPr="008711FA">
        <w:rPr>
          <w:bCs/>
          <w:i/>
        </w:rPr>
        <w:t>выше услуг</w:t>
      </w:r>
      <w:r>
        <w:rPr>
          <w:bCs/>
          <w:i/>
        </w:rPr>
        <w:t>, в связи с тем, что в 2021 году были заключены контракты с длительным сроком исполнения.</w:t>
      </w:r>
    </w:p>
    <w:p w:rsidR="009E6A15" w:rsidRPr="00D77677" w:rsidRDefault="009E6A15" w:rsidP="009E6A15">
      <w:pPr>
        <w:jc w:val="both"/>
        <w:rPr>
          <w:i/>
        </w:rPr>
      </w:pPr>
      <w:r>
        <w:t xml:space="preserve">       </w:t>
      </w:r>
      <w:r w:rsidRPr="009E6A15">
        <w:rPr>
          <w:b/>
        </w:rPr>
        <w:t>23)</w:t>
      </w:r>
      <w:r>
        <w:t xml:space="preserve"> </w:t>
      </w:r>
      <w:r w:rsidRPr="00D77677">
        <w:t>Наибольший объем контрактов (</w:t>
      </w:r>
      <w:r w:rsidRPr="00D77677">
        <w:rPr>
          <w:b/>
        </w:rPr>
        <w:t>в стоимостном выражении</w:t>
      </w:r>
      <w:r w:rsidRPr="00D77677">
        <w:t>) с единственным поставщиком</w:t>
      </w:r>
      <w:r>
        <w:t xml:space="preserve"> по  состоявшимся закупкам </w:t>
      </w:r>
      <w:r w:rsidRPr="00D77677">
        <w:t xml:space="preserve">составляют контракты на основании </w:t>
      </w:r>
      <w:r w:rsidRPr="00D77677">
        <w:rPr>
          <w:b/>
        </w:rPr>
        <w:t xml:space="preserve">ст. 15 Федерального закона </w:t>
      </w:r>
      <w:r>
        <w:rPr>
          <w:b/>
        </w:rPr>
        <w:t xml:space="preserve"> </w:t>
      </w:r>
      <w:r w:rsidRPr="00D77677">
        <w:rPr>
          <w:b/>
        </w:rPr>
        <w:t>от 08.03.2022 № 46-ФЗ</w:t>
      </w:r>
      <w:proofErr w:type="gramStart"/>
      <w:r>
        <w:rPr>
          <w:b/>
        </w:rPr>
        <w:t xml:space="preserve"> </w:t>
      </w:r>
      <w:r w:rsidRPr="00D77677">
        <w:t>,</w:t>
      </w:r>
      <w:proofErr w:type="gramEnd"/>
      <w:r w:rsidRPr="00D77677">
        <w:t xml:space="preserve"> </w:t>
      </w:r>
      <w:r w:rsidRPr="00D77677">
        <w:rPr>
          <w:b/>
        </w:rPr>
        <w:t>п. 2 ч. 1 ст</w:t>
      </w:r>
      <w:r>
        <w:rPr>
          <w:b/>
        </w:rPr>
        <w:t xml:space="preserve">атьи </w:t>
      </w:r>
      <w:r w:rsidRPr="00D77677">
        <w:rPr>
          <w:b/>
        </w:rPr>
        <w:t xml:space="preserve"> 93</w:t>
      </w:r>
      <w:r w:rsidRPr="00D77677">
        <w:t xml:space="preserve"> Закона № 44-</w:t>
      </w:r>
      <w:r w:rsidRPr="00D77677">
        <w:rPr>
          <w:i/>
        </w:rPr>
        <w:t xml:space="preserve">ФЗ </w:t>
      </w:r>
      <w:r>
        <w:rPr>
          <w:i/>
        </w:rPr>
        <w:t xml:space="preserve">(на основании  </w:t>
      </w:r>
      <w:r w:rsidRPr="00D77677">
        <w:rPr>
          <w:b/>
          <w:i/>
        </w:rPr>
        <w:t>Постановления №339</w:t>
      </w:r>
      <w:r>
        <w:rPr>
          <w:b/>
          <w:i/>
        </w:rPr>
        <w:t xml:space="preserve">, </w:t>
      </w:r>
      <w:r w:rsidRPr="00D77677">
        <w:rPr>
          <w:i/>
        </w:rPr>
        <w:t>постановления</w:t>
      </w:r>
      <w:r>
        <w:rPr>
          <w:i/>
        </w:rPr>
        <w:t xml:space="preserve"> Правительства Ленинградской области </w:t>
      </w:r>
      <w:r w:rsidRPr="00D77677">
        <w:rPr>
          <w:b/>
          <w:i/>
        </w:rPr>
        <w:t>от 24.03.2022г. №179</w:t>
      </w:r>
      <w:r>
        <w:rPr>
          <w:i/>
        </w:rPr>
        <w:t xml:space="preserve">, устанавливающих случаи осуществления закупок у единственного поставщика   в целях стабилизации ситуации в сфере закупок  </w:t>
      </w:r>
      <w:r w:rsidRPr="00D77677">
        <w:rPr>
          <w:i/>
        </w:rPr>
        <w:t xml:space="preserve">в рамках специальных  </w:t>
      </w:r>
      <w:proofErr w:type="spellStart"/>
      <w:r w:rsidRPr="00D77677">
        <w:rPr>
          <w:i/>
        </w:rPr>
        <w:t>антисанкционных</w:t>
      </w:r>
      <w:proofErr w:type="spellEnd"/>
      <w:r w:rsidRPr="00D77677">
        <w:rPr>
          <w:i/>
        </w:rPr>
        <w:t xml:space="preserve"> мер по нивелированию негативных последствий от введения иностранными государствами санкций. </w:t>
      </w:r>
    </w:p>
    <w:p w:rsidR="009E6A15" w:rsidRDefault="009E6A15" w:rsidP="009E6A15">
      <w:pPr>
        <w:jc w:val="both"/>
        <w:rPr>
          <w:b/>
        </w:rPr>
      </w:pPr>
      <w:r>
        <w:t xml:space="preserve">      </w:t>
      </w:r>
      <w:r w:rsidRPr="00D77677">
        <w:t>По данным основаниям суммарно заключен</w:t>
      </w:r>
      <w:r>
        <w:t xml:space="preserve">о  </w:t>
      </w:r>
      <w:r w:rsidRPr="00303CCD">
        <w:rPr>
          <w:b/>
        </w:rPr>
        <w:t xml:space="preserve">15 контрактов </w:t>
      </w:r>
      <w:r w:rsidRPr="00303CCD">
        <w:t>общим</w:t>
      </w:r>
      <w:r w:rsidRPr="00D77677">
        <w:t xml:space="preserve"> объемом более </w:t>
      </w:r>
      <w:r w:rsidRPr="00303CCD">
        <w:rPr>
          <w:b/>
        </w:rPr>
        <w:t>312 424,6 тыс. руб.</w:t>
      </w:r>
    </w:p>
    <w:p w:rsidR="009E6A15" w:rsidRPr="00976739" w:rsidRDefault="009E6A15" w:rsidP="009E6A15">
      <w:pPr>
        <w:jc w:val="both"/>
        <w:rPr>
          <w:b/>
        </w:rPr>
      </w:pPr>
      <w:r>
        <w:t xml:space="preserve">       </w:t>
      </w:r>
      <w:r w:rsidRPr="00976739">
        <w:t xml:space="preserve">Крупнейшие контракты с единственным поставщиком (подрядчиком, исполнителем) </w:t>
      </w:r>
      <w:r w:rsidRPr="00497A19">
        <w:rPr>
          <w:i/>
        </w:rPr>
        <w:t>по дополнительным основаниям</w:t>
      </w:r>
      <w:r>
        <w:t xml:space="preserve">  (</w:t>
      </w:r>
      <w:r w:rsidRPr="00497A19">
        <w:rPr>
          <w:i/>
        </w:rPr>
        <w:t>осуществления закупок в соответствии со ст. 15 Федерального</w:t>
      </w:r>
      <w:r>
        <w:rPr>
          <w:i/>
        </w:rPr>
        <w:t xml:space="preserve"> закона от 08.03.2022 № 46-ФЗ</w:t>
      </w:r>
      <w:proofErr w:type="gramStart"/>
      <w:r>
        <w:rPr>
          <w:i/>
        </w:rPr>
        <w:t xml:space="preserve"> ,</w:t>
      </w:r>
      <w:proofErr w:type="gramEnd"/>
      <w:r w:rsidRPr="00497A19">
        <w:rPr>
          <w:i/>
        </w:rPr>
        <w:t xml:space="preserve"> п. 2 ч. 1 ст. 93 Закона № 44-ФЗ)</w:t>
      </w:r>
      <w:r>
        <w:rPr>
          <w:sz w:val="20"/>
          <w:szCs w:val="20"/>
        </w:rPr>
        <w:t xml:space="preserve"> </w:t>
      </w:r>
      <w:r>
        <w:t xml:space="preserve"> </w:t>
      </w:r>
      <w:r w:rsidRPr="00976739">
        <w:t xml:space="preserve">в отчетном периоде были заключены </w:t>
      </w:r>
      <w:r>
        <w:t xml:space="preserve"> </w:t>
      </w:r>
      <w:r w:rsidRPr="00976739">
        <w:t xml:space="preserve">в сфере </w:t>
      </w:r>
      <w:r>
        <w:t xml:space="preserve"> с</w:t>
      </w:r>
      <w:r w:rsidRPr="00497A19">
        <w:rPr>
          <w:color w:val="000000"/>
        </w:rPr>
        <w:t>троительств</w:t>
      </w:r>
      <w:r>
        <w:rPr>
          <w:color w:val="000000"/>
        </w:rPr>
        <w:t>а</w:t>
      </w:r>
      <w:r w:rsidRPr="00497A19">
        <w:rPr>
          <w:color w:val="000000"/>
        </w:rPr>
        <w:t>, реконструкци</w:t>
      </w:r>
      <w:r>
        <w:rPr>
          <w:color w:val="000000"/>
        </w:rPr>
        <w:t>и</w:t>
      </w:r>
      <w:r w:rsidRPr="00497A19">
        <w:rPr>
          <w:color w:val="000000"/>
        </w:rPr>
        <w:t>, капитальн</w:t>
      </w:r>
      <w:r>
        <w:rPr>
          <w:color w:val="000000"/>
        </w:rPr>
        <w:t>ого</w:t>
      </w:r>
      <w:r w:rsidRPr="00497A19">
        <w:rPr>
          <w:color w:val="000000"/>
        </w:rPr>
        <w:t xml:space="preserve"> ремонт</w:t>
      </w:r>
      <w:r>
        <w:rPr>
          <w:color w:val="000000"/>
        </w:rPr>
        <w:t xml:space="preserve">а, сноса </w:t>
      </w:r>
      <w:r w:rsidRPr="00497A19">
        <w:rPr>
          <w:color w:val="000000"/>
        </w:rPr>
        <w:t>объекта капитального строительства, проведени</w:t>
      </w:r>
      <w:r>
        <w:rPr>
          <w:color w:val="000000"/>
        </w:rPr>
        <w:t>я</w:t>
      </w:r>
      <w:r w:rsidRPr="00497A19">
        <w:rPr>
          <w:color w:val="000000"/>
        </w:rPr>
        <w:t xml:space="preserve"> работ по сохранению объектов культурного наследия  </w:t>
      </w:r>
      <w:r w:rsidRPr="00976739">
        <w:t xml:space="preserve">общим стоимостным объемом </w:t>
      </w:r>
      <w:r>
        <w:t xml:space="preserve"> </w:t>
      </w:r>
      <w:r w:rsidRPr="00976739">
        <w:t xml:space="preserve">более </w:t>
      </w:r>
      <w:r>
        <w:t xml:space="preserve"> </w:t>
      </w:r>
      <w:r w:rsidRPr="00844387">
        <w:rPr>
          <w:b/>
        </w:rPr>
        <w:t>249 526,5 тыс. руб</w:t>
      </w:r>
      <w:r>
        <w:t>.</w:t>
      </w:r>
    </w:p>
    <w:p w:rsidR="009E6A15" w:rsidRPr="00CE7C8F" w:rsidRDefault="009E6A15" w:rsidP="009E6A15">
      <w:pPr>
        <w:ind w:firstLine="426"/>
        <w:jc w:val="both"/>
      </w:pPr>
      <w:r>
        <w:rPr>
          <w:rFonts w:eastAsia="Calibri"/>
          <w:b/>
          <w:color w:val="000000"/>
        </w:rPr>
        <w:t xml:space="preserve">24) </w:t>
      </w:r>
      <w:r w:rsidRPr="0045378A">
        <w:t>Общий объем контрактов</w:t>
      </w:r>
      <w:proofErr w:type="gramStart"/>
      <w:r>
        <w:t xml:space="preserve"> </w:t>
      </w:r>
      <w:r w:rsidRPr="0045378A">
        <w:t>,</w:t>
      </w:r>
      <w:proofErr w:type="gramEnd"/>
      <w:r w:rsidRPr="0045378A">
        <w:t xml:space="preserve"> заключенных в отчетном периоде с единственным поставщиком по результатам признания конкурентных закупок </w:t>
      </w:r>
      <w:r w:rsidRPr="0045378A">
        <w:rPr>
          <w:b/>
        </w:rPr>
        <w:t>несостоявшимися</w:t>
      </w:r>
      <w:r w:rsidRPr="0045378A">
        <w:t xml:space="preserve"> составил </w:t>
      </w:r>
      <w:r>
        <w:t xml:space="preserve"> </w:t>
      </w:r>
      <w:r w:rsidRPr="0045378A">
        <w:rPr>
          <w:b/>
        </w:rPr>
        <w:t>435 543,5 тыс. руб</w:t>
      </w:r>
      <w:r>
        <w:t xml:space="preserve">. </w:t>
      </w:r>
      <w:r w:rsidRPr="0045378A">
        <w:t>(</w:t>
      </w:r>
      <w:r>
        <w:t>55,0</w:t>
      </w:r>
      <w:r w:rsidRPr="0045378A">
        <w:t>% от общего объема закупок у единственного поставщика (подрядчика, исполнителя</w:t>
      </w:r>
      <w:r>
        <w:rPr>
          <w:sz w:val="28"/>
          <w:szCs w:val="28"/>
        </w:rPr>
        <w:t xml:space="preserve">), </w:t>
      </w:r>
      <w:r w:rsidRPr="0045378A">
        <w:t>было заключено</w:t>
      </w:r>
      <w:r>
        <w:rPr>
          <w:sz w:val="28"/>
          <w:szCs w:val="28"/>
        </w:rPr>
        <w:t xml:space="preserve"> </w:t>
      </w:r>
      <w:r>
        <w:t xml:space="preserve">по итогам  несостоявшихся закупок – </w:t>
      </w:r>
      <w:r w:rsidRPr="0045378A">
        <w:rPr>
          <w:b/>
        </w:rPr>
        <w:t>101 контракт</w:t>
      </w:r>
      <w:r>
        <w:t>.</w:t>
      </w:r>
    </w:p>
    <w:p w:rsidR="009E6A15" w:rsidRPr="00C21059" w:rsidRDefault="009E6A15" w:rsidP="009E6A15">
      <w:pPr>
        <w:ind w:firstLine="426"/>
        <w:jc w:val="both"/>
      </w:pPr>
      <w:r w:rsidRPr="00C26F2F">
        <w:t>В отчетном периоде 20</w:t>
      </w:r>
      <w:r>
        <w:t>22</w:t>
      </w:r>
      <w:r w:rsidRPr="00C26F2F">
        <w:t xml:space="preserve"> года</w:t>
      </w:r>
      <w:r>
        <w:t xml:space="preserve">, по отношению к аналогичному периоду 2021 года наблюдается увеличение на </w:t>
      </w:r>
      <w:r>
        <w:rPr>
          <w:b/>
        </w:rPr>
        <w:t xml:space="preserve">106,0% </w:t>
      </w:r>
      <w:r>
        <w:t xml:space="preserve"> количества контрактов, заключенных с единственным поставщиком по результатам несостоявшихся конкурентных закупок на основании </w:t>
      </w:r>
      <w:r w:rsidRPr="001521BE">
        <w:rPr>
          <w:b/>
        </w:rPr>
        <w:t xml:space="preserve">пункта 25 </w:t>
      </w:r>
      <w:r>
        <w:rPr>
          <w:b/>
        </w:rPr>
        <w:t xml:space="preserve"> </w:t>
      </w:r>
      <w:r w:rsidRPr="001521BE">
        <w:t>ч.</w:t>
      </w:r>
      <w:r>
        <w:t>1 ст. 93 Закона №44-ФЗ,</w:t>
      </w:r>
      <w:proofErr w:type="gramStart"/>
      <w:r>
        <w:t xml:space="preserve"> ,</w:t>
      </w:r>
      <w:proofErr w:type="gramEnd"/>
      <w:r>
        <w:t xml:space="preserve"> при значительном росте  суммарного объема таких контрактов на  </w:t>
      </w:r>
      <w:r w:rsidRPr="00C21059">
        <w:rPr>
          <w:b/>
        </w:rPr>
        <w:t>306,7%</w:t>
      </w:r>
      <w:r>
        <w:rPr>
          <w:b/>
        </w:rPr>
        <w:t xml:space="preserve"> </w:t>
      </w:r>
      <w:r>
        <w:t xml:space="preserve">(почти в 4 раза). </w:t>
      </w:r>
    </w:p>
    <w:p w:rsidR="009E6A15" w:rsidRDefault="009E6A15" w:rsidP="009E6A15">
      <w:pPr>
        <w:ind w:firstLine="426"/>
        <w:jc w:val="both"/>
      </w:pPr>
      <w:r w:rsidRPr="00CE7C8F">
        <w:lastRenderedPageBreak/>
        <w:t>Для сравнения в 20</w:t>
      </w:r>
      <w:r>
        <w:t>21</w:t>
      </w:r>
      <w:r w:rsidRPr="00CE7C8F">
        <w:t xml:space="preserve"> году </w:t>
      </w:r>
      <w:r>
        <w:t>объем закупок с единственным поставщиком на основании пункта 25 ч.1 ст. 93 составлял  107 094,7 тыс. руб.</w:t>
      </w:r>
      <w:proofErr w:type="gramStart"/>
      <w:r>
        <w:t xml:space="preserve"> ,</w:t>
      </w:r>
      <w:proofErr w:type="gramEnd"/>
      <w:r>
        <w:t xml:space="preserve"> было заключено по итогам  несостоявшихся закупок – 49 контрактов.</w:t>
      </w:r>
    </w:p>
    <w:p w:rsidR="009E6A15" w:rsidRPr="00665D7B" w:rsidRDefault="009E6A15" w:rsidP="009E6A15">
      <w:pPr>
        <w:ind w:firstLine="426"/>
        <w:jc w:val="both"/>
        <w:rPr>
          <w:i/>
        </w:rPr>
      </w:pPr>
      <w:r w:rsidRPr="00665D7B">
        <w:rPr>
          <w:i/>
        </w:rPr>
        <w:t>Прирост может быть обусловлен сохраняющимся эффектом от резкого увеличения доли несостоявшимся по причине отсутствия участников закупок в марте 2022 года, вызванного волатильность цен на отдельные виды товаров либо дефицитом отдельных товаров на рынке в результате введения санкций.</w:t>
      </w:r>
    </w:p>
    <w:p w:rsidR="009E6A15" w:rsidRPr="00433D37" w:rsidRDefault="009E6A15" w:rsidP="009E6A15">
      <w:pPr>
        <w:autoSpaceDE w:val="0"/>
        <w:autoSpaceDN w:val="0"/>
        <w:adjustRightInd w:val="0"/>
        <w:ind w:firstLine="425"/>
        <w:jc w:val="both"/>
        <w:outlineLvl w:val="0"/>
        <w:rPr>
          <w:rFonts w:eastAsia="Calibri"/>
          <w:b/>
          <w:bCs/>
        </w:rPr>
      </w:pPr>
      <w:r>
        <w:rPr>
          <w:b/>
        </w:rPr>
        <w:t>25</w:t>
      </w:r>
      <w:r w:rsidR="00784A33" w:rsidRPr="00784A33">
        <w:rPr>
          <w:b/>
        </w:rPr>
        <w:t>)</w:t>
      </w:r>
      <w:r w:rsidR="00784A33">
        <w:t xml:space="preserve"> </w:t>
      </w:r>
      <w:r w:rsidR="00C81D6D">
        <w:t>При проведении электронных процедур в отчетном периоде 20</w:t>
      </w:r>
      <w:r>
        <w:t xml:space="preserve">22 </w:t>
      </w:r>
      <w:r w:rsidR="00C81D6D">
        <w:t xml:space="preserve">года </w:t>
      </w:r>
      <w:r>
        <w:t xml:space="preserve">администрациями </w:t>
      </w:r>
      <w:r w:rsidR="00784A33">
        <w:t>городск</w:t>
      </w:r>
      <w:r>
        <w:t xml:space="preserve">их </w:t>
      </w:r>
      <w:r w:rsidR="00784A33">
        <w:t xml:space="preserve"> и сельски</w:t>
      </w:r>
      <w:r>
        <w:t xml:space="preserve">х </w:t>
      </w:r>
      <w:r w:rsidR="00784A33">
        <w:t xml:space="preserve"> </w:t>
      </w:r>
      <w:r>
        <w:rPr>
          <w:rFonts w:eastAsia="Calibri"/>
          <w:bCs/>
        </w:rPr>
        <w:t xml:space="preserve">поселений Приозерского муниципального района </w:t>
      </w:r>
      <w:r w:rsidR="00784A33">
        <w:rPr>
          <w:rFonts w:eastAsia="Calibri"/>
          <w:bCs/>
        </w:rPr>
        <w:t xml:space="preserve"> размещено  </w:t>
      </w:r>
      <w:r w:rsidRPr="009B28FA">
        <w:rPr>
          <w:rFonts w:eastAsia="Calibri"/>
          <w:b/>
          <w:bCs/>
        </w:rPr>
        <w:t>1</w:t>
      </w:r>
      <w:r>
        <w:rPr>
          <w:rFonts w:eastAsia="Calibri"/>
          <w:b/>
          <w:bCs/>
        </w:rPr>
        <w:t>67</w:t>
      </w:r>
      <w:r w:rsidRPr="009B28FA">
        <w:rPr>
          <w:rFonts w:eastAsia="Calibri"/>
          <w:b/>
          <w:bCs/>
        </w:rPr>
        <w:t xml:space="preserve"> извещений</w:t>
      </w:r>
      <w:r>
        <w:rPr>
          <w:rFonts w:eastAsia="Calibri"/>
          <w:bCs/>
        </w:rPr>
        <w:t xml:space="preserve"> на общую сумму  </w:t>
      </w:r>
      <w:r>
        <w:rPr>
          <w:rFonts w:eastAsia="Calibri"/>
          <w:b/>
          <w:bCs/>
        </w:rPr>
        <w:t>652 605,</w:t>
      </w:r>
      <w:r w:rsidR="007A177F">
        <w:rPr>
          <w:rFonts w:eastAsia="Calibri"/>
          <w:b/>
          <w:bCs/>
        </w:rPr>
        <w:t>3</w:t>
      </w:r>
      <w:r w:rsidRPr="00FC161E">
        <w:rPr>
          <w:rFonts w:eastAsia="Calibri"/>
          <w:b/>
          <w:bCs/>
        </w:rPr>
        <w:t xml:space="preserve"> тыс.</w:t>
      </w:r>
      <w:r w:rsidRPr="009B28FA">
        <w:rPr>
          <w:rFonts w:eastAsia="Calibri"/>
          <w:b/>
          <w:bCs/>
        </w:rPr>
        <w:t xml:space="preserve"> руб</w:t>
      </w:r>
      <w:r>
        <w:rPr>
          <w:rFonts w:eastAsia="Calibri"/>
          <w:bCs/>
        </w:rPr>
        <w:t xml:space="preserve">.  при объеме заключенных контрактов  </w:t>
      </w:r>
      <w:r>
        <w:rPr>
          <w:rFonts w:eastAsia="Calibri"/>
          <w:b/>
          <w:bCs/>
        </w:rPr>
        <w:t>563 766,9</w:t>
      </w:r>
      <w:r w:rsidRPr="0001440E">
        <w:rPr>
          <w:rFonts w:eastAsia="Calibri"/>
          <w:b/>
          <w:bCs/>
        </w:rPr>
        <w:t xml:space="preserve"> тыс</w:t>
      </w:r>
      <w:r w:rsidRPr="009B28FA">
        <w:rPr>
          <w:rFonts w:eastAsia="Calibri"/>
          <w:b/>
          <w:bCs/>
        </w:rPr>
        <w:t>.</w:t>
      </w:r>
      <w:r w:rsidRPr="00433D37">
        <w:rPr>
          <w:rFonts w:eastAsia="Calibri"/>
          <w:b/>
          <w:bCs/>
        </w:rPr>
        <w:t xml:space="preserve"> руб.</w:t>
      </w:r>
    </w:p>
    <w:p w:rsidR="009E6A15" w:rsidRDefault="00A26C02" w:rsidP="009E6A15">
      <w:pPr>
        <w:ind w:firstLine="425"/>
        <w:jc w:val="both"/>
      </w:pPr>
      <w:r>
        <w:rPr>
          <w:b/>
        </w:rPr>
        <w:t>2</w:t>
      </w:r>
      <w:r w:rsidR="009E6A15">
        <w:rPr>
          <w:b/>
        </w:rPr>
        <w:t>6</w:t>
      </w:r>
      <w:r w:rsidR="00784A33" w:rsidRPr="00784A33">
        <w:rPr>
          <w:b/>
        </w:rPr>
        <w:t>)</w:t>
      </w:r>
      <w:r w:rsidR="00784A33">
        <w:t xml:space="preserve"> </w:t>
      </w:r>
      <w:r w:rsidR="00EF2A04">
        <w:t>Н</w:t>
      </w:r>
      <w:r w:rsidR="009E6A15">
        <w:t>аибольшее количество процедур закупок проведено на следующих  электронных площадках:</w:t>
      </w:r>
    </w:p>
    <w:p w:rsidR="009E6A15" w:rsidRPr="00505696" w:rsidRDefault="009E6A15" w:rsidP="009E6A15">
      <w:pPr>
        <w:numPr>
          <w:ilvl w:val="0"/>
          <w:numId w:val="6"/>
        </w:numPr>
        <w:autoSpaceDE w:val="0"/>
        <w:autoSpaceDN w:val="0"/>
        <w:adjustRightInd w:val="0"/>
        <w:ind w:left="0" w:firstLine="426"/>
        <w:jc w:val="both"/>
        <w:rPr>
          <w:rFonts w:eastAsia="Calibri"/>
          <w:b/>
          <w:bCs/>
        </w:rPr>
      </w:pPr>
      <w:r>
        <w:rPr>
          <w:rFonts w:eastAsia="Calibri"/>
          <w:bCs/>
        </w:rPr>
        <w:t>А</w:t>
      </w:r>
      <w:r w:rsidRPr="00D7315B">
        <w:rPr>
          <w:rFonts w:eastAsia="Calibri"/>
          <w:bCs/>
        </w:rPr>
        <w:t>кционерное общество "Сбербанк - Автоматизированная система торгов"</w:t>
      </w:r>
      <w:r>
        <w:rPr>
          <w:rFonts w:eastAsia="Calibri"/>
          <w:b/>
          <w:bCs/>
        </w:rPr>
        <w:t xml:space="preserve">  - 65,3</w:t>
      </w:r>
      <w:r w:rsidRPr="00D7315B">
        <w:rPr>
          <w:rFonts w:eastAsia="Calibri"/>
          <w:b/>
          <w:bCs/>
        </w:rPr>
        <w:t>%</w:t>
      </w:r>
      <w:r>
        <w:rPr>
          <w:rFonts w:eastAsia="Calibri"/>
          <w:b/>
          <w:bCs/>
        </w:rPr>
        <w:t xml:space="preserve"> </w:t>
      </w:r>
      <w:r w:rsidRPr="00CD7914">
        <w:rPr>
          <w:rFonts w:eastAsia="Calibri"/>
          <w:bCs/>
        </w:rPr>
        <w:t>и составляет</w:t>
      </w:r>
      <w:r>
        <w:rPr>
          <w:rFonts w:eastAsia="Calibri"/>
          <w:b/>
          <w:bCs/>
        </w:rPr>
        <w:t xml:space="preserve"> 109 извещений </w:t>
      </w:r>
      <w:r>
        <w:rPr>
          <w:rFonts w:eastAsia="Calibri"/>
          <w:bCs/>
        </w:rPr>
        <w:t>(за 2021 год – 77,4% (89 извещений), снижение на 12,1 процентных пунктов);</w:t>
      </w:r>
    </w:p>
    <w:p w:rsidR="009E6A15" w:rsidRPr="006F2816" w:rsidRDefault="009E6A15" w:rsidP="009E6A15">
      <w:pPr>
        <w:numPr>
          <w:ilvl w:val="0"/>
          <w:numId w:val="6"/>
        </w:numPr>
        <w:autoSpaceDE w:val="0"/>
        <w:autoSpaceDN w:val="0"/>
        <w:adjustRightInd w:val="0"/>
        <w:ind w:left="0" w:firstLine="426"/>
        <w:jc w:val="both"/>
      </w:pPr>
      <w:r>
        <w:rPr>
          <w:rFonts w:eastAsia="Calibri"/>
          <w:bCs/>
        </w:rPr>
        <w:t xml:space="preserve">Общество с ограниченной ответственностью «РТС – тендер» - </w:t>
      </w:r>
      <w:r>
        <w:rPr>
          <w:rFonts w:eastAsia="Calibri"/>
          <w:b/>
          <w:bCs/>
        </w:rPr>
        <w:t xml:space="preserve">32,9% </w:t>
      </w:r>
      <w:r w:rsidRPr="007C0D02">
        <w:rPr>
          <w:rFonts w:eastAsia="Calibri"/>
          <w:bCs/>
        </w:rPr>
        <w:t>и составляет</w:t>
      </w:r>
      <w:r>
        <w:rPr>
          <w:rFonts w:eastAsia="Calibri"/>
          <w:bCs/>
        </w:rPr>
        <w:t xml:space="preserve"> </w:t>
      </w:r>
      <w:r w:rsidRPr="007C0D02">
        <w:rPr>
          <w:rFonts w:eastAsia="Calibri"/>
          <w:b/>
          <w:bCs/>
        </w:rPr>
        <w:t>55 извещений</w:t>
      </w:r>
      <w:r>
        <w:rPr>
          <w:rFonts w:eastAsia="Calibri"/>
          <w:bCs/>
        </w:rPr>
        <w:t xml:space="preserve"> (за 2021 год – 7,0% (8 извещений), рост на  25,9 процентных пунктов).</w:t>
      </w:r>
    </w:p>
    <w:p w:rsidR="009E6A15" w:rsidRDefault="009E6A15" w:rsidP="009E6A15">
      <w:pPr>
        <w:autoSpaceDE w:val="0"/>
        <w:autoSpaceDN w:val="0"/>
        <w:adjustRightInd w:val="0"/>
        <w:ind w:firstLine="426"/>
        <w:jc w:val="both"/>
        <w:rPr>
          <w:rFonts w:eastAsia="Calibri"/>
          <w:bCs/>
        </w:rPr>
      </w:pPr>
      <w:r>
        <w:rPr>
          <w:rFonts w:eastAsia="Calibri"/>
          <w:bCs/>
        </w:rPr>
        <w:t>В сравнении с 2021  годом наблюдается уменьшение доли опубликованных извещений на электронной площадке АО «Сбербанк – АТС» - на 12,1 процентных пунктов.</w:t>
      </w:r>
    </w:p>
    <w:p w:rsidR="009E6A15" w:rsidRDefault="009E6A15" w:rsidP="009E6A15">
      <w:pPr>
        <w:autoSpaceDE w:val="0"/>
        <w:autoSpaceDN w:val="0"/>
        <w:adjustRightInd w:val="0"/>
        <w:ind w:firstLine="426"/>
        <w:jc w:val="both"/>
      </w:pPr>
      <w:r>
        <w:rPr>
          <w:rFonts w:eastAsia="Calibri"/>
          <w:bCs/>
        </w:rPr>
        <w:t>Наибольшее увеличение доли публикации извещений зафиксировано на электронной площадке АО «РТС – тендер» – на 25,9 процентных пунктов.</w:t>
      </w:r>
    </w:p>
    <w:p w:rsidR="009E6A15" w:rsidRPr="00CD7914" w:rsidRDefault="009E6A15" w:rsidP="009E6A15">
      <w:pPr>
        <w:jc w:val="both"/>
      </w:pPr>
      <w:r>
        <w:rPr>
          <w:i/>
        </w:rPr>
        <w:t xml:space="preserve">      </w:t>
      </w:r>
      <w:r w:rsidRPr="00CD7914">
        <w:rPr>
          <w:i/>
        </w:rPr>
        <w:t>Для сравнения</w:t>
      </w:r>
      <w:r w:rsidRPr="00CD7914">
        <w:t>: В аналогичном периоде 20</w:t>
      </w:r>
      <w:r>
        <w:t>21</w:t>
      </w:r>
      <w:r w:rsidRPr="00CD7914">
        <w:t xml:space="preserve"> года Заказчик</w:t>
      </w:r>
      <w:r>
        <w:t>и</w:t>
      </w:r>
      <w:r w:rsidRPr="00CD7914">
        <w:t xml:space="preserve"> для размещения закупок использовал</w:t>
      </w:r>
      <w:r>
        <w:t>и</w:t>
      </w:r>
      <w:r w:rsidRPr="00CD7914">
        <w:t xml:space="preserve"> </w:t>
      </w:r>
      <w:r>
        <w:t>5</w:t>
      </w:r>
      <w:r w:rsidRPr="00CD7914">
        <w:t xml:space="preserve"> электронны</w:t>
      </w:r>
      <w:r>
        <w:t>х</w:t>
      </w:r>
      <w:r w:rsidRPr="00CD7914">
        <w:t xml:space="preserve"> площад</w:t>
      </w:r>
      <w:r>
        <w:t>ок</w:t>
      </w:r>
      <w:r w:rsidRPr="00CD7914">
        <w:t xml:space="preserve"> (АО «Сбербанк - АСТ»; АО «ЕЭТП»; АО «АГЗ РТ»; ООО «РТС – тендер»</w:t>
      </w:r>
      <w:r>
        <w:t>; АО «ЭТС»</w:t>
      </w:r>
      <w:r w:rsidRPr="00CD7914">
        <w:t>).</w:t>
      </w:r>
    </w:p>
    <w:p w:rsidR="009E6A15" w:rsidRDefault="009E6A15" w:rsidP="009E6A15">
      <w:pPr>
        <w:autoSpaceDE w:val="0"/>
        <w:autoSpaceDN w:val="0"/>
        <w:adjustRightInd w:val="0"/>
        <w:ind w:firstLine="426"/>
        <w:jc w:val="both"/>
      </w:pPr>
      <w:r>
        <w:t>Изменение предпочтений в выборе электронных площадок для проведения закупок обусловлено, в том числе, предоставлением заказчикам дополнительных сервисов, таких как подготовка аналитических отчетов о закупках заказчика, функционал для расчета НМЦК, приглашение потенциальных участников на закупки заказчика, проведение обучающих семинаров.</w:t>
      </w:r>
    </w:p>
    <w:p w:rsidR="009E6A15" w:rsidRDefault="009E6A15" w:rsidP="009E6A15">
      <w:pPr>
        <w:ind w:firstLine="426"/>
        <w:jc w:val="both"/>
      </w:pPr>
      <w:r>
        <w:rPr>
          <w:b/>
        </w:rPr>
        <w:t xml:space="preserve">27) </w:t>
      </w:r>
      <w:r>
        <w:t xml:space="preserve">Согласно информации, размещенной в ЕИС  по результатам закупок, проведенных  </w:t>
      </w:r>
      <w:r w:rsidRPr="001A60F9">
        <w:t>администрациями городских  и сельских  поселений Приозерского  муниципального района  по итогам</w:t>
      </w:r>
      <w:r>
        <w:t xml:space="preserve">  </w:t>
      </w:r>
      <w:r w:rsidRPr="00D105D2">
        <w:rPr>
          <w:b/>
        </w:rPr>
        <w:t>202</w:t>
      </w:r>
      <w:r>
        <w:rPr>
          <w:b/>
        </w:rPr>
        <w:t>2</w:t>
      </w:r>
      <w:r w:rsidRPr="00D105D2">
        <w:rPr>
          <w:b/>
        </w:rPr>
        <w:t xml:space="preserve"> года</w:t>
      </w:r>
      <w:r>
        <w:t xml:space="preserve">  в соответствии с планами – графиками отчетного года было  заключено и  размещено в реестре контрактов  </w:t>
      </w:r>
      <w:r>
        <w:rPr>
          <w:b/>
        </w:rPr>
        <w:t xml:space="preserve">235 </w:t>
      </w:r>
      <w:r w:rsidRPr="009D56E6">
        <w:rPr>
          <w:b/>
        </w:rPr>
        <w:t>к</w:t>
      </w:r>
      <w:r w:rsidRPr="00A77180">
        <w:rPr>
          <w:b/>
        </w:rPr>
        <w:t>онтракт</w:t>
      </w:r>
      <w:r>
        <w:rPr>
          <w:b/>
        </w:rPr>
        <w:t xml:space="preserve">ов </w:t>
      </w:r>
      <w:r w:rsidRPr="005F245D">
        <w:t xml:space="preserve"> на общую сумму </w:t>
      </w:r>
      <w:r>
        <w:t xml:space="preserve"> </w:t>
      </w:r>
      <w:r>
        <w:rPr>
          <w:b/>
        </w:rPr>
        <w:t>920 230,1</w:t>
      </w:r>
      <w:r w:rsidRPr="00C7430B">
        <w:rPr>
          <w:b/>
        </w:rPr>
        <w:t xml:space="preserve"> тыс. руб. </w:t>
      </w:r>
    </w:p>
    <w:p w:rsidR="009E6A15" w:rsidRDefault="009E6A15" w:rsidP="009E6A15">
      <w:pPr>
        <w:ind w:firstLine="426"/>
        <w:jc w:val="both"/>
      </w:pPr>
      <w:r w:rsidRPr="006D38BB">
        <w:t>Общий объем заключенных контрактов в 20</w:t>
      </w:r>
      <w:r>
        <w:t>22</w:t>
      </w:r>
      <w:r w:rsidRPr="006D38BB">
        <w:t xml:space="preserve"> году </w:t>
      </w:r>
      <w:r w:rsidRPr="009F1653">
        <w:rPr>
          <w:b/>
        </w:rPr>
        <w:t>выше</w:t>
      </w:r>
      <w:r>
        <w:t xml:space="preserve"> </w:t>
      </w:r>
      <w:r w:rsidRPr="006D38BB">
        <w:t>уровня 20</w:t>
      </w:r>
      <w:r>
        <w:t>21</w:t>
      </w:r>
      <w:r w:rsidRPr="006D38BB">
        <w:t xml:space="preserve"> года </w:t>
      </w:r>
      <w:r>
        <w:t xml:space="preserve">по количественному показателю </w:t>
      </w:r>
      <w:r w:rsidRPr="006D38BB">
        <w:t xml:space="preserve">на </w:t>
      </w:r>
      <w:r w:rsidRPr="009F1653">
        <w:rPr>
          <w:b/>
        </w:rPr>
        <w:t>42 муниципальных контракта</w:t>
      </w:r>
      <w:r w:rsidRPr="006D38BB">
        <w:t xml:space="preserve">  </w:t>
      </w:r>
      <w:r>
        <w:t xml:space="preserve">при значительном </w:t>
      </w:r>
      <w:r w:rsidRPr="009F1653">
        <w:rPr>
          <w:b/>
        </w:rPr>
        <w:t>увеличении</w:t>
      </w:r>
      <w:r>
        <w:t xml:space="preserve">  стоимостного показателя на </w:t>
      </w:r>
      <w:r w:rsidRPr="009F1653">
        <w:rPr>
          <w:b/>
        </w:rPr>
        <w:t>619 457,0  тыс. руб</w:t>
      </w:r>
      <w:r>
        <w:t>.</w:t>
      </w:r>
      <w:r w:rsidRPr="006D38BB">
        <w:t xml:space="preserve">  </w:t>
      </w:r>
      <w:r>
        <w:t>(Для сравнения – в 2021 году заключено  193 контрактов общей  стоимостью  300 773,1 тыс. руб.)</w:t>
      </w:r>
    </w:p>
    <w:p w:rsidR="009E6A15" w:rsidRPr="009F1653" w:rsidRDefault="009E6A15" w:rsidP="009E6A15">
      <w:pPr>
        <w:autoSpaceDE w:val="0"/>
        <w:autoSpaceDN w:val="0"/>
        <w:adjustRightInd w:val="0"/>
        <w:ind w:firstLine="426"/>
        <w:jc w:val="both"/>
      </w:pPr>
      <w:r w:rsidRPr="009F1653">
        <w:rPr>
          <w:rFonts w:eastAsia="CIDFont+F1"/>
        </w:rPr>
        <w:t xml:space="preserve">По итогам отчетного периода сохраняется тенденция по </w:t>
      </w:r>
      <w:r>
        <w:rPr>
          <w:rFonts w:eastAsia="CIDFont+F1"/>
        </w:rPr>
        <w:t xml:space="preserve">увеличению  </w:t>
      </w:r>
      <w:r w:rsidRPr="009F1653">
        <w:rPr>
          <w:rFonts w:eastAsia="CIDFont+F1"/>
        </w:rPr>
        <w:t xml:space="preserve">количества и стоимостного объема </w:t>
      </w:r>
      <w:r>
        <w:rPr>
          <w:rFonts w:eastAsia="CIDFont+F1"/>
        </w:rPr>
        <w:t>контрактов</w:t>
      </w:r>
      <w:r w:rsidRPr="009F1653">
        <w:rPr>
          <w:rFonts w:eastAsia="CIDFont+F1"/>
        </w:rPr>
        <w:t xml:space="preserve">, что в целом сопоставимо с </w:t>
      </w:r>
      <w:r>
        <w:rPr>
          <w:rFonts w:eastAsia="CIDFont+F1"/>
        </w:rPr>
        <w:t xml:space="preserve">увеличением </w:t>
      </w:r>
      <w:r w:rsidRPr="009F1653">
        <w:rPr>
          <w:rFonts w:eastAsia="CIDFont+F1"/>
        </w:rPr>
        <w:t>общего количества опубликованных извещений</w:t>
      </w:r>
      <w:r>
        <w:rPr>
          <w:rFonts w:eastAsia="CIDFont+F1"/>
        </w:rPr>
        <w:t xml:space="preserve"> об осуществлении закупок, а также иных взаимосвязанных показателей.</w:t>
      </w:r>
    </w:p>
    <w:p w:rsidR="009E6A15" w:rsidRDefault="009E6A15" w:rsidP="009E6A15">
      <w:pPr>
        <w:ind w:firstLine="426"/>
        <w:jc w:val="both"/>
      </w:pPr>
      <w:r>
        <w:t xml:space="preserve">Таким образом, количество заключенных контрактов по сравнению с 2021 годом   выросло  на  21,8 процентных пунктов при </w:t>
      </w:r>
      <w:proofErr w:type="gramStart"/>
      <w:r>
        <w:t>значительном</w:t>
      </w:r>
      <w:proofErr w:type="gramEnd"/>
      <w:r>
        <w:t xml:space="preserve"> увеличение стоимостного объема на  206,0%. </w:t>
      </w:r>
    </w:p>
    <w:p w:rsidR="009E6A15" w:rsidRDefault="009E6A15" w:rsidP="009E6A15">
      <w:pPr>
        <w:autoSpaceDE w:val="0"/>
        <w:autoSpaceDN w:val="0"/>
        <w:adjustRightInd w:val="0"/>
        <w:ind w:firstLine="425"/>
        <w:jc w:val="both"/>
        <w:outlineLvl w:val="0"/>
        <w:rPr>
          <w:b/>
        </w:rPr>
      </w:pPr>
      <w:r w:rsidRPr="007131A5">
        <w:rPr>
          <w:rFonts w:eastAsia="Calibri"/>
          <w:i/>
        </w:rPr>
        <w:t xml:space="preserve">Причины  </w:t>
      </w:r>
      <w:r>
        <w:rPr>
          <w:rFonts w:eastAsia="Calibri"/>
          <w:i/>
        </w:rPr>
        <w:t xml:space="preserve">увеличения </w:t>
      </w:r>
      <w:r w:rsidRPr="007131A5">
        <w:rPr>
          <w:rFonts w:eastAsia="Calibri"/>
          <w:i/>
        </w:rPr>
        <w:t xml:space="preserve"> количественного и  стоимостного объема закупок в 20</w:t>
      </w:r>
      <w:r>
        <w:rPr>
          <w:rFonts w:eastAsia="Calibri"/>
          <w:i/>
        </w:rPr>
        <w:t xml:space="preserve">22 </w:t>
      </w:r>
      <w:r w:rsidRPr="007131A5">
        <w:rPr>
          <w:rFonts w:eastAsia="Calibri"/>
          <w:i/>
        </w:rPr>
        <w:t xml:space="preserve">году связаны с началом </w:t>
      </w:r>
      <w:r w:rsidRPr="007131A5">
        <w:rPr>
          <w:i/>
        </w:rPr>
        <w:t xml:space="preserve">осуществления капиталоемких закупок </w:t>
      </w:r>
      <w:r w:rsidRPr="007131A5">
        <w:rPr>
          <w:rFonts w:eastAsia="Calibri"/>
          <w:i/>
          <w:color w:val="000000"/>
        </w:rPr>
        <w:t xml:space="preserve">в рамках текущей деятельности заказчиков для решения стратегических задач, важнейших вопросов </w:t>
      </w:r>
      <w:r w:rsidRPr="007131A5">
        <w:rPr>
          <w:rFonts w:eastAsia="Calibri"/>
          <w:i/>
          <w:color w:val="000000"/>
        </w:rPr>
        <w:lastRenderedPageBreak/>
        <w:t>социально-экономического развития</w:t>
      </w:r>
      <w:r w:rsidRPr="007131A5">
        <w:rPr>
          <w:i/>
        </w:rPr>
        <w:t xml:space="preserve">, а  также  с активной фазой реализации национальных и федеральных проектов в </w:t>
      </w:r>
      <w:r>
        <w:rPr>
          <w:i/>
        </w:rPr>
        <w:t>отчетном</w:t>
      </w:r>
      <w:r w:rsidRPr="007131A5">
        <w:rPr>
          <w:i/>
        </w:rPr>
        <w:t xml:space="preserve"> периоде</w:t>
      </w:r>
      <w:r>
        <w:rPr>
          <w:i/>
        </w:rPr>
        <w:t>.</w:t>
      </w:r>
    </w:p>
    <w:p w:rsidR="009E6A15" w:rsidRPr="00A95C6D" w:rsidRDefault="009E6A15" w:rsidP="009E6A15">
      <w:pPr>
        <w:ind w:firstLine="426"/>
        <w:jc w:val="both"/>
      </w:pPr>
      <w:r>
        <w:rPr>
          <w:b/>
        </w:rPr>
        <w:t xml:space="preserve">28) </w:t>
      </w:r>
      <w:r w:rsidRPr="0093643C">
        <w:t xml:space="preserve">По результатам определения поставщика путем проведения </w:t>
      </w:r>
      <w:r w:rsidRPr="002E1EF5">
        <w:rPr>
          <w:b/>
          <w:i/>
        </w:rPr>
        <w:t>конкурентных способов</w:t>
      </w:r>
      <w:r>
        <w:t xml:space="preserve"> определения поставщика (подрядчика, исполнителя) было заключено в 20</w:t>
      </w:r>
      <w:r w:rsidR="003E4A68">
        <w:t>22</w:t>
      </w:r>
      <w:r>
        <w:t xml:space="preserve"> году  </w:t>
      </w:r>
      <w:r>
        <w:rPr>
          <w:b/>
        </w:rPr>
        <w:t xml:space="preserve">47 контрактов </w:t>
      </w:r>
      <w:r w:rsidRPr="00A95C6D">
        <w:t>на общую сумму</w:t>
      </w:r>
      <w:r w:rsidRPr="008D738D">
        <w:rPr>
          <w:b/>
        </w:rPr>
        <w:t xml:space="preserve"> </w:t>
      </w:r>
      <w:r>
        <w:rPr>
          <w:b/>
        </w:rPr>
        <w:t xml:space="preserve"> 128 223,2</w:t>
      </w:r>
      <w:r w:rsidRPr="008D738D">
        <w:rPr>
          <w:b/>
        </w:rPr>
        <w:t xml:space="preserve"> тыс. руб.</w:t>
      </w:r>
      <w:r>
        <w:rPr>
          <w:b/>
        </w:rPr>
        <w:t xml:space="preserve">, </w:t>
      </w:r>
      <w:r w:rsidRPr="003A5CB4">
        <w:t>из них:</w:t>
      </w:r>
    </w:p>
    <w:p w:rsidR="009E6A15" w:rsidRDefault="009E6A15" w:rsidP="009E6A15">
      <w:pPr>
        <w:numPr>
          <w:ilvl w:val="0"/>
          <w:numId w:val="1"/>
        </w:numPr>
        <w:autoSpaceDE w:val="0"/>
        <w:autoSpaceDN w:val="0"/>
        <w:adjustRightInd w:val="0"/>
        <w:ind w:left="0" w:firstLine="426"/>
        <w:jc w:val="both"/>
      </w:pPr>
      <w:r w:rsidRPr="0093643C">
        <w:t xml:space="preserve">По результатам определения поставщика  путем проведения </w:t>
      </w:r>
      <w:r w:rsidRPr="00975F3E">
        <w:rPr>
          <w:b/>
          <w:u w:val="single"/>
        </w:rPr>
        <w:t>Электронного аукциона</w:t>
      </w:r>
      <w:r>
        <w:t xml:space="preserve">  </w:t>
      </w:r>
      <w:r w:rsidRPr="0093643C">
        <w:t>заключен</w:t>
      </w:r>
      <w:r>
        <w:t>о</w:t>
      </w:r>
      <w:r w:rsidRPr="0093643C">
        <w:t xml:space="preserve"> </w:t>
      </w:r>
      <w:r>
        <w:t xml:space="preserve"> </w:t>
      </w:r>
      <w:r>
        <w:rPr>
          <w:b/>
        </w:rPr>
        <w:t xml:space="preserve">46 </w:t>
      </w:r>
      <w:r w:rsidRPr="00C2228F">
        <w:rPr>
          <w:b/>
        </w:rPr>
        <w:t>к</w:t>
      </w:r>
      <w:r w:rsidRPr="0093643C">
        <w:rPr>
          <w:b/>
        </w:rPr>
        <w:t>онтракт</w:t>
      </w:r>
      <w:r>
        <w:rPr>
          <w:b/>
        </w:rPr>
        <w:t xml:space="preserve">ов </w:t>
      </w:r>
      <w:r w:rsidRPr="0093643C">
        <w:t>с победител</w:t>
      </w:r>
      <w:r>
        <w:t xml:space="preserve">ями </w:t>
      </w:r>
      <w:r w:rsidRPr="0093643C">
        <w:t xml:space="preserve"> </w:t>
      </w:r>
      <w:r>
        <w:t>электронных  процедур</w:t>
      </w:r>
      <w:r w:rsidRPr="0093643C">
        <w:t xml:space="preserve"> на </w:t>
      </w:r>
      <w:r>
        <w:t xml:space="preserve">общую сумму  </w:t>
      </w:r>
      <w:r>
        <w:rPr>
          <w:b/>
        </w:rPr>
        <w:t>128 066,2</w:t>
      </w:r>
      <w:r w:rsidRPr="00FA5081">
        <w:rPr>
          <w:b/>
        </w:rPr>
        <w:t xml:space="preserve"> тыс</w:t>
      </w:r>
      <w:r w:rsidRPr="00734036">
        <w:rPr>
          <w:b/>
        </w:rPr>
        <w:t>. руб.</w:t>
      </w:r>
    </w:p>
    <w:p w:rsidR="009E6A15" w:rsidRPr="00FA5081" w:rsidRDefault="009E6A15" w:rsidP="009E6A15">
      <w:pPr>
        <w:numPr>
          <w:ilvl w:val="0"/>
          <w:numId w:val="1"/>
        </w:numPr>
        <w:autoSpaceDE w:val="0"/>
        <w:autoSpaceDN w:val="0"/>
        <w:adjustRightInd w:val="0"/>
        <w:ind w:left="0" w:firstLine="425"/>
        <w:jc w:val="both"/>
      </w:pPr>
      <w:r w:rsidRPr="0093643C">
        <w:t xml:space="preserve">По результатам определения поставщика  путем проведения </w:t>
      </w:r>
      <w:r>
        <w:t xml:space="preserve"> </w:t>
      </w:r>
      <w:r w:rsidRPr="00832682">
        <w:rPr>
          <w:b/>
          <w:u w:val="single"/>
        </w:rPr>
        <w:t>Электронного</w:t>
      </w:r>
      <w:r>
        <w:t xml:space="preserve"> </w:t>
      </w:r>
      <w:r w:rsidRPr="00832682">
        <w:rPr>
          <w:b/>
          <w:u w:val="single"/>
        </w:rPr>
        <w:t>кон</w:t>
      </w:r>
      <w:r w:rsidRPr="00B05242">
        <w:rPr>
          <w:b/>
          <w:u w:val="single"/>
        </w:rPr>
        <w:t>курса</w:t>
      </w:r>
      <w:r>
        <w:t xml:space="preserve"> </w:t>
      </w:r>
      <w:r w:rsidRPr="00407209">
        <w:t xml:space="preserve"> заключен  </w:t>
      </w:r>
      <w:r>
        <w:rPr>
          <w:b/>
        </w:rPr>
        <w:t>1</w:t>
      </w:r>
      <w:r w:rsidRPr="00407209">
        <w:rPr>
          <w:b/>
        </w:rPr>
        <w:t xml:space="preserve">  контра</w:t>
      </w:r>
      <w:r w:rsidRPr="0093643C">
        <w:rPr>
          <w:b/>
        </w:rPr>
        <w:t>кт</w:t>
      </w:r>
      <w:r>
        <w:rPr>
          <w:b/>
        </w:rPr>
        <w:t xml:space="preserve"> </w:t>
      </w:r>
      <w:r w:rsidRPr="0093643C">
        <w:t>с победител</w:t>
      </w:r>
      <w:r>
        <w:t xml:space="preserve">ями </w:t>
      </w:r>
      <w:r w:rsidRPr="0093643C">
        <w:t xml:space="preserve"> </w:t>
      </w:r>
      <w:r>
        <w:t>электронных  процедур</w:t>
      </w:r>
      <w:r w:rsidRPr="0093643C">
        <w:t xml:space="preserve"> на </w:t>
      </w:r>
      <w:r>
        <w:t xml:space="preserve">общую сумму  </w:t>
      </w:r>
      <w:r>
        <w:rPr>
          <w:b/>
        </w:rPr>
        <w:t>157,0</w:t>
      </w:r>
      <w:r w:rsidRPr="00407209">
        <w:rPr>
          <w:b/>
        </w:rPr>
        <w:t xml:space="preserve"> тыс</w:t>
      </w:r>
      <w:r w:rsidRPr="00B05242">
        <w:rPr>
          <w:b/>
        </w:rPr>
        <w:t>. руб</w:t>
      </w:r>
      <w:r w:rsidRPr="00734036">
        <w:rPr>
          <w:b/>
        </w:rPr>
        <w:t>.</w:t>
      </w:r>
    </w:p>
    <w:p w:rsidR="009E6A15" w:rsidRPr="00FA5081" w:rsidRDefault="009E6A15" w:rsidP="009E6A15">
      <w:pPr>
        <w:numPr>
          <w:ilvl w:val="0"/>
          <w:numId w:val="1"/>
        </w:numPr>
        <w:autoSpaceDE w:val="0"/>
        <w:autoSpaceDN w:val="0"/>
        <w:adjustRightInd w:val="0"/>
        <w:ind w:left="0" w:firstLine="426"/>
        <w:jc w:val="both"/>
      </w:pPr>
      <w:r>
        <w:t>О</w:t>
      </w:r>
      <w:r w:rsidRPr="0093643C">
        <w:t>пределени</w:t>
      </w:r>
      <w:r>
        <w:t>е</w:t>
      </w:r>
      <w:r w:rsidRPr="0093643C">
        <w:t xml:space="preserve"> поставщика  путем проведения </w:t>
      </w:r>
      <w:r>
        <w:t xml:space="preserve"> </w:t>
      </w:r>
      <w:r w:rsidRPr="00832682">
        <w:rPr>
          <w:b/>
          <w:u w:val="single"/>
        </w:rPr>
        <w:t>Электронного запроса котировок</w:t>
      </w:r>
      <w:r w:rsidRPr="008B2122">
        <w:rPr>
          <w:b/>
          <w:u w:val="single"/>
        </w:rPr>
        <w:t xml:space="preserve"> </w:t>
      </w:r>
      <w:r>
        <w:t xml:space="preserve">в электронной форме  в отчетном периоде 2022 года </w:t>
      </w:r>
      <w:r w:rsidRPr="00536CE3">
        <w:rPr>
          <w:b/>
        </w:rPr>
        <w:t>не осуществлялось</w:t>
      </w:r>
      <w:r>
        <w:t>.</w:t>
      </w:r>
    </w:p>
    <w:p w:rsidR="009E6A15" w:rsidRPr="009E6A15" w:rsidRDefault="009E6A15" w:rsidP="009E6A15">
      <w:pPr>
        <w:jc w:val="both"/>
      </w:pPr>
      <w:r>
        <w:t xml:space="preserve">      </w:t>
      </w:r>
      <w:r w:rsidRPr="009E6A15">
        <w:t>В 2</w:t>
      </w:r>
      <w:r w:rsidR="003E4A68">
        <w:t>022</w:t>
      </w:r>
      <w:r w:rsidRPr="009E6A15">
        <w:t xml:space="preserve"> году конкурентными способами заключено </w:t>
      </w:r>
      <w:r w:rsidRPr="009E6A15">
        <w:rPr>
          <w:b/>
        </w:rPr>
        <w:t xml:space="preserve">20,0% </w:t>
      </w:r>
      <w:r w:rsidRPr="009E6A15">
        <w:t xml:space="preserve">количественного объема контрактов (по итогам 2021 года – </w:t>
      </w:r>
      <w:r w:rsidRPr="009E6A15">
        <w:rPr>
          <w:b/>
        </w:rPr>
        <w:t>33,2%</w:t>
      </w:r>
      <w:r w:rsidRPr="009E6A15">
        <w:t>).</w:t>
      </w:r>
    </w:p>
    <w:p w:rsidR="009E6A15" w:rsidRPr="009E6A15" w:rsidRDefault="009E6A15" w:rsidP="009E6A15">
      <w:pPr>
        <w:jc w:val="both"/>
      </w:pPr>
      <w:r>
        <w:t xml:space="preserve">       </w:t>
      </w:r>
      <w:r w:rsidRPr="009E6A15">
        <w:t xml:space="preserve">Удельный вес контрактов (по сумме), заключенных конкурентными способами в 2022 году, составляет – </w:t>
      </w:r>
      <w:r w:rsidRPr="009E6A15">
        <w:rPr>
          <w:b/>
        </w:rPr>
        <w:t>13,9%,</w:t>
      </w:r>
      <w:r w:rsidRPr="009E6A15">
        <w:t xml:space="preserve">  что на 32,5 процентных пункта  меньше, чем в 2021 году.</w:t>
      </w:r>
    </w:p>
    <w:p w:rsidR="009E6A15" w:rsidRPr="009E6A15" w:rsidRDefault="009E6A15" w:rsidP="009E6A15">
      <w:pPr>
        <w:jc w:val="both"/>
        <w:rPr>
          <w:rFonts w:eastAsia="Calibri"/>
        </w:rPr>
      </w:pPr>
      <w:r>
        <w:rPr>
          <w:rFonts w:eastAsia="Calibri"/>
          <w:color w:val="000000"/>
        </w:rPr>
        <w:t xml:space="preserve">       </w:t>
      </w:r>
      <w:r w:rsidRPr="009E6A15">
        <w:rPr>
          <w:rFonts w:eastAsia="Calibri"/>
          <w:color w:val="000000"/>
        </w:rPr>
        <w:t xml:space="preserve">По итогам 2022 года произошло снижение общего стоимостного объема контрактов, заключенных заказчиками по итогам конкурентных процедур, на  </w:t>
      </w:r>
      <w:r w:rsidRPr="009E6A15">
        <w:rPr>
          <w:rFonts w:eastAsia="Calibri"/>
          <w:b/>
          <w:color w:val="000000"/>
        </w:rPr>
        <w:t>11 480,4 тыс. руб</w:t>
      </w:r>
      <w:r w:rsidRPr="009E6A15">
        <w:rPr>
          <w:rFonts w:eastAsia="Calibri"/>
          <w:color w:val="000000"/>
        </w:rPr>
        <w:t xml:space="preserve">. и, при снижении количества таких контрактов    на  </w:t>
      </w:r>
      <w:r w:rsidRPr="009E6A15">
        <w:rPr>
          <w:rFonts w:eastAsia="Calibri"/>
          <w:b/>
          <w:color w:val="000000"/>
        </w:rPr>
        <w:t>17 единиц</w:t>
      </w:r>
      <w:proofErr w:type="gramStart"/>
      <w:r w:rsidRPr="009E6A15">
        <w:rPr>
          <w:rFonts w:eastAsia="Calibri"/>
          <w:b/>
          <w:color w:val="000000"/>
        </w:rPr>
        <w:t xml:space="preserve"> </w:t>
      </w:r>
      <w:r w:rsidRPr="009E6A15">
        <w:rPr>
          <w:rFonts w:eastAsia="Calibri"/>
          <w:color w:val="000000"/>
        </w:rPr>
        <w:t>,</w:t>
      </w:r>
      <w:proofErr w:type="gramEnd"/>
      <w:r w:rsidRPr="009E6A15">
        <w:rPr>
          <w:rFonts w:eastAsia="Calibri"/>
          <w:color w:val="000000"/>
        </w:rPr>
        <w:t xml:space="preserve"> в то же время наблюдается увеличение средней стоимости контрактов </w:t>
      </w:r>
      <w:r w:rsidRPr="009E6A15">
        <w:rPr>
          <w:rFonts w:eastAsia="Calibri"/>
        </w:rPr>
        <w:t xml:space="preserve">заказчиков, заключенных по итогам конкурентных процедур: с 2 182,9 тыс. руб. на 01.01.2022 до 2 728,2 тыс. руб. на 01.01.2023г. </w:t>
      </w:r>
    </w:p>
    <w:p w:rsidR="009E6A15" w:rsidRDefault="009E6A15" w:rsidP="009E6A15">
      <w:pPr>
        <w:autoSpaceDE w:val="0"/>
        <w:autoSpaceDN w:val="0"/>
        <w:adjustRightInd w:val="0"/>
        <w:ind w:firstLine="425"/>
        <w:jc w:val="both"/>
      </w:pPr>
      <w:r>
        <w:rPr>
          <w:b/>
        </w:rPr>
        <w:t xml:space="preserve">29) </w:t>
      </w:r>
      <w:r w:rsidRPr="0093643C">
        <w:t xml:space="preserve">По результатам определения поставщика путем проведения </w:t>
      </w:r>
      <w:r w:rsidRPr="00F232C5">
        <w:rPr>
          <w:b/>
          <w:i/>
        </w:rPr>
        <w:t>неко</w:t>
      </w:r>
      <w:r w:rsidRPr="002E1EF5">
        <w:rPr>
          <w:b/>
          <w:i/>
        </w:rPr>
        <w:t>нкурентных способов</w:t>
      </w:r>
      <w:r>
        <w:t xml:space="preserve"> определения поставщика (подрядчика, исполнителя) было заключено в 2022 году  </w:t>
      </w:r>
      <w:r>
        <w:rPr>
          <w:b/>
        </w:rPr>
        <w:t xml:space="preserve">188 </w:t>
      </w:r>
      <w:r w:rsidRPr="001B7125">
        <w:rPr>
          <w:b/>
        </w:rPr>
        <w:t>контрактов</w:t>
      </w:r>
      <w:r>
        <w:rPr>
          <w:b/>
        </w:rPr>
        <w:t xml:space="preserve"> </w:t>
      </w:r>
      <w:r>
        <w:t xml:space="preserve"> </w:t>
      </w:r>
      <w:r w:rsidRPr="00A95C6D">
        <w:t>на общую сумму</w:t>
      </w:r>
      <w:r w:rsidRPr="008D738D">
        <w:rPr>
          <w:b/>
        </w:rPr>
        <w:t xml:space="preserve"> </w:t>
      </w:r>
      <w:r>
        <w:rPr>
          <w:b/>
        </w:rPr>
        <w:t xml:space="preserve"> 792 006,9 </w:t>
      </w:r>
      <w:r w:rsidRPr="008D738D">
        <w:rPr>
          <w:b/>
        </w:rPr>
        <w:t xml:space="preserve"> тыс. руб.</w:t>
      </w:r>
      <w:r>
        <w:rPr>
          <w:b/>
        </w:rPr>
        <w:t xml:space="preserve">, </w:t>
      </w:r>
      <w:r w:rsidRPr="003A5CB4">
        <w:t>из них</w:t>
      </w:r>
      <w:r>
        <w:t>:</w:t>
      </w:r>
    </w:p>
    <w:p w:rsidR="009E6A15" w:rsidRDefault="009E6A15" w:rsidP="00567319">
      <w:pPr>
        <w:numPr>
          <w:ilvl w:val="0"/>
          <w:numId w:val="1"/>
        </w:numPr>
        <w:autoSpaceDE w:val="0"/>
        <w:autoSpaceDN w:val="0"/>
        <w:adjustRightInd w:val="0"/>
        <w:ind w:left="0" w:firstLine="425"/>
        <w:jc w:val="both"/>
      </w:pPr>
      <w:r>
        <w:t>П</w:t>
      </w:r>
      <w:r w:rsidRPr="00AF44FD">
        <w:t xml:space="preserve">о результатам </w:t>
      </w:r>
      <w:r w:rsidRPr="00AF44FD">
        <w:rPr>
          <w:u w:val="single"/>
        </w:rPr>
        <w:t xml:space="preserve">несостоявшегося </w:t>
      </w:r>
      <w:r>
        <w:rPr>
          <w:u w:val="single"/>
        </w:rPr>
        <w:t>Электронного аукциона</w:t>
      </w:r>
      <w:r w:rsidRPr="008D546C">
        <w:t xml:space="preserve"> </w:t>
      </w:r>
      <w:r>
        <w:t xml:space="preserve"> З</w:t>
      </w:r>
      <w:r w:rsidRPr="00AF44FD">
        <w:t>аказчик</w:t>
      </w:r>
      <w:r>
        <w:t>ами</w:t>
      </w:r>
      <w:r w:rsidRPr="00AF44FD">
        <w:t xml:space="preserve"> заключен</w:t>
      </w:r>
      <w:r>
        <w:t xml:space="preserve">о </w:t>
      </w:r>
      <w:r>
        <w:rPr>
          <w:b/>
        </w:rPr>
        <w:t>95</w:t>
      </w:r>
      <w:r w:rsidRPr="001B7125">
        <w:rPr>
          <w:b/>
        </w:rPr>
        <w:t xml:space="preserve"> к</w:t>
      </w:r>
      <w:r w:rsidRPr="008D546C">
        <w:rPr>
          <w:b/>
        </w:rPr>
        <w:t>онтрактов</w:t>
      </w:r>
      <w:r w:rsidRPr="00AF44FD">
        <w:t xml:space="preserve"> с единственным поставщиком </w:t>
      </w:r>
      <w:r w:rsidRPr="001B7125">
        <w:t>(</w:t>
      </w:r>
      <w:r w:rsidRPr="001B7125">
        <w:rPr>
          <w:rStyle w:val="af"/>
          <w:rFonts w:cs="Times New Roman CYR"/>
          <w:color w:val="auto"/>
        </w:rPr>
        <w:t>п. 25 ст.93 Закона 44-ФЗ</w:t>
      </w:r>
      <w:r w:rsidRPr="001B7125">
        <w:t>)</w:t>
      </w:r>
      <w:r w:rsidRPr="00AF44FD">
        <w:t xml:space="preserve"> на сумму </w:t>
      </w:r>
      <w:r>
        <w:rPr>
          <w:b/>
        </w:rPr>
        <w:t>326 642,8</w:t>
      </w:r>
      <w:r w:rsidRPr="00E00919">
        <w:rPr>
          <w:b/>
        </w:rPr>
        <w:t xml:space="preserve"> тыс.</w:t>
      </w:r>
      <w:r w:rsidRPr="00AF44FD">
        <w:rPr>
          <w:b/>
        </w:rPr>
        <w:t xml:space="preserve"> руб</w:t>
      </w:r>
      <w:r w:rsidRPr="00AF44FD">
        <w:t>.</w:t>
      </w:r>
    </w:p>
    <w:p w:rsidR="009E6A15" w:rsidRPr="00357A4B" w:rsidRDefault="009E6A15" w:rsidP="00567319">
      <w:pPr>
        <w:numPr>
          <w:ilvl w:val="0"/>
          <w:numId w:val="1"/>
        </w:numPr>
        <w:autoSpaceDE w:val="0"/>
        <w:autoSpaceDN w:val="0"/>
        <w:adjustRightInd w:val="0"/>
        <w:ind w:left="0" w:firstLine="425"/>
        <w:jc w:val="both"/>
        <w:rPr>
          <w:b/>
        </w:rPr>
      </w:pPr>
      <w:r>
        <w:t>П</w:t>
      </w:r>
      <w:r w:rsidRPr="00AF44FD">
        <w:t xml:space="preserve">о результатам </w:t>
      </w:r>
      <w:r w:rsidRPr="00AF44FD">
        <w:rPr>
          <w:u w:val="single"/>
        </w:rPr>
        <w:t xml:space="preserve">несостоявшегося </w:t>
      </w:r>
      <w:r>
        <w:rPr>
          <w:u w:val="single"/>
        </w:rPr>
        <w:t xml:space="preserve"> Электронного конкурса</w:t>
      </w:r>
      <w:r>
        <w:t xml:space="preserve">  З</w:t>
      </w:r>
      <w:r w:rsidRPr="00AF44FD">
        <w:t>аказчик</w:t>
      </w:r>
      <w:r>
        <w:t>ами</w:t>
      </w:r>
      <w:r w:rsidRPr="00AF44FD">
        <w:t xml:space="preserve"> заключен</w:t>
      </w:r>
      <w:r>
        <w:t>о</w:t>
      </w:r>
      <w:r w:rsidRPr="00AF44FD">
        <w:t xml:space="preserve"> </w:t>
      </w:r>
      <w:r>
        <w:rPr>
          <w:b/>
        </w:rPr>
        <w:t>6</w:t>
      </w:r>
      <w:r w:rsidRPr="00EB67AD">
        <w:rPr>
          <w:b/>
        </w:rPr>
        <w:t xml:space="preserve"> </w:t>
      </w:r>
      <w:r w:rsidRPr="00AF44FD">
        <w:rPr>
          <w:b/>
        </w:rPr>
        <w:t>контракт</w:t>
      </w:r>
      <w:r>
        <w:rPr>
          <w:b/>
        </w:rPr>
        <w:t xml:space="preserve">ов </w:t>
      </w:r>
      <w:r w:rsidRPr="00AF44FD">
        <w:t xml:space="preserve"> с единственным поставщиком </w:t>
      </w:r>
      <w:r w:rsidRPr="004F5AC5">
        <w:t>(</w:t>
      </w:r>
      <w:r w:rsidRPr="004F5AC5">
        <w:rPr>
          <w:rStyle w:val="af"/>
          <w:rFonts w:cs="Times New Roman CYR"/>
          <w:color w:val="auto"/>
        </w:rPr>
        <w:t>п. 25</w:t>
      </w:r>
      <w:r>
        <w:rPr>
          <w:rStyle w:val="af"/>
          <w:rFonts w:cs="Times New Roman CYR"/>
          <w:color w:val="auto"/>
        </w:rPr>
        <w:t xml:space="preserve"> </w:t>
      </w:r>
      <w:r w:rsidRPr="004F5AC5">
        <w:rPr>
          <w:rStyle w:val="af"/>
          <w:rFonts w:cs="Times New Roman CYR"/>
          <w:color w:val="auto"/>
        </w:rPr>
        <w:t xml:space="preserve"> ст.93 Закона 44-ФЗ</w:t>
      </w:r>
      <w:r w:rsidRPr="004F5AC5">
        <w:t>)</w:t>
      </w:r>
      <w:r w:rsidRPr="00AF44FD">
        <w:t xml:space="preserve"> на сумму </w:t>
      </w:r>
      <w:r>
        <w:t xml:space="preserve"> </w:t>
      </w:r>
      <w:r>
        <w:rPr>
          <w:b/>
        </w:rPr>
        <w:t xml:space="preserve">108 900,7 </w:t>
      </w:r>
      <w:r w:rsidRPr="004F5AC5">
        <w:rPr>
          <w:b/>
        </w:rPr>
        <w:t>тыс</w:t>
      </w:r>
      <w:r w:rsidRPr="00357A4B">
        <w:rPr>
          <w:b/>
        </w:rPr>
        <w:t>. руб.</w:t>
      </w:r>
    </w:p>
    <w:p w:rsidR="009E6A15" w:rsidRPr="00BA090B" w:rsidRDefault="009E6A15" w:rsidP="00567319">
      <w:pPr>
        <w:numPr>
          <w:ilvl w:val="0"/>
          <w:numId w:val="1"/>
        </w:numPr>
        <w:autoSpaceDE w:val="0"/>
        <w:autoSpaceDN w:val="0"/>
        <w:adjustRightInd w:val="0"/>
        <w:ind w:left="0" w:firstLine="425"/>
        <w:jc w:val="both"/>
        <w:rPr>
          <w:b/>
        </w:rPr>
      </w:pPr>
      <w:r w:rsidRPr="008E5AF7">
        <w:t xml:space="preserve">По неконкурентным способам определения поставщика с единственным поставщиком на основании </w:t>
      </w:r>
      <w:r>
        <w:t xml:space="preserve"> </w:t>
      </w:r>
      <w:r w:rsidRPr="00EB67AD">
        <w:rPr>
          <w:rStyle w:val="af"/>
          <w:rFonts w:cs="Times New Roman CYR"/>
          <w:color w:val="auto"/>
        </w:rPr>
        <w:t>пунктов  1,</w:t>
      </w:r>
      <w:r>
        <w:rPr>
          <w:rStyle w:val="af"/>
          <w:rFonts w:cs="Times New Roman CYR"/>
          <w:color w:val="auto"/>
        </w:rPr>
        <w:t xml:space="preserve"> 2,</w:t>
      </w:r>
      <w:r w:rsidRPr="00EB67AD">
        <w:rPr>
          <w:rStyle w:val="af"/>
          <w:rFonts w:cs="Times New Roman CYR"/>
          <w:color w:val="auto"/>
        </w:rPr>
        <w:t xml:space="preserve"> </w:t>
      </w:r>
      <w:r>
        <w:rPr>
          <w:rStyle w:val="af"/>
          <w:rFonts w:cs="Times New Roman CYR"/>
          <w:color w:val="auto"/>
        </w:rPr>
        <w:t xml:space="preserve">6, </w:t>
      </w:r>
      <w:r w:rsidRPr="00EB67AD">
        <w:rPr>
          <w:rStyle w:val="af"/>
          <w:rFonts w:cs="Times New Roman CYR"/>
          <w:color w:val="auto"/>
        </w:rPr>
        <w:t>8, 22,</w:t>
      </w:r>
      <w:r>
        <w:rPr>
          <w:rStyle w:val="af"/>
          <w:rFonts w:cs="Times New Roman CYR"/>
          <w:color w:val="auto"/>
        </w:rPr>
        <w:t>23,</w:t>
      </w:r>
      <w:r w:rsidRPr="00EB67AD">
        <w:rPr>
          <w:rStyle w:val="af"/>
          <w:rFonts w:cs="Times New Roman CYR"/>
          <w:color w:val="auto"/>
        </w:rPr>
        <w:t xml:space="preserve"> 29 части 1 статьи 93</w:t>
      </w:r>
      <w:r w:rsidRPr="008E5AF7">
        <w:t xml:space="preserve"> Закона №44-ФЗ заключено </w:t>
      </w:r>
      <w:r>
        <w:t xml:space="preserve"> </w:t>
      </w:r>
      <w:r>
        <w:rPr>
          <w:b/>
        </w:rPr>
        <w:t xml:space="preserve">87 </w:t>
      </w:r>
      <w:r w:rsidRPr="00931149">
        <w:rPr>
          <w:b/>
        </w:rPr>
        <w:t>контрактов</w:t>
      </w:r>
      <w:r w:rsidRPr="008E5AF7">
        <w:t xml:space="preserve"> на сумму  </w:t>
      </w:r>
      <w:r>
        <w:rPr>
          <w:b/>
        </w:rPr>
        <w:t>356 463,4</w:t>
      </w:r>
      <w:r w:rsidRPr="00E00919">
        <w:rPr>
          <w:b/>
        </w:rPr>
        <w:t xml:space="preserve"> тыс</w:t>
      </w:r>
      <w:r w:rsidRPr="00BA090B">
        <w:rPr>
          <w:b/>
        </w:rPr>
        <w:t>. руб.</w:t>
      </w:r>
    </w:p>
    <w:p w:rsidR="00567319" w:rsidRPr="00567319" w:rsidRDefault="00567319" w:rsidP="00567319">
      <w:pPr>
        <w:widowControl w:val="0"/>
        <w:tabs>
          <w:tab w:val="left" w:pos="709"/>
        </w:tabs>
        <w:ind w:firstLine="426"/>
        <w:jc w:val="both"/>
        <w:rPr>
          <w:i/>
        </w:rPr>
      </w:pPr>
      <w:r>
        <w:rPr>
          <w:b/>
        </w:rPr>
        <w:t xml:space="preserve">30) </w:t>
      </w:r>
      <w:r w:rsidRPr="00567319">
        <w:t>О</w:t>
      </w:r>
      <w:r>
        <w:t xml:space="preserve">сновную долю по количеству заключенных контрактов в отчетном периоде  2022 года, так же как и в аналогичном периоде прошлого года  составили контракты, заключенные с единственным поставщиком </w:t>
      </w:r>
      <w:proofErr w:type="gramStart"/>
      <w:r w:rsidRPr="0026546A">
        <w:rPr>
          <w:i/>
        </w:rPr>
        <w:t>(</w:t>
      </w:r>
      <w:r>
        <w:rPr>
          <w:i/>
        </w:rPr>
        <w:t xml:space="preserve"> </w:t>
      </w:r>
      <w:proofErr w:type="gramEnd"/>
      <w:r w:rsidRPr="0026546A">
        <w:rPr>
          <w:i/>
        </w:rPr>
        <w:t>с учетом контрактов, заключенных по результатам несостоявшихся закупок)</w:t>
      </w:r>
      <w:r>
        <w:t xml:space="preserve">  – </w:t>
      </w:r>
      <w:r w:rsidRPr="00483435">
        <w:rPr>
          <w:b/>
        </w:rPr>
        <w:t>80,0%</w:t>
      </w:r>
      <w:r>
        <w:t xml:space="preserve"> от  общего количества заключенных контрактов и</w:t>
      </w:r>
      <w:r w:rsidRPr="00567319">
        <w:t xml:space="preserve"> </w:t>
      </w:r>
      <w:r w:rsidRPr="00567319">
        <w:rPr>
          <w:i/>
        </w:rPr>
        <w:t xml:space="preserve"> </w:t>
      </w:r>
      <w:r w:rsidRPr="00567319">
        <w:rPr>
          <w:b/>
        </w:rPr>
        <w:t xml:space="preserve">86,1% </w:t>
      </w:r>
      <w:r w:rsidRPr="00567319">
        <w:t>от</w:t>
      </w:r>
      <w:r w:rsidRPr="00567319">
        <w:rPr>
          <w:b/>
        </w:rPr>
        <w:t xml:space="preserve"> </w:t>
      </w:r>
      <w:r w:rsidRPr="00567319">
        <w:t>общего стоимостного объема заключенных контрактов в отчетном периоде, из них:</w:t>
      </w:r>
    </w:p>
    <w:p w:rsidR="00567319" w:rsidRPr="00131969" w:rsidRDefault="00567319" w:rsidP="00567319">
      <w:pPr>
        <w:widowControl w:val="0"/>
        <w:tabs>
          <w:tab w:val="left" w:pos="709"/>
        </w:tabs>
        <w:ind w:firstLine="426"/>
        <w:jc w:val="both"/>
        <w:rPr>
          <w:i/>
        </w:rPr>
      </w:pPr>
      <w:r>
        <w:rPr>
          <w:bCs/>
        </w:rPr>
        <w:t xml:space="preserve">- </w:t>
      </w:r>
      <w:r w:rsidRPr="0041634F">
        <w:rPr>
          <w:bCs/>
        </w:rPr>
        <w:t xml:space="preserve">на основании, предусмотренными </w:t>
      </w:r>
      <w:r w:rsidRPr="00131969">
        <w:rPr>
          <w:b/>
          <w:bCs/>
        </w:rPr>
        <w:t>пунктами 1,</w:t>
      </w:r>
      <w:r>
        <w:rPr>
          <w:b/>
          <w:bCs/>
        </w:rPr>
        <w:t xml:space="preserve"> 2, 6, 8, </w:t>
      </w:r>
      <w:r w:rsidRPr="00131969">
        <w:rPr>
          <w:b/>
          <w:bCs/>
        </w:rPr>
        <w:t>22,</w:t>
      </w:r>
      <w:r>
        <w:rPr>
          <w:b/>
          <w:bCs/>
        </w:rPr>
        <w:t>23,</w:t>
      </w:r>
      <w:r w:rsidRPr="00131969">
        <w:rPr>
          <w:b/>
          <w:bCs/>
        </w:rPr>
        <w:t xml:space="preserve"> 29 </w:t>
      </w:r>
      <w:r>
        <w:rPr>
          <w:bCs/>
        </w:rPr>
        <w:t xml:space="preserve">– </w:t>
      </w:r>
      <w:r w:rsidRPr="00894821">
        <w:rPr>
          <w:b/>
          <w:bCs/>
        </w:rPr>
        <w:t>37,0</w:t>
      </w:r>
      <w:r w:rsidRPr="00131969">
        <w:rPr>
          <w:b/>
        </w:rPr>
        <w:t>%</w:t>
      </w:r>
      <w:r>
        <w:t xml:space="preserve"> от общего количества контрактов</w:t>
      </w:r>
      <w:r>
        <w:rPr>
          <w:b/>
        </w:rPr>
        <w:t>,</w:t>
      </w:r>
      <w:r w:rsidRPr="009F679B">
        <w:rPr>
          <w:b/>
        </w:rPr>
        <w:t xml:space="preserve"> </w:t>
      </w:r>
      <w:r>
        <w:t xml:space="preserve">что составляет </w:t>
      </w:r>
      <w:r>
        <w:rPr>
          <w:i/>
        </w:rPr>
        <w:t xml:space="preserve"> </w:t>
      </w:r>
      <w:r>
        <w:rPr>
          <w:b/>
        </w:rPr>
        <w:t>38,8</w:t>
      </w:r>
      <w:r w:rsidRPr="00131969">
        <w:rPr>
          <w:b/>
        </w:rPr>
        <w:t>%</w:t>
      </w:r>
      <w:r w:rsidRPr="00CA69ED">
        <w:rPr>
          <w:b/>
        </w:rPr>
        <w:t xml:space="preserve"> </w:t>
      </w:r>
      <w:r w:rsidRPr="003A648A">
        <w:t>от</w:t>
      </w:r>
      <w:r w:rsidRPr="00CA69ED">
        <w:rPr>
          <w:b/>
        </w:rPr>
        <w:t xml:space="preserve"> </w:t>
      </w:r>
      <w:r w:rsidRPr="003A648A">
        <w:t>общего</w:t>
      </w:r>
      <w:r>
        <w:t xml:space="preserve"> стоимостного объема заключенных контрактов в отчетном периоде;</w:t>
      </w:r>
    </w:p>
    <w:p w:rsidR="00567319" w:rsidRPr="003A648A" w:rsidRDefault="00567319" w:rsidP="00567319">
      <w:pPr>
        <w:widowControl w:val="0"/>
        <w:tabs>
          <w:tab w:val="left" w:pos="709"/>
        </w:tabs>
        <w:ind w:firstLine="426"/>
        <w:jc w:val="both"/>
        <w:rPr>
          <w:i/>
        </w:rPr>
      </w:pPr>
      <w:r>
        <w:rPr>
          <w:bCs/>
        </w:rPr>
        <w:t>-</w:t>
      </w:r>
      <w:r>
        <w:rPr>
          <w:b/>
        </w:rPr>
        <w:t xml:space="preserve"> </w:t>
      </w:r>
      <w:r w:rsidRPr="00894821">
        <w:t>в соответствии</w:t>
      </w:r>
      <w:r w:rsidRPr="009F679B">
        <w:rPr>
          <w:b/>
        </w:rPr>
        <w:t xml:space="preserve"> с п</w:t>
      </w:r>
      <w:r>
        <w:rPr>
          <w:b/>
        </w:rPr>
        <w:t xml:space="preserve">. </w:t>
      </w:r>
      <w:r w:rsidRPr="009F679B">
        <w:rPr>
          <w:b/>
        </w:rPr>
        <w:t>25 ч</w:t>
      </w:r>
      <w:r>
        <w:rPr>
          <w:b/>
        </w:rPr>
        <w:t>.</w:t>
      </w:r>
      <w:r w:rsidRPr="009F679B">
        <w:rPr>
          <w:b/>
        </w:rPr>
        <w:t>1 статьи 93</w:t>
      </w:r>
      <w:r w:rsidRPr="0099693B">
        <w:t xml:space="preserve"> </w:t>
      </w:r>
      <w:r>
        <w:t>З</w:t>
      </w:r>
      <w:r w:rsidRPr="0099693B">
        <w:t xml:space="preserve">акона № 44-ФЗ </w:t>
      </w:r>
      <w:r>
        <w:t>вследствие</w:t>
      </w:r>
      <w:r w:rsidRPr="0099693B">
        <w:t xml:space="preserve"> признания несостоявшимися</w:t>
      </w:r>
      <w:r>
        <w:t xml:space="preserve"> электронных аукционов, электронных конкурсов – </w:t>
      </w:r>
      <w:r>
        <w:rPr>
          <w:b/>
        </w:rPr>
        <w:t>43,0</w:t>
      </w:r>
      <w:r w:rsidRPr="00996D29">
        <w:rPr>
          <w:b/>
        </w:rPr>
        <w:t>%</w:t>
      </w:r>
      <w:r>
        <w:rPr>
          <w:b/>
        </w:rPr>
        <w:t xml:space="preserve"> </w:t>
      </w:r>
      <w:r>
        <w:t>от общего количества контрактов</w:t>
      </w:r>
      <w:r>
        <w:rPr>
          <w:b/>
        </w:rPr>
        <w:t xml:space="preserve">,  </w:t>
      </w:r>
      <w:r>
        <w:t xml:space="preserve">что составляет </w:t>
      </w:r>
      <w:r>
        <w:rPr>
          <w:i/>
        </w:rPr>
        <w:t xml:space="preserve"> </w:t>
      </w:r>
      <w:r>
        <w:rPr>
          <w:b/>
        </w:rPr>
        <w:t>347,3</w:t>
      </w:r>
      <w:r w:rsidRPr="00996D29">
        <w:rPr>
          <w:b/>
        </w:rPr>
        <w:t>%</w:t>
      </w:r>
      <w:r w:rsidRPr="00CA69ED">
        <w:rPr>
          <w:b/>
        </w:rPr>
        <w:t xml:space="preserve"> </w:t>
      </w:r>
      <w:r w:rsidRPr="003A648A">
        <w:t>от</w:t>
      </w:r>
      <w:r w:rsidRPr="00CA69ED">
        <w:rPr>
          <w:b/>
        </w:rPr>
        <w:t xml:space="preserve"> </w:t>
      </w:r>
      <w:r w:rsidRPr="003A648A">
        <w:t>общего</w:t>
      </w:r>
      <w:r>
        <w:t xml:space="preserve"> стоимостного объема заключенных контрактов в отчетном периоде</w:t>
      </w:r>
      <w:r w:rsidRPr="003A648A">
        <w:t>.</w:t>
      </w:r>
      <w:r w:rsidRPr="003A648A">
        <w:rPr>
          <w:i/>
        </w:rPr>
        <w:t xml:space="preserve"> </w:t>
      </w:r>
    </w:p>
    <w:p w:rsidR="00567319" w:rsidRPr="00465547" w:rsidRDefault="00567319" w:rsidP="00567319">
      <w:pPr>
        <w:widowControl w:val="0"/>
        <w:shd w:val="clear" w:color="auto" w:fill="FFFFFF" w:themeFill="background1"/>
        <w:tabs>
          <w:tab w:val="left" w:pos="709"/>
        </w:tabs>
        <w:jc w:val="both"/>
      </w:pPr>
      <w:r>
        <w:t xml:space="preserve">       </w:t>
      </w:r>
      <w:r w:rsidRPr="00567319">
        <w:rPr>
          <w:b/>
        </w:rPr>
        <w:t>31)</w:t>
      </w:r>
      <w:r>
        <w:t xml:space="preserve"> На втором месте по количеству и  объему заключенных контрактов – контракты, заключенные по результатам  </w:t>
      </w:r>
      <w:r w:rsidRPr="00912D05">
        <w:rPr>
          <w:b/>
        </w:rPr>
        <w:t>Электронных аукционов</w:t>
      </w:r>
      <w:r>
        <w:rPr>
          <w:b/>
        </w:rPr>
        <w:t xml:space="preserve"> – (19,6% </w:t>
      </w:r>
      <w:r w:rsidRPr="00E30B5C">
        <w:t xml:space="preserve">от </w:t>
      </w:r>
      <w:r>
        <w:t xml:space="preserve">общего количества </w:t>
      </w:r>
      <w:r w:rsidRPr="00465547">
        <w:t xml:space="preserve">контрактов на общую сумму </w:t>
      </w:r>
      <w:r w:rsidRPr="00465547">
        <w:rPr>
          <w:b/>
        </w:rPr>
        <w:t>1</w:t>
      </w:r>
      <w:r>
        <w:rPr>
          <w:b/>
        </w:rPr>
        <w:t>28 066,2</w:t>
      </w:r>
      <w:r w:rsidRPr="00465547">
        <w:rPr>
          <w:b/>
        </w:rPr>
        <w:t xml:space="preserve"> тыс. руб</w:t>
      </w:r>
      <w:r w:rsidRPr="00465547">
        <w:t xml:space="preserve">., что составляет </w:t>
      </w:r>
      <w:r>
        <w:rPr>
          <w:b/>
        </w:rPr>
        <w:t>13,9</w:t>
      </w:r>
      <w:r w:rsidRPr="00465547">
        <w:rPr>
          <w:b/>
        </w:rPr>
        <w:t xml:space="preserve">% </w:t>
      </w:r>
      <w:r w:rsidRPr="00465547">
        <w:t xml:space="preserve">от общей </w:t>
      </w:r>
      <w:r w:rsidRPr="00465547">
        <w:lastRenderedPageBreak/>
        <w:t>стоимости заключенных контрактов).</w:t>
      </w:r>
    </w:p>
    <w:p w:rsidR="009E6A15" w:rsidRDefault="00567319" w:rsidP="009E6A15">
      <w:pPr>
        <w:autoSpaceDE w:val="0"/>
        <w:autoSpaceDN w:val="0"/>
        <w:adjustRightInd w:val="0"/>
        <w:ind w:firstLine="425"/>
        <w:jc w:val="both"/>
        <w:outlineLvl w:val="0"/>
        <w:rPr>
          <w:b/>
        </w:rPr>
      </w:pPr>
      <w:r>
        <w:rPr>
          <w:b/>
        </w:rPr>
        <w:t>32)</w:t>
      </w:r>
      <w:r>
        <w:t xml:space="preserve"> </w:t>
      </w:r>
      <w:r w:rsidRPr="00D1671B">
        <w:t>В сравнении с аналогичным периодом 2021 года</w:t>
      </w:r>
      <w:r>
        <w:t xml:space="preserve"> отмечается изменение структуры заключенных контрактов в разрезе способов определения поставщиков</w:t>
      </w:r>
    </w:p>
    <w:p w:rsidR="00567319" w:rsidRDefault="00567319" w:rsidP="00567319">
      <w:pPr>
        <w:jc w:val="both"/>
        <w:rPr>
          <w:i/>
        </w:rPr>
      </w:pPr>
      <w:r>
        <w:rPr>
          <w:i/>
        </w:rPr>
        <w:t xml:space="preserve">      </w:t>
      </w:r>
      <w:r w:rsidRPr="00AC13D6">
        <w:rPr>
          <w:i/>
        </w:rPr>
        <w:t xml:space="preserve">Изменение структуры контрактов может быть обусловлено вступившими в силу изменениями законодательства о контрактной системе в части введения специальных </w:t>
      </w:r>
      <w:proofErr w:type="spellStart"/>
      <w:r w:rsidRPr="00AC13D6">
        <w:rPr>
          <w:i/>
        </w:rPr>
        <w:t>антисанкционных</w:t>
      </w:r>
      <w:proofErr w:type="spellEnd"/>
      <w:r w:rsidRPr="00AC13D6">
        <w:rPr>
          <w:i/>
        </w:rPr>
        <w:t xml:space="preserve"> мер по нивелированию негативных последствий от введения иностранными государствами санкций, предусматривающими возможность осуществления заказчиками закупок у единственного поставщика (подрядчика, исполнителя</w:t>
      </w:r>
      <w:r>
        <w:rPr>
          <w:i/>
        </w:rPr>
        <w:t>).</w:t>
      </w:r>
    </w:p>
    <w:p w:rsidR="009E6A15" w:rsidRDefault="00567319" w:rsidP="00567319">
      <w:pPr>
        <w:ind w:firstLine="284"/>
        <w:jc w:val="both"/>
        <w:rPr>
          <w:b/>
        </w:rPr>
      </w:pPr>
      <w:r>
        <w:rPr>
          <w:b/>
        </w:rPr>
        <w:t xml:space="preserve">  33) </w:t>
      </w:r>
      <w:r w:rsidRPr="00C12933">
        <w:rPr>
          <w:rFonts w:eastAsia="Calibri"/>
          <w:color w:val="000000"/>
        </w:rPr>
        <w:t>По данным ЕИС в отчетном периоде 20</w:t>
      </w:r>
      <w:r>
        <w:rPr>
          <w:rFonts w:eastAsia="Calibri"/>
          <w:color w:val="000000"/>
        </w:rPr>
        <w:t>22</w:t>
      </w:r>
      <w:r w:rsidRPr="00C12933">
        <w:rPr>
          <w:rFonts w:eastAsia="Calibri"/>
          <w:color w:val="000000"/>
        </w:rPr>
        <w:t xml:space="preserve"> года Заказчик</w:t>
      </w:r>
      <w:r>
        <w:rPr>
          <w:rFonts w:eastAsia="Calibri"/>
          <w:color w:val="000000"/>
        </w:rPr>
        <w:t>ами</w:t>
      </w:r>
      <w:r w:rsidRPr="00C12933">
        <w:rPr>
          <w:rFonts w:eastAsia="Calibri"/>
          <w:color w:val="000000"/>
        </w:rPr>
        <w:t xml:space="preserve"> расторгнуто </w:t>
      </w:r>
      <w:r>
        <w:rPr>
          <w:rFonts w:eastAsia="Calibri"/>
          <w:color w:val="000000"/>
        </w:rPr>
        <w:t xml:space="preserve">                       </w:t>
      </w:r>
      <w:r>
        <w:rPr>
          <w:rFonts w:eastAsia="Calibri"/>
          <w:b/>
          <w:color w:val="000000"/>
        </w:rPr>
        <w:t>3 контракта</w:t>
      </w:r>
      <w:r w:rsidRPr="00C12933">
        <w:rPr>
          <w:rFonts w:eastAsia="Calibri"/>
          <w:color w:val="000000"/>
        </w:rPr>
        <w:t xml:space="preserve"> на общую </w:t>
      </w:r>
      <w:r>
        <w:rPr>
          <w:rFonts w:eastAsia="Calibri"/>
          <w:color w:val="000000"/>
        </w:rPr>
        <w:t xml:space="preserve"> </w:t>
      </w:r>
      <w:r w:rsidRPr="00C12933">
        <w:rPr>
          <w:rFonts w:eastAsia="Calibri"/>
          <w:color w:val="000000"/>
        </w:rPr>
        <w:t xml:space="preserve">сумму </w:t>
      </w:r>
      <w:r>
        <w:rPr>
          <w:rFonts w:eastAsia="Calibri"/>
          <w:color w:val="000000"/>
        </w:rPr>
        <w:t xml:space="preserve"> </w:t>
      </w:r>
      <w:r>
        <w:rPr>
          <w:rFonts w:eastAsia="Calibri"/>
          <w:b/>
          <w:color w:val="000000"/>
        </w:rPr>
        <w:t>6 939,6</w:t>
      </w:r>
      <w:r w:rsidRPr="007563B1">
        <w:rPr>
          <w:rFonts w:eastAsia="Calibri"/>
          <w:b/>
          <w:color w:val="000000"/>
        </w:rPr>
        <w:t xml:space="preserve"> тыс</w:t>
      </w:r>
      <w:r w:rsidRPr="00C12933">
        <w:rPr>
          <w:rFonts w:eastAsia="Calibri"/>
          <w:b/>
          <w:color w:val="000000"/>
        </w:rPr>
        <w:t xml:space="preserve">. руб. </w:t>
      </w:r>
      <w:r w:rsidRPr="00C12933">
        <w:rPr>
          <w:rFonts w:eastAsia="Calibri"/>
          <w:color w:val="000000"/>
        </w:rPr>
        <w:t>,</w:t>
      </w:r>
      <w:r w:rsidRPr="00C12933">
        <w:rPr>
          <w:rFonts w:eastAsia="Calibri"/>
          <w:b/>
          <w:color w:val="000000"/>
        </w:rPr>
        <w:t xml:space="preserve"> </w:t>
      </w:r>
      <w:r w:rsidRPr="00C12933">
        <w:rPr>
          <w:rFonts w:eastAsia="Calibri"/>
          <w:color w:val="000000"/>
        </w:rPr>
        <w:t>(</w:t>
      </w:r>
      <w:r>
        <w:rPr>
          <w:rFonts w:eastAsia="Calibri"/>
          <w:color w:val="000000"/>
        </w:rPr>
        <w:t>0,8</w:t>
      </w:r>
      <w:r w:rsidRPr="00C12933">
        <w:rPr>
          <w:rFonts w:eastAsia="Calibri"/>
          <w:color w:val="000000"/>
        </w:rPr>
        <w:t>%  от общего количества контрактов)</w:t>
      </w:r>
      <w:proofErr w:type="gramStart"/>
      <w:r w:rsidRPr="00C12933">
        <w:rPr>
          <w:rFonts w:eastAsia="Calibri"/>
          <w:color w:val="000000"/>
        </w:rPr>
        <w:t xml:space="preserve"> ,</w:t>
      </w:r>
      <w:proofErr w:type="gramEnd"/>
      <w:r w:rsidRPr="00C12933">
        <w:rPr>
          <w:rFonts w:eastAsia="Calibri"/>
          <w:color w:val="000000"/>
        </w:rPr>
        <w:t xml:space="preserve"> что </w:t>
      </w:r>
      <w:r>
        <w:rPr>
          <w:rFonts w:eastAsia="Calibri"/>
          <w:color w:val="000000"/>
        </w:rPr>
        <w:t>меньше на 81,8%</w:t>
      </w:r>
      <w:r w:rsidRPr="00C12933">
        <w:rPr>
          <w:rFonts w:eastAsia="Calibri"/>
          <w:color w:val="000000"/>
        </w:rPr>
        <w:t xml:space="preserve">  по количеству и </w:t>
      </w:r>
      <w:r>
        <w:rPr>
          <w:rFonts w:eastAsia="Calibri"/>
          <w:color w:val="000000"/>
        </w:rPr>
        <w:t>меньше на 29,3%</w:t>
      </w:r>
      <w:r w:rsidRPr="00C12933">
        <w:rPr>
          <w:rFonts w:eastAsia="Calibri"/>
          <w:color w:val="000000"/>
        </w:rPr>
        <w:t xml:space="preserve">  по сумме в сравнении с </w:t>
      </w:r>
      <w:r>
        <w:rPr>
          <w:rFonts w:eastAsia="Calibri"/>
          <w:color w:val="000000"/>
        </w:rPr>
        <w:t>аналогичным периодом 2021 года</w:t>
      </w:r>
      <w:r w:rsidRPr="00C12933">
        <w:rPr>
          <w:rFonts w:eastAsia="Calibri"/>
          <w:color w:val="000000"/>
        </w:rPr>
        <w:t>, когда Заказчик</w:t>
      </w:r>
      <w:r>
        <w:rPr>
          <w:rFonts w:eastAsia="Calibri"/>
          <w:color w:val="000000"/>
        </w:rPr>
        <w:t>ами</w:t>
      </w:r>
      <w:r w:rsidRPr="00C12933">
        <w:rPr>
          <w:rFonts w:eastAsia="Calibri"/>
          <w:color w:val="000000"/>
        </w:rPr>
        <w:t xml:space="preserve"> было расторгнуто </w:t>
      </w:r>
      <w:r>
        <w:rPr>
          <w:rFonts w:eastAsia="Calibri"/>
          <w:color w:val="000000"/>
        </w:rPr>
        <w:t>11</w:t>
      </w:r>
      <w:r w:rsidRPr="00C12933">
        <w:rPr>
          <w:rFonts w:eastAsia="Calibri"/>
          <w:color w:val="000000"/>
        </w:rPr>
        <w:t xml:space="preserve"> контракт</w:t>
      </w:r>
      <w:r>
        <w:rPr>
          <w:rFonts w:eastAsia="Calibri"/>
          <w:color w:val="000000"/>
        </w:rPr>
        <w:t>ов</w:t>
      </w:r>
      <w:r w:rsidRPr="00C12933">
        <w:rPr>
          <w:rFonts w:eastAsia="Calibri"/>
          <w:color w:val="000000"/>
        </w:rPr>
        <w:t xml:space="preserve"> на общую сумму </w:t>
      </w:r>
      <w:r>
        <w:rPr>
          <w:rFonts w:eastAsia="Calibri"/>
          <w:color w:val="000000"/>
        </w:rPr>
        <w:t xml:space="preserve"> 9 821,9</w:t>
      </w:r>
      <w:r w:rsidRPr="00C12933">
        <w:rPr>
          <w:rFonts w:eastAsia="Calibri"/>
          <w:color w:val="000000"/>
        </w:rPr>
        <w:t xml:space="preserve"> тыс. руб. (</w:t>
      </w:r>
      <w:r>
        <w:rPr>
          <w:rFonts w:eastAsia="Calibri"/>
          <w:color w:val="000000"/>
        </w:rPr>
        <w:t>5,7</w:t>
      </w:r>
      <w:r w:rsidRPr="00C12933">
        <w:rPr>
          <w:rFonts w:eastAsia="Calibri"/>
          <w:color w:val="000000"/>
        </w:rPr>
        <w:t>% о</w:t>
      </w:r>
      <w:r>
        <w:rPr>
          <w:rFonts w:eastAsia="Calibri"/>
          <w:color w:val="000000"/>
        </w:rPr>
        <w:t xml:space="preserve">т общего количества контрактов). </w:t>
      </w:r>
      <w:r>
        <w:t xml:space="preserve">Сумма фактической оплаты по расторгнутым контрактам составила  </w:t>
      </w:r>
      <w:r w:rsidRPr="00A1507B">
        <w:rPr>
          <w:b/>
        </w:rPr>
        <w:t>2</w:t>
      </w:r>
      <w:r>
        <w:rPr>
          <w:b/>
        </w:rPr>
        <w:t>,2</w:t>
      </w:r>
      <w:r w:rsidRPr="00A1507B">
        <w:rPr>
          <w:b/>
        </w:rPr>
        <w:t xml:space="preserve"> тыс. руб</w:t>
      </w:r>
      <w:r>
        <w:rPr>
          <w:b/>
        </w:rPr>
        <w:t xml:space="preserve">.  </w:t>
      </w:r>
    </w:p>
    <w:p w:rsidR="00567319" w:rsidRDefault="00567319" w:rsidP="00567319">
      <w:pPr>
        <w:ind w:firstLine="426"/>
        <w:jc w:val="both"/>
        <w:rPr>
          <w:rFonts w:eastAsia="Calibri"/>
          <w:color w:val="000000"/>
        </w:rPr>
      </w:pPr>
      <w:r>
        <w:rPr>
          <w:rFonts w:eastAsia="Calibri"/>
          <w:color w:val="000000"/>
        </w:rPr>
        <w:t xml:space="preserve">Из анализа представленных данных по основаниям расторжения контрактов следует, что в отчетном периоде 2022 года, как и в аналогичном  периоде 2021  года, расторжение контрактов осуществлялось </w:t>
      </w:r>
      <w:r w:rsidRPr="00E500A4">
        <w:rPr>
          <w:rFonts w:eastAsia="Calibri"/>
          <w:b/>
          <w:color w:val="000000"/>
        </w:rPr>
        <w:t>по соглашению сторон</w:t>
      </w:r>
      <w:r>
        <w:rPr>
          <w:rFonts w:eastAsia="Calibri"/>
          <w:color w:val="000000"/>
        </w:rPr>
        <w:t xml:space="preserve"> (100,0% от общего количества расторгнутых контрактов).</w:t>
      </w:r>
    </w:p>
    <w:p w:rsidR="00CF1D9E" w:rsidRDefault="00567319" w:rsidP="00CF1D9E">
      <w:pPr>
        <w:ind w:firstLine="426"/>
        <w:contextualSpacing/>
        <w:jc w:val="both"/>
        <w:rPr>
          <w:color w:val="000000"/>
        </w:rPr>
      </w:pPr>
      <w:r>
        <w:rPr>
          <w:b/>
        </w:rPr>
        <w:t>34</w:t>
      </w:r>
      <w:r w:rsidR="00CF1D9E" w:rsidRPr="00CF1D9E">
        <w:rPr>
          <w:b/>
        </w:rPr>
        <w:t xml:space="preserve">) </w:t>
      </w:r>
      <w:r w:rsidR="00916C1B" w:rsidRPr="00CF1D9E">
        <w:rPr>
          <w:color w:val="000000"/>
        </w:rPr>
        <w:t xml:space="preserve">Показателем эффективности осуществления закупок является </w:t>
      </w:r>
      <w:r w:rsidR="00916C1B" w:rsidRPr="00CF1D9E">
        <w:rPr>
          <w:b/>
          <w:color w:val="000000"/>
        </w:rPr>
        <w:t xml:space="preserve">экономия </w:t>
      </w:r>
      <w:r w:rsidR="00916C1B" w:rsidRPr="00CF1D9E">
        <w:rPr>
          <w:color w:val="000000"/>
        </w:rPr>
        <w:t xml:space="preserve">бюджетных средств, в части размера снижения начальной (максимальной) цены контракта, полученная в результате конкурентной борьбы участников. </w:t>
      </w:r>
    </w:p>
    <w:p w:rsidR="00CF1D9E" w:rsidRDefault="00CF1D9E" w:rsidP="00CF1D9E">
      <w:pPr>
        <w:spacing w:line="23" w:lineRule="atLeast"/>
        <w:jc w:val="both"/>
      </w:pPr>
      <w:r>
        <w:rPr>
          <w:b/>
        </w:rPr>
        <w:t xml:space="preserve">      Э</w:t>
      </w:r>
      <w:r w:rsidRPr="00A13D21">
        <w:rPr>
          <w:b/>
        </w:rPr>
        <w:t>кономия бюджетных средств</w:t>
      </w:r>
      <w:r>
        <w:rPr>
          <w:b/>
        </w:rPr>
        <w:t xml:space="preserve">, </w:t>
      </w:r>
      <w:r w:rsidRPr="00B1140B">
        <w:t>в процессе осуществления закупок (определения поставщиков</w:t>
      </w:r>
      <w:r>
        <w:t xml:space="preserve">)  по итогам 2021 года определена в размере  </w:t>
      </w:r>
      <w:r w:rsidRPr="00916C1B">
        <w:rPr>
          <w:b/>
        </w:rPr>
        <w:t>26 328,7 тыс</w:t>
      </w:r>
      <w:r w:rsidRPr="007B1119">
        <w:rPr>
          <w:b/>
        </w:rPr>
        <w:t>.</w:t>
      </w:r>
      <w:r w:rsidRPr="00001FAA">
        <w:rPr>
          <w:b/>
        </w:rPr>
        <w:t xml:space="preserve"> руб.</w:t>
      </w:r>
      <w:r>
        <w:t xml:space="preserve">  или  </w:t>
      </w:r>
      <w:r w:rsidRPr="00186AD3">
        <w:rPr>
          <w:b/>
        </w:rPr>
        <w:t>8,0%</w:t>
      </w:r>
      <w:r>
        <w:t xml:space="preserve"> снижения начальной (максимальной) цены контрактов относител</w:t>
      </w:r>
      <w:r w:rsidR="009A168C">
        <w:t>ьно цены заключенных контрактов,</w:t>
      </w:r>
      <w:r w:rsidRPr="00242D6E">
        <w:t xml:space="preserve"> </w:t>
      </w:r>
      <w:r>
        <w:t>в том числе по итогам:</w:t>
      </w:r>
    </w:p>
    <w:p w:rsidR="00CF1D9E" w:rsidRPr="0052581C" w:rsidRDefault="00CF1D9E" w:rsidP="00456F59">
      <w:pPr>
        <w:numPr>
          <w:ilvl w:val="0"/>
          <w:numId w:val="25"/>
        </w:numPr>
        <w:spacing w:line="23" w:lineRule="atLeast"/>
        <w:jc w:val="both"/>
        <w:rPr>
          <w:b/>
        </w:rPr>
      </w:pPr>
      <w:r>
        <w:t xml:space="preserve">Электронный аукцион – </w:t>
      </w:r>
      <w:r w:rsidRPr="0052581C">
        <w:rPr>
          <w:b/>
        </w:rPr>
        <w:t>2</w:t>
      </w:r>
      <w:r>
        <w:rPr>
          <w:b/>
        </w:rPr>
        <w:t>4 415,9</w:t>
      </w:r>
      <w:r w:rsidRPr="0052581C">
        <w:rPr>
          <w:b/>
        </w:rPr>
        <w:t xml:space="preserve"> тыс. руб.</w:t>
      </w:r>
    </w:p>
    <w:p w:rsidR="00CF1D9E" w:rsidRDefault="00CF1D9E" w:rsidP="00456F59">
      <w:pPr>
        <w:numPr>
          <w:ilvl w:val="0"/>
          <w:numId w:val="25"/>
        </w:numPr>
        <w:spacing w:line="23" w:lineRule="atLeast"/>
        <w:jc w:val="both"/>
        <w:rPr>
          <w:b/>
        </w:rPr>
      </w:pPr>
      <w:r>
        <w:t xml:space="preserve">Конкурс  – </w:t>
      </w:r>
      <w:r w:rsidRPr="00242D6E">
        <w:rPr>
          <w:b/>
        </w:rPr>
        <w:t>1 841,2 тыс</w:t>
      </w:r>
      <w:r w:rsidRPr="0052581C">
        <w:rPr>
          <w:b/>
        </w:rPr>
        <w:t>. руб.</w:t>
      </w:r>
    </w:p>
    <w:p w:rsidR="00CF1D9E" w:rsidRPr="0052581C" w:rsidRDefault="00CF1D9E" w:rsidP="00456F59">
      <w:pPr>
        <w:numPr>
          <w:ilvl w:val="0"/>
          <w:numId w:val="25"/>
        </w:numPr>
        <w:spacing w:line="23" w:lineRule="atLeast"/>
        <w:jc w:val="both"/>
        <w:rPr>
          <w:b/>
        </w:rPr>
      </w:pPr>
      <w:r w:rsidRPr="00242D6E">
        <w:t>Запрос котировок</w:t>
      </w:r>
      <w:r>
        <w:rPr>
          <w:b/>
        </w:rPr>
        <w:t xml:space="preserve"> – 71,6 тыс. руб.</w:t>
      </w:r>
    </w:p>
    <w:p w:rsidR="00CF1D9E" w:rsidRDefault="00CF1D9E" w:rsidP="00CF1D9E">
      <w:pPr>
        <w:ind w:firstLine="426"/>
        <w:jc w:val="both"/>
      </w:pPr>
      <w:r>
        <w:t xml:space="preserve">Наибольшая доля экономии приходится на закупки, осуществленные посредством Электронного аукциона – </w:t>
      </w:r>
      <w:r w:rsidRPr="0052581C">
        <w:rPr>
          <w:b/>
        </w:rPr>
        <w:t>9</w:t>
      </w:r>
      <w:r>
        <w:rPr>
          <w:b/>
        </w:rPr>
        <w:t>2,7</w:t>
      </w:r>
      <w:r w:rsidRPr="0052581C">
        <w:rPr>
          <w:b/>
        </w:rPr>
        <w:t>%</w:t>
      </w:r>
      <w:r>
        <w:t xml:space="preserve"> от общей суммы экономии, наименьшая – на закупки, проведенные Запросом котировок – </w:t>
      </w:r>
      <w:r w:rsidRPr="0052581C">
        <w:rPr>
          <w:b/>
        </w:rPr>
        <w:t>0,</w:t>
      </w:r>
      <w:r>
        <w:rPr>
          <w:b/>
        </w:rPr>
        <w:t>3</w:t>
      </w:r>
      <w:r w:rsidRPr="0052581C">
        <w:rPr>
          <w:b/>
        </w:rPr>
        <w:t>%</w:t>
      </w:r>
      <w:r>
        <w:t xml:space="preserve"> от общей суммы экономии.</w:t>
      </w:r>
    </w:p>
    <w:p w:rsidR="00567319" w:rsidRDefault="00567319" w:rsidP="00567319">
      <w:pPr>
        <w:jc w:val="both"/>
      </w:pPr>
      <w:r>
        <w:rPr>
          <w:b/>
          <w:color w:val="000000"/>
        </w:rPr>
        <w:t xml:space="preserve">      </w:t>
      </w:r>
      <w:r w:rsidR="00CF1D9E" w:rsidRPr="00CF1D9E">
        <w:rPr>
          <w:b/>
          <w:color w:val="000000"/>
        </w:rPr>
        <w:t>3</w:t>
      </w:r>
      <w:r w:rsidR="006D072E">
        <w:rPr>
          <w:b/>
          <w:color w:val="000000"/>
        </w:rPr>
        <w:t>5</w:t>
      </w:r>
      <w:r w:rsidR="00CF1D9E" w:rsidRPr="00CF1D9E">
        <w:rPr>
          <w:b/>
          <w:color w:val="000000"/>
        </w:rPr>
        <w:t>)</w:t>
      </w:r>
      <w:r w:rsidR="00CF1D9E">
        <w:rPr>
          <w:b/>
          <w:color w:val="000000"/>
        </w:rPr>
        <w:t xml:space="preserve"> </w:t>
      </w:r>
      <w:r w:rsidRPr="00CF1D9E">
        <w:rPr>
          <w:color w:val="000000"/>
        </w:rPr>
        <w:t xml:space="preserve">Показателем эффективности осуществления закупок является </w:t>
      </w:r>
      <w:r w:rsidRPr="00CF1D9E">
        <w:rPr>
          <w:b/>
          <w:color w:val="000000"/>
        </w:rPr>
        <w:t xml:space="preserve">экономия </w:t>
      </w:r>
      <w:r w:rsidRPr="00CF1D9E">
        <w:rPr>
          <w:color w:val="000000"/>
        </w:rPr>
        <w:t>бюджетных средств, в части размера снижения начальной (максимальной) цены контракта, полученная в результате конкурентной борьбы участников</w:t>
      </w:r>
      <w:r>
        <w:rPr>
          <w:color w:val="000000"/>
        </w:rPr>
        <w:t>.</w:t>
      </w:r>
    </w:p>
    <w:p w:rsidR="00567319" w:rsidRDefault="00567319" w:rsidP="006D072E">
      <w:pPr>
        <w:jc w:val="both"/>
      </w:pPr>
      <w:r>
        <w:t xml:space="preserve">      </w:t>
      </w:r>
      <w:r w:rsidRPr="002D5E6C">
        <w:rPr>
          <w:b/>
        </w:rPr>
        <w:t xml:space="preserve">Экономия бюджетных средств, </w:t>
      </w:r>
      <w:r w:rsidRPr="00B1140B">
        <w:t>в процессе осуществления закупок (определения поставщиков</w:t>
      </w:r>
      <w:r>
        <w:t xml:space="preserve">)  по итогам 2022 года определена в размере  </w:t>
      </w:r>
      <w:r w:rsidRPr="002D5E6C">
        <w:rPr>
          <w:b/>
        </w:rPr>
        <w:t>26</w:t>
      </w:r>
      <w:r>
        <w:rPr>
          <w:b/>
        </w:rPr>
        <w:t> 249,3</w:t>
      </w:r>
      <w:r w:rsidRPr="002D5E6C">
        <w:rPr>
          <w:b/>
        </w:rPr>
        <w:t xml:space="preserve"> тыс. руб.</w:t>
      </w:r>
      <w:r>
        <w:t xml:space="preserve">  или  </w:t>
      </w:r>
      <w:r>
        <w:rPr>
          <w:b/>
        </w:rPr>
        <w:t>2,8</w:t>
      </w:r>
      <w:r w:rsidRPr="002D5E6C">
        <w:rPr>
          <w:b/>
        </w:rPr>
        <w:t>%</w:t>
      </w:r>
      <w:r>
        <w:t xml:space="preserve"> снижения начальной (максимальной) цены контрактов относительно цены заключенных контрактов</w:t>
      </w:r>
      <w:r w:rsidR="006D072E">
        <w:t xml:space="preserve">, </w:t>
      </w:r>
      <w:r>
        <w:t>в том числе по итогам:</w:t>
      </w:r>
    </w:p>
    <w:p w:rsidR="00567319" w:rsidRPr="0052581C" w:rsidRDefault="00567319" w:rsidP="00567319">
      <w:pPr>
        <w:numPr>
          <w:ilvl w:val="0"/>
          <w:numId w:val="25"/>
        </w:numPr>
        <w:spacing w:line="23" w:lineRule="atLeast"/>
        <w:jc w:val="both"/>
        <w:rPr>
          <w:b/>
        </w:rPr>
      </w:pPr>
      <w:r>
        <w:t xml:space="preserve">Электронный аукцион – </w:t>
      </w:r>
      <w:r w:rsidRPr="0052581C">
        <w:rPr>
          <w:b/>
        </w:rPr>
        <w:t>2</w:t>
      </w:r>
      <w:r>
        <w:rPr>
          <w:b/>
        </w:rPr>
        <w:t>5 022,1</w:t>
      </w:r>
      <w:r w:rsidRPr="0052581C">
        <w:rPr>
          <w:b/>
        </w:rPr>
        <w:t xml:space="preserve"> тыс. руб.</w:t>
      </w:r>
    </w:p>
    <w:p w:rsidR="00567319" w:rsidRDefault="00567319" w:rsidP="00567319">
      <w:pPr>
        <w:numPr>
          <w:ilvl w:val="0"/>
          <w:numId w:val="25"/>
        </w:numPr>
        <w:spacing w:line="23" w:lineRule="atLeast"/>
        <w:jc w:val="both"/>
        <w:rPr>
          <w:b/>
        </w:rPr>
      </w:pPr>
      <w:r>
        <w:t xml:space="preserve">Электронный конкурс  – </w:t>
      </w:r>
      <w:r w:rsidRPr="00A54E96">
        <w:rPr>
          <w:b/>
        </w:rPr>
        <w:t>1 227,2 тыс</w:t>
      </w:r>
      <w:r w:rsidRPr="0052581C">
        <w:rPr>
          <w:b/>
        </w:rPr>
        <w:t>. руб.</w:t>
      </w:r>
    </w:p>
    <w:p w:rsidR="00567319" w:rsidRPr="000F67CC" w:rsidRDefault="00567319" w:rsidP="00567319">
      <w:pPr>
        <w:numPr>
          <w:ilvl w:val="0"/>
          <w:numId w:val="25"/>
        </w:numPr>
        <w:spacing w:line="23" w:lineRule="atLeast"/>
        <w:jc w:val="both"/>
        <w:rPr>
          <w:b/>
        </w:rPr>
      </w:pPr>
      <w:r w:rsidRPr="00242D6E">
        <w:t>Запрос котировок</w:t>
      </w:r>
      <w:r w:rsidRPr="000F67CC">
        <w:rPr>
          <w:b/>
        </w:rPr>
        <w:t xml:space="preserve"> – 0,</w:t>
      </w:r>
      <w:r>
        <w:rPr>
          <w:b/>
        </w:rPr>
        <w:t>0</w:t>
      </w:r>
      <w:r w:rsidRPr="000F67CC">
        <w:rPr>
          <w:b/>
        </w:rPr>
        <w:t xml:space="preserve"> тыс. руб.</w:t>
      </w:r>
    </w:p>
    <w:p w:rsidR="00567319" w:rsidRDefault="00567319" w:rsidP="00567319">
      <w:pPr>
        <w:ind w:firstLine="426"/>
        <w:jc w:val="both"/>
      </w:pPr>
      <w:r>
        <w:t xml:space="preserve">Наибольшая доля экономии приходится на закупки, осуществленные посредством Электронного аукциона – </w:t>
      </w:r>
      <w:r w:rsidRPr="0052581C">
        <w:rPr>
          <w:b/>
        </w:rPr>
        <w:t>9</w:t>
      </w:r>
      <w:r>
        <w:rPr>
          <w:b/>
        </w:rPr>
        <w:t>5,3</w:t>
      </w:r>
      <w:r w:rsidRPr="0052581C">
        <w:rPr>
          <w:b/>
        </w:rPr>
        <w:t>%</w:t>
      </w:r>
      <w:r>
        <w:t xml:space="preserve"> от общей суммы экономии, наименьшая – на закупки, проведенные  Электронным конкурсом – </w:t>
      </w:r>
      <w:r>
        <w:rPr>
          <w:b/>
        </w:rPr>
        <w:t>4,7%</w:t>
      </w:r>
      <w:r>
        <w:t xml:space="preserve"> от общей суммы экономии.</w:t>
      </w:r>
    </w:p>
    <w:p w:rsidR="006D072E" w:rsidRDefault="006D072E" w:rsidP="006D072E">
      <w:pPr>
        <w:keepNext/>
        <w:keepLines/>
        <w:tabs>
          <w:tab w:val="left" w:pos="567"/>
        </w:tabs>
        <w:autoSpaceDE w:val="0"/>
        <w:autoSpaceDN w:val="0"/>
        <w:adjustRightInd w:val="0"/>
        <w:ind w:firstLine="426"/>
        <w:jc w:val="both"/>
        <w:rPr>
          <w:b/>
        </w:rPr>
      </w:pPr>
      <w:r>
        <w:rPr>
          <w:b/>
          <w:color w:val="000000"/>
        </w:rPr>
        <w:lastRenderedPageBreak/>
        <w:t xml:space="preserve">36) </w:t>
      </w:r>
      <w:r>
        <w:t xml:space="preserve">Экономия бюджетных средств по итогам проведенных закупок, проведенных в соответствии с планами – графиками на 2022 год незначительно ниже  аналогичного  показателя  2021 года  на  </w:t>
      </w:r>
      <w:r>
        <w:rPr>
          <w:b/>
        </w:rPr>
        <w:t xml:space="preserve">0,3 </w:t>
      </w:r>
      <w:r w:rsidRPr="00A52A98">
        <w:rPr>
          <w:b/>
        </w:rPr>
        <w:t xml:space="preserve"> процентных пункт</w:t>
      </w:r>
      <w:r>
        <w:rPr>
          <w:b/>
        </w:rPr>
        <w:t>ов</w:t>
      </w:r>
      <w:r>
        <w:t xml:space="preserve">. В абсолютном значении  уменьшение экономии составляет  79,4 тыс. руб. (Для сравнения в 2021 году экономия составляла -  </w:t>
      </w:r>
      <w:r>
        <w:rPr>
          <w:b/>
        </w:rPr>
        <w:t>26 328,7</w:t>
      </w:r>
      <w:r w:rsidRPr="00242D6E">
        <w:rPr>
          <w:b/>
        </w:rPr>
        <w:t xml:space="preserve"> тыс</w:t>
      </w:r>
      <w:r w:rsidRPr="008B27AC">
        <w:rPr>
          <w:b/>
        </w:rPr>
        <w:t>. руб</w:t>
      </w:r>
      <w:r>
        <w:t xml:space="preserve">.). </w:t>
      </w:r>
    </w:p>
    <w:p w:rsidR="006D072E" w:rsidRPr="00C0425B" w:rsidRDefault="006D072E" w:rsidP="006D072E">
      <w:pPr>
        <w:tabs>
          <w:tab w:val="left" w:pos="709"/>
        </w:tabs>
        <w:jc w:val="both"/>
        <w:rPr>
          <w:u w:val="single"/>
        </w:rPr>
      </w:pPr>
      <w:r>
        <w:rPr>
          <w:b/>
          <w:color w:val="000000"/>
        </w:rPr>
        <w:t xml:space="preserve">       37) </w:t>
      </w:r>
      <w:r w:rsidR="00CF1D9E" w:rsidRPr="00CF1D9E">
        <w:rPr>
          <w:b/>
          <w:color w:val="000000"/>
        </w:rPr>
        <w:t xml:space="preserve"> </w:t>
      </w:r>
      <w:r w:rsidR="00916C1B" w:rsidRPr="00CF1D9E">
        <w:rPr>
          <w:color w:val="000000"/>
        </w:rPr>
        <w:t xml:space="preserve">По результатам проведенной экономической оценки эффективности наибольшее снижение начальной максимальной цены контракта </w:t>
      </w:r>
      <w:r w:rsidR="00916C1B" w:rsidRPr="00CF1D9E">
        <w:rPr>
          <w:rFonts w:eastAsia="Calibri"/>
          <w:color w:val="000000"/>
        </w:rPr>
        <w:t xml:space="preserve">выявлено </w:t>
      </w:r>
      <w:r w:rsidR="00CF1D9E" w:rsidRPr="00CF1D9E">
        <w:rPr>
          <w:rFonts w:eastAsia="Calibri"/>
          <w:color w:val="000000"/>
        </w:rPr>
        <w:t xml:space="preserve">в </w:t>
      </w:r>
      <w:r w:rsidRPr="00B24F12">
        <w:rPr>
          <w:b/>
        </w:rPr>
        <w:t xml:space="preserve">МО </w:t>
      </w:r>
      <w:r>
        <w:rPr>
          <w:b/>
        </w:rPr>
        <w:t>Запорожское сельское</w:t>
      </w:r>
      <w:r w:rsidRPr="00B24F12">
        <w:rPr>
          <w:b/>
        </w:rPr>
        <w:t xml:space="preserve"> поселение</w:t>
      </w:r>
      <w:r>
        <w:t xml:space="preserve"> </w:t>
      </w:r>
      <w:r w:rsidRPr="00C0425B">
        <w:t>–</w:t>
      </w:r>
      <w:r w:rsidRPr="00C0425B">
        <w:rPr>
          <w:u w:val="single"/>
        </w:rPr>
        <w:t xml:space="preserve"> </w:t>
      </w:r>
      <w:r>
        <w:rPr>
          <w:u w:val="single"/>
        </w:rPr>
        <w:t>6 977,4</w:t>
      </w:r>
      <w:r w:rsidRPr="00C0425B">
        <w:rPr>
          <w:u w:val="single"/>
        </w:rPr>
        <w:t xml:space="preserve"> тыс. руб.</w:t>
      </w:r>
    </w:p>
    <w:p w:rsidR="006D072E" w:rsidRPr="00772B1E" w:rsidRDefault="006D072E" w:rsidP="006D072E">
      <w:pPr>
        <w:tabs>
          <w:tab w:val="left" w:pos="709"/>
        </w:tabs>
        <w:ind w:firstLine="426"/>
        <w:jc w:val="both"/>
        <w:rPr>
          <w:u w:val="single"/>
        </w:rPr>
      </w:pPr>
      <w:r w:rsidRPr="00B24F12">
        <w:t xml:space="preserve">На </w:t>
      </w:r>
      <w:r>
        <w:t xml:space="preserve">втором месте по объему экономии бюджетных средств - </w:t>
      </w:r>
      <w:proofErr w:type="spellStart"/>
      <w:r>
        <w:rPr>
          <w:b/>
        </w:rPr>
        <w:t>Приозерское</w:t>
      </w:r>
      <w:proofErr w:type="spellEnd"/>
      <w:r>
        <w:rPr>
          <w:b/>
        </w:rPr>
        <w:t xml:space="preserve"> городское</w:t>
      </w:r>
      <w:r w:rsidRPr="00B24F12">
        <w:rPr>
          <w:b/>
        </w:rPr>
        <w:t xml:space="preserve"> поселение</w:t>
      </w:r>
      <w:r>
        <w:rPr>
          <w:b/>
        </w:rPr>
        <w:t xml:space="preserve"> </w:t>
      </w:r>
      <w:r>
        <w:t xml:space="preserve">– </w:t>
      </w:r>
      <w:r>
        <w:rPr>
          <w:u w:val="single"/>
        </w:rPr>
        <w:t>6 824,7</w:t>
      </w:r>
      <w:r w:rsidRPr="00617FEF">
        <w:rPr>
          <w:u w:val="single"/>
        </w:rPr>
        <w:t xml:space="preserve"> тыс</w:t>
      </w:r>
      <w:r w:rsidRPr="00772B1E">
        <w:rPr>
          <w:u w:val="single"/>
        </w:rPr>
        <w:t>. руб.</w:t>
      </w:r>
    </w:p>
    <w:p w:rsidR="006D072E" w:rsidRPr="00225EEF" w:rsidRDefault="006D072E" w:rsidP="006D072E">
      <w:pPr>
        <w:tabs>
          <w:tab w:val="left" w:pos="709"/>
        </w:tabs>
        <w:ind w:firstLine="426"/>
        <w:jc w:val="both"/>
        <w:rPr>
          <w:i/>
          <w:u w:val="single"/>
        </w:rPr>
      </w:pPr>
      <w:r>
        <w:t xml:space="preserve">Самый низкий показатель абсолютной экономии бюджетных средств наблюдается в </w:t>
      </w:r>
      <w:r w:rsidRPr="00D53875">
        <w:rPr>
          <w:b/>
        </w:rPr>
        <w:t xml:space="preserve">МО </w:t>
      </w:r>
      <w:r>
        <w:rPr>
          <w:b/>
        </w:rPr>
        <w:t>Сосновское</w:t>
      </w:r>
      <w:r w:rsidRPr="00D53875">
        <w:rPr>
          <w:b/>
        </w:rPr>
        <w:t xml:space="preserve"> сельское поселение</w:t>
      </w:r>
      <w:r>
        <w:t xml:space="preserve"> – </w:t>
      </w:r>
      <w:r>
        <w:rPr>
          <w:u w:val="single"/>
        </w:rPr>
        <w:t>3,6</w:t>
      </w:r>
      <w:r w:rsidRPr="00617FEF">
        <w:rPr>
          <w:u w:val="single"/>
        </w:rPr>
        <w:t xml:space="preserve"> тыс</w:t>
      </w:r>
      <w:r w:rsidRPr="00772B1E">
        <w:rPr>
          <w:u w:val="single"/>
        </w:rPr>
        <w:t>. руб</w:t>
      </w:r>
      <w:r w:rsidRPr="009C7323">
        <w:rPr>
          <w:u w:val="single"/>
        </w:rPr>
        <w:t>.</w:t>
      </w:r>
    </w:p>
    <w:p w:rsidR="006D072E" w:rsidRDefault="006D072E" w:rsidP="006D072E">
      <w:pPr>
        <w:tabs>
          <w:tab w:val="left" w:pos="709"/>
        </w:tabs>
        <w:spacing w:line="23" w:lineRule="atLeast"/>
        <w:ind w:firstLine="426"/>
        <w:jc w:val="both"/>
        <w:rPr>
          <w:i/>
        </w:rPr>
      </w:pPr>
      <w:r>
        <w:t xml:space="preserve">При </w:t>
      </w:r>
      <w:r w:rsidRPr="007557BC">
        <w:t>осуществлен</w:t>
      </w:r>
      <w:r>
        <w:t xml:space="preserve">ии закупочных процедур </w:t>
      </w:r>
      <w:r w:rsidRPr="007557BC">
        <w:t xml:space="preserve">определения поставщика </w:t>
      </w:r>
      <w:r>
        <w:t xml:space="preserve">с целью заключения контрактов </w:t>
      </w:r>
      <w:r w:rsidRPr="007557BC">
        <w:t xml:space="preserve">путем проведения </w:t>
      </w:r>
      <w:r>
        <w:t xml:space="preserve">конкурентных способов показатель абсолютной экономии бюджетных средств  в </w:t>
      </w:r>
      <w:r w:rsidRPr="00D53875">
        <w:rPr>
          <w:b/>
        </w:rPr>
        <w:t>МО</w:t>
      </w:r>
      <w:r>
        <w:rPr>
          <w:b/>
        </w:rPr>
        <w:t xml:space="preserve"> </w:t>
      </w:r>
      <w:proofErr w:type="spellStart"/>
      <w:r>
        <w:rPr>
          <w:b/>
        </w:rPr>
        <w:t>Красноозерное</w:t>
      </w:r>
      <w:proofErr w:type="spellEnd"/>
      <w:r>
        <w:rPr>
          <w:b/>
        </w:rPr>
        <w:t xml:space="preserve"> сельское поселение,                      МО </w:t>
      </w:r>
      <w:proofErr w:type="spellStart"/>
      <w:r>
        <w:rPr>
          <w:b/>
        </w:rPr>
        <w:t>Ларионовское</w:t>
      </w:r>
      <w:proofErr w:type="spellEnd"/>
      <w:r>
        <w:rPr>
          <w:b/>
        </w:rPr>
        <w:t xml:space="preserve"> сельское поселение, МО Мичуринское сельское поселение, МО</w:t>
      </w:r>
      <w:r>
        <w:t xml:space="preserve"> </w:t>
      </w:r>
      <w:proofErr w:type="spellStart"/>
      <w:r w:rsidRPr="00C14570">
        <w:rPr>
          <w:b/>
        </w:rPr>
        <w:t>Плодовское</w:t>
      </w:r>
      <w:proofErr w:type="spellEnd"/>
      <w:r w:rsidRPr="00C14570">
        <w:rPr>
          <w:b/>
        </w:rPr>
        <w:t xml:space="preserve"> сельское поселение</w:t>
      </w:r>
      <w:r>
        <w:t xml:space="preserve">, МО </w:t>
      </w:r>
      <w:proofErr w:type="spellStart"/>
      <w:r>
        <w:t>Раздольевское</w:t>
      </w:r>
      <w:proofErr w:type="spellEnd"/>
      <w:r>
        <w:t xml:space="preserve"> сельское поселение, МО равен </w:t>
      </w:r>
      <w:r w:rsidRPr="001A062B">
        <w:rPr>
          <w:b/>
          <w:i/>
          <w:u w:val="single"/>
        </w:rPr>
        <w:t>нулю</w:t>
      </w:r>
      <w:r w:rsidRPr="00D53875">
        <w:rPr>
          <w:i/>
          <w:u w:val="single"/>
        </w:rPr>
        <w:t>.</w:t>
      </w:r>
      <w:r w:rsidRPr="00AC7473">
        <w:rPr>
          <w:i/>
        </w:rPr>
        <w:t xml:space="preserve"> </w:t>
      </w:r>
    </w:p>
    <w:p w:rsidR="006D072E" w:rsidRPr="00286BB6" w:rsidRDefault="006D072E" w:rsidP="006D072E">
      <w:pPr>
        <w:tabs>
          <w:tab w:val="left" w:pos="709"/>
        </w:tabs>
        <w:ind w:firstLine="425"/>
        <w:jc w:val="both"/>
        <w:rPr>
          <w:b/>
          <w:i/>
        </w:rPr>
      </w:pPr>
      <w:r w:rsidRPr="00286BB6">
        <w:rPr>
          <w:i/>
        </w:rPr>
        <w:t>Указанное</w:t>
      </w:r>
      <w:r>
        <w:rPr>
          <w:i/>
        </w:rPr>
        <w:t xml:space="preserve"> выше</w:t>
      </w:r>
      <w:proofErr w:type="gramStart"/>
      <w:r w:rsidRPr="00286BB6">
        <w:rPr>
          <w:i/>
        </w:rPr>
        <w:t xml:space="preserve"> ,</w:t>
      </w:r>
      <w:proofErr w:type="gramEnd"/>
      <w:r w:rsidRPr="00286BB6">
        <w:rPr>
          <w:i/>
        </w:rPr>
        <w:t xml:space="preserve"> может быть обусловлено вступившими в силу изменениями законодательства о контрактной системе  в части введения специальных </w:t>
      </w:r>
      <w:proofErr w:type="spellStart"/>
      <w:r w:rsidRPr="00286BB6">
        <w:rPr>
          <w:i/>
        </w:rPr>
        <w:t>антисанкционных</w:t>
      </w:r>
      <w:proofErr w:type="spellEnd"/>
      <w:r w:rsidRPr="00286BB6">
        <w:rPr>
          <w:i/>
        </w:rPr>
        <w:t xml:space="preserve"> мер по нивелированию негативных последствий от введения иностранными государствами санкций, предусматривающими возможность осуществления заказчиками закупок у единственного поставщика (подрядчика, исполнителя) без проведения конкурентных процедур и </w:t>
      </w:r>
      <w:r>
        <w:rPr>
          <w:i/>
        </w:rPr>
        <w:t xml:space="preserve">как следствие отсутствие </w:t>
      </w:r>
      <w:r w:rsidRPr="00286BB6">
        <w:rPr>
          <w:i/>
        </w:rPr>
        <w:t>вероятности получения экономии бюджетных средств</w:t>
      </w:r>
      <w:r>
        <w:rPr>
          <w:i/>
        </w:rPr>
        <w:t xml:space="preserve"> от НМЦК</w:t>
      </w:r>
      <w:r w:rsidRPr="00286BB6">
        <w:rPr>
          <w:i/>
        </w:rPr>
        <w:t>.</w:t>
      </w:r>
    </w:p>
    <w:p w:rsidR="006D072E" w:rsidRPr="008C683D" w:rsidRDefault="006D072E" w:rsidP="006D072E">
      <w:pPr>
        <w:tabs>
          <w:tab w:val="left" w:pos="709"/>
        </w:tabs>
        <w:spacing w:line="23" w:lineRule="atLeast"/>
        <w:jc w:val="both"/>
      </w:pPr>
      <w:r>
        <w:rPr>
          <w:b/>
        </w:rPr>
        <w:t xml:space="preserve">       38</w:t>
      </w:r>
      <w:r w:rsidR="00473D50" w:rsidRPr="00473D50">
        <w:rPr>
          <w:b/>
        </w:rPr>
        <w:t>)</w:t>
      </w:r>
      <w:r w:rsidR="00473D50">
        <w:t xml:space="preserve"> </w:t>
      </w:r>
      <w:r w:rsidRPr="003E4A68">
        <w:t>В разрезе способов размещения заказов</w:t>
      </w:r>
      <w:r w:rsidRPr="00845004">
        <w:rPr>
          <w:i/>
          <w:u w:val="single"/>
        </w:rPr>
        <w:t xml:space="preserve"> </w:t>
      </w:r>
      <w:r w:rsidRPr="00F23C5F">
        <w:t xml:space="preserve">наибольший объем экономии бюджетных </w:t>
      </w:r>
      <w:proofErr w:type="gramStart"/>
      <w:r w:rsidRPr="00F23C5F">
        <w:t>средств</w:t>
      </w:r>
      <w:proofErr w:type="gramEnd"/>
      <w:r>
        <w:t xml:space="preserve"> как и в предыдущем периоде 2021 года, </w:t>
      </w:r>
      <w:r w:rsidRPr="00F23C5F">
        <w:t xml:space="preserve">приходится </w:t>
      </w:r>
      <w:r>
        <w:t xml:space="preserve">на такой конкурентный способ проведения процедур </w:t>
      </w:r>
      <w:r w:rsidRPr="007557BC">
        <w:t xml:space="preserve">определения поставщика (подрядчика, исполнителя) </w:t>
      </w:r>
      <w:r>
        <w:t xml:space="preserve">как </w:t>
      </w:r>
      <w:r w:rsidRPr="008C683D">
        <w:rPr>
          <w:b/>
          <w:i/>
        </w:rPr>
        <w:t>Электронный аукцион.</w:t>
      </w:r>
      <w:r>
        <w:rPr>
          <w:b/>
          <w:i/>
        </w:rPr>
        <w:t xml:space="preserve"> </w:t>
      </w:r>
      <w:r w:rsidRPr="008C683D">
        <w:t>(</w:t>
      </w:r>
      <w:r>
        <w:t>95,3</w:t>
      </w:r>
      <w:r w:rsidRPr="008C683D">
        <w:t xml:space="preserve">% </w:t>
      </w:r>
      <w:r>
        <w:t xml:space="preserve"> от общего объема экономии бюджетных средств)</w:t>
      </w:r>
    </w:p>
    <w:p w:rsidR="00B60509" w:rsidRDefault="00B60509" w:rsidP="00B60509">
      <w:pPr>
        <w:spacing w:line="23" w:lineRule="atLeast"/>
        <w:jc w:val="both"/>
      </w:pPr>
      <w:r>
        <w:t xml:space="preserve">       </w:t>
      </w:r>
      <w:r w:rsidRPr="00B60509">
        <w:rPr>
          <w:b/>
        </w:rPr>
        <w:t>39)</w:t>
      </w:r>
      <w:r>
        <w:t xml:space="preserve"> </w:t>
      </w:r>
      <w:r w:rsidRPr="007557BC">
        <w:t xml:space="preserve">Показатель </w:t>
      </w:r>
      <w:r w:rsidRPr="007557BC">
        <w:rPr>
          <w:u w:val="single"/>
        </w:rPr>
        <w:t>относительного объема экономии</w:t>
      </w:r>
      <w:r w:rsidRPr="007557BC">
        <w:t xml:space="preserve"> при проведении закупок путем проведения </w:t>
      </w:r>
      <w:r w:rsidRPr="00E761D2">
        <w:rPr>
          <w:i/>
        </w:rPr>
        <w:t>конкурентных процедур</w:t>
      </w:r>
      <w:r>
        <w:t xml:space="preserve"> </w:t>
      </w:r>
      <w:r w:rsidRPr="007557BC">
        <w:t>определения поставщика (под</w:t>
      </w:r>
      <w:r>
        <w:t xml:space="preserve">рядчика, исполнителя) составил  </w:t>
      </w:r>
      <w:r>
        <w:rPr>
          <w:b/>
        </w:rPr>
        <w:t>4,4</w:t>
      </w:r>
      <w:r w:rsidRPr="00A73805">
        <w:rPr>
          <w:b/>
        </w:rPr>
        <w:t>%</w:t>
      </w:r>
      <w:r w:rsidRPr="00B60509">
        <w:t>.</w:t>
      </w:r>
    </w:p>
    <w:p w:rsidR="00B60509" w:rsidRDefault="00B60509" w:rsidP="00B60509">
      <w:pPr>
        <w:ind w:firstLine="425"/>
        <w:jc w:val="both"/>
      </w:pPr>
      <w:r>
        <w:t xml:space="preserve">Для сравнения относительная экономия от сумм НМЦК закупок, проведенных конкурентными способами определения поставщика (подрядчика, исполнителя), по </w:t>
      </w:r>
      <w:proofErr w:type="gramStart"/>
      <w:r>
        <w:t>результатам</w:t>
      </w:r>
      <w:proofErr w:type="gramEnd"/>
      <w:r>
        <w:t xml:space="preserve">  которых заключены контракты  в предыдущем периоде  </w:t>
      </w:r>
      <w:r w:rsidRPr="00493BEC">
        <w:rPr>
          <w:b/>
        </w:rPr>
        <w:t>20</w:t>
      </w:r>
      <w:r>
        <w:rPr>
          <w:b/>
        </w:rPr>
        <w:t>21</w:t>
      </w:r>
      <w:r w:rsidRPr="00493BEC">
        <w:rPr>
          <w:b/>
        </w:rPr>
        <w:t xml:space="preserve"> года</w:t>
      </w:r>
      <w:r>
        <w:t xml:space="preserve"> составляла ла  </w:t>
      </w:r>
      <w:r>
        <w:rPr>
          <w:b/>
        </w:rPr>
        <w:t>9,6</w:t>
      </w:r>
      <w:r w:rsidRPr="00493BEC">
        <w:rPr>
          <w:b/>
        </w:rPr>
        <w:t>%.</w:t>
      </w:r>
      <w:r>
        <w:rPr>
          <w:b/>
        </w:rPr>
        <w:t xml:space="preserve"> </w:t>
      </w:r>
      <w:r>
        <w:t xml:space="preserve"> Снижение показателя относительной экономии в 2022 году по сравнению с базисным периодом  составило  5,2 процентных пунктов.</w:t>
      </w:r>
    </w:p>
    <w:p w:rsidR="00B60509" w:rsidRPr="009568B8" w:rsidRDefault="00B60509" w:rsidP="00B60509">
      <w:pPr>
        <w:ind w:firstLine="425"/>
        <w:jc w:val="both"/>
        <w:rPr>
          <w:i/>
        </w:rPr>
      </w:pPr>
      <w:r w:rsidRPr="009568B8">
        <w:rPr>
          <w:i/>
        </w:rPr>
        <w:t>Причина снижения относительной экономии по сравнению с 2021 годом может быть обусловлена следующими факторами:</w:t>
      </w:r>
    </w:p>
    <w:p w:rsidR="00B60509" w:rsidRDefault="00B60509" w:rsidP="00B60509">
      <w:pPr>
        <w:pStyle w:val="ab"/>
        <w:numPr>
          <w:ilvl w:val="0"/>
          <w:numId w:val="8"/>
        </w:numPr>
        <w:ind w:left="0" w:firstLine="426"/>
        <w:rPr>
          <w:rFonts w:ascii="Times New Roman" w:hAnsi="Times New Roman" w:cs="Times New Roman"/>
        </w:rPr>
      </w:pPr>
      <w:r w:rsidRPr="009568B8">
        <w:rPr>
          <w:rFonts w:ascii="Times New Roman" w:hAnsi="Times New Roman" w:cs="Times New Roman"/>
        </w:rPr>
        <w:t>общее повышение цен на товары и материалы из-за возникшего в 2022 году дефицита на рынке товаров и материалов, используемых при выполнении работ и оказании услуг, связанных с импортными поставками, либо имеющих высокую долю комплектующих (</w:t>
      </w:r>
      <w:r>
        <w:rPr>
          <w:rFonts w:ascii="Times New Roman" w:hAnsi="Times New Roman" w:cs="Times New Roman"/>
        </w:rPr>
        <w:t>сырья) импортного производства.</w:t>
      </w:r>
    </w:p>
    <w:p w:rsidR="00B60509" w:rsidRPr="009568B8" w:rsidRDefault="00B60509" w:rsidP="00B60509">
      <w:pPr>
        <w:pStyle w:val="ab"/>
        <w:numPr>
          <w:ilvl w:val="0"/>
          <w:numId w:val="8"/>
        </w:numPr>
        <w:ind w:left="0" w:firstLine="426"/>
        <w:rPr>
          <w:rFonts w:ascii="Times New Roman" w:hAnsi="Times New Roman" w:cs="Times New Roman"/>
        </w:rPr>
      </w:pPr>
      <w:r>
        <w:rPr>
          <w:rFonts w:ascii="Times New Roman" w:hAnsi="Times New Roman" w:cs="Times New Roman"/>
        </w:rPr>
        <w:t>к</w:t>
      </w:r>
      <w:r w:rsidRPr="009568B8">
        <w:rPr>
          <w:rFonts w:ascii="Times New Roman" w:hAnsi="Times New Roman" w:cs="Times New Roman"/>
        </w:rPr>
        <w:t>роме того, на снижение относительной экономии оказал влияние тот факт, что крупнейш</w:t>
      </w:r>
      <w:r>
        <w:rPr>
          <w:rFonts w:ascii="Times New Roman" w:hAnsi="Times New Roman" w:cs="Times New Roman"/>
        </w:rPr>
        <w:t xml:space="preserve">ие </w:t>
      </w:r>
      <w:r w:rsidRPr="009568B8">
        <w:rPr>
          <w:rFonts w:ascii="Times New Roman" w:hAnsi="Times New Roman" w:cs="Times New Roman"/>
        </w:rPr>
        <w:t xml:space="preserve"> за 2022 год </w:t>
      </w:r>
      <w:r>
        <w:rPr>
          <w:rFonts w:ascii="Times New Roman" w:hAnsi="Times New Roman" w:cs="Times New Roman"/>
        </w:rPr>
        <w:t xml:space="preserve">контракты </w:t>
      </w:r>
      <w:r w:rsidRPr="009568B8">
        <w:rPr>
          <w:rFonts w:ascii="Times New Roman" w:hAnsi="Times New Roman" w:cs="Times New Roman"/>
        </w:rPr>
        <w:t>в сфере  с</w:t>
      </w:r>
      <w:r w:rsidRPr="009568B8">
        <w:rPr>
          <w:rFonts w:ascii="Times New Roman" w:hAnsi="Times New Roman" w:cs="Times New Roman"/>
          <w:color w:val="000000"/>
        </w:rPr>
        <w:t>троительства, реконструкции, капитального ремонта, сноса объекта капитального строительства, проведения работ по сохранению</w:t>
      </w:r>
      <w:r>
        <w:rPr>
          <w:rFonts w:ascii="Times New Roman" w:hAnsi="Times New Roman" w:cs="Times New Roman"/>
          <w:color w:val="000000"/>
        </w:rPr>
        <w:t xml:space="preserve"> объектов культурного наследия</w:t>
      </w:r>
      <w:r w:rsidRPr="009568B8">
        <w:rPr>
          <w:rFonts w:ascii="Times New Roman" w:hAnsi="Times New Roman" w:cs="Times New Roman"/>
        </w:rPr>
        <w:t>,</w:t>
      </w:r>
      <w:r>
        <w:rPr>
          <w:rFonts w:ascii="Times New Roman" w:hAnsi="Times New Roman" w:cs="Times New Roman"/>
        </w:rPr>
        <w:t xml:space="preserve"> составляющие</w:t>
      </w:r>
      <w:r w:rsidRPr="009568B8">
        <w:rPr>
          <w:rFonts w:ascii="Times New Roman" w:hAnsi="Times New Roman" w:cs="Times New Roman"/>
        </w:rPr>
        <w:t xml:space="preserve"> более </w:t>
      </w:r>
      <w:r>
        <w:rPr>
          <w:rFonts w:ascii="Times New Roman" w:hAnsi="Times New Roman" w:cs="Times New Roman"/>
        </w:rPr>
        <w:t>27,0%</w:t>
      </w:r>
      <w:r w:rsidRPr="009568B8">
        <w:rPr>
          <w:rFonts w:ascii="Times New Roman" w:hAnsi="Times New Roman" w:cs="Times New Roman"/>
        </w:rPr>
        <w:t xml:space="preserve"> от общей суммы всех контрактов, заключённых в отчётном году, заключен</w:t>
      </w:r>
      <w:r>
        <w:rPr>
          <w:rFonts w:ascii="Times New Roman" w:hAnsi="Times New Roman" w:cs="Times New Roman"/>
        </w:rPr>
        <w:t>ы</w:t>
      </w:r>
      <w:r w:rsidRPr="009568B8">
        <w:rPr>
          <w:rFonts w:ascii="Times New Roman" w:hAnsi="Times New Roman" w:cs="Times New Roman"/>
        </w:rPr>
        <w:t xml:space="preserve"> с единственным поставщиком без экономии от </w:t>
      </w:r>
      <w:proofErr w:type="gramStart"/>
      <w:r w:rsidRPr="009568B8">
        <w:rPr>
          <w:rFonts w:ascii="Times New Roman" w:hAnsi="Times New Roman" w:cs="Times New Roman"/>
        </w:rPr>
        <w:t>Н(</w:t>
      </w:r>
      <w:proofErr w:type="gramEnd"/>
      <w:r w:rsidRPr="009568B8">
        <w:rPr>
          <w:rFonts w:ascii="Times New Roman" w:hAnsi="Times New Roman" w:cs="Times New Roman"/>
        </w:rPr>
        <w:t>м)ЦК.</w:t>
      </w:r>
    </w:p>
    <w:p w:rsidR="00B60509" w:rsidRDefault="00B60509" w:rsidP="00B60509">
      <w:pPr>
        <w:jc w:val="both"/>
      </w:pPr>
      <w:r>
        <w:t xml:space="preserve">      </w:t>
      </w:r>
      <w:r w:rsidRPr="00B60509">
        <w:rPr>
          <w:b/>
        </w:rPr>
        <w:t>40)</w:t>
      </w:r>
      <w:r>
        <w:t xml:space="preserve"> </w:t>
      </w:r>
      <w:r w:rsidRPr="00B60509">
        <w:t>В разрезе городских и сельских поселений</w:t>
      </w:r>
      <w:r>
        <w:t xml:space="preserve">  показатель относительной экономии бюджетных сре</w:t>
      </w:r>
      <w:proofErr w:type="gramStart"/>
      <w:r>
        <w:t>дств  сл</w:t>
      </w:r>
      <w:proofErr w:type="gramEnd"/>
      <w:r>
        <w:t xml:space="preserve">ожился в диапазоне от </w:t>
      </w:r>
      <w:r w:rsidRPr="0049099B">
        <w:rPr>
          <w:b/>
        </w:rPr>
        <w:t>0,</w:t>
      </w:r>
      <w:r>
        <w:rPr>
          <w:b/>
        </w:rPr>
        <w:t>1</w:t>
      </w:r>
      <w:r w:rsidRPr="0049099B">
        <w:rPr>
          <w:b/>
        </w:rPr>
        <w:t>%</w:t>
      </w:r>
      <w:r>
        <w:t xml:space="preserve"> в МО Сосновское сельское поселение </w:t>
      </w:r>
      <w:r>
        <w:lastRenderedPageBreak/>
        <w:t xml:space="preserve">(самый низкий показатель) до  </w:t>
      </w:r>
      <w:r w:rsidRPr="00A545A0">
        <w:rPr>
          <w:b/>
        </w:rPr>
        <w:t>1</w:t>
      </w:r>
      <w:r>
        <w:rPr>
          <w:b/>
        </w:rPr>
        <w:t>3,3</w:t>
      </w:r>
      <w:r w:rsidRPr="0049099B">
        <w:rPr>
          <w:b/>
        </w:rPr>
        <w:t>%</w:t>
      </w:r>
      <w:r>
        <w:t xml:space="preserve"> в МО </w:t>
      </w:r>
      <w:proofErr w:type="spellStart"/>
      <w:r>
        <w:t>Ромашкинское</w:t>
      </w:r>
      <w:proofErr w:type="spellEnd"/>
      <w:r>
        <w:t xml:space="preserve"> сельское поселение (самый высокий показатель).</w:t>
      </w:r>
    </w:p>
    <w:p w:rsidR="00473D50" w:rsidRDefault="00B60509" w:rsidP="00473D50">
      <w:pPr>
        <w:tabs>
          <w:tab w:val="left" w:pos="851"/>
        </w:tabs>
        <w:spacing w:line="23" w:lineRule="atLeast"/>
        <w:ind w:firstLine="426"/>
        <w:jc w:val="both"/>
      </w:pPr>
      <w:r>
        <w:rPr>
          <w:b/>
        </w:rPr>
        <w:t>41</w:t>
      </w:r>
      <w:r w:rsidR="00473D50" w:rsidRPr="00473D50">
        <w:rPr>
          <w:b/>
        </w:rPr>
        <w:t>)</w:t>
      </w:r>
      <w:r w:rsidR="00473D50">
        <w:t xml:space="preserve"> </w:t>
      </w:r>
      <w:r w:rsidR="0080762C">
        <w:t xml:space="preserve"> </w:t>
      </w:r>
      <w:r w:rsidR="00473D50" w:rsidRPr="00526157">
        <w:t>При анализе конкуренции при осуществлении закупок за отчетный период</w:t>
      </w:r>
      <w:r w:rsidR="00473D50">
        <w:t xml:space="preserve"> были определены основные показатели  анализа конкуренции:</w:t>
      </w:r>
    </w:p>
    <w:p w:rsidR="00473D50" w:rsidRDefault="00473D50" w:rsidP="00473D50">
      <w:pPr>
        <w:tabs>
          <w:tab w:val="left" w:pos="851"/>
        </w:tabs>
        <w:spacing w:line="23" w:lineRule="atLeast"/>
        <w:ind w:left="426"/>
        <w:jc w:val="both"/>
        <w:rPr>
          <w:b/>
        </w:rPr>
      </w:pPr>
      <w:r>
        <w:t xml:space="preserve">-  Среднее количество поданных заявок на одну закупку – </w:t>
      </w:r>
      <w:r w:rsidR="00B60509" w:rsidRPr="00B60509">
        <w:rPr>
          <w:b/>
        </w:rPr>
        <w:t>1,8</w:t>
      </w:r>
      <w:r w:rsidR="00B60509" w:rsidRPr="00B60509">
        <w:t>.</w:t>
      </w:r>
    </w:p>
    <w:p w:rsidR="00473D50" w:rsidRDefault="00473D50" w:rsidP="00473D50">
      <w:pPr>
        <w:tabs>
          <w:tab w:val="left" w:pos="851"/>
        </w:tabs>
        <w:spacing w:line="23" w:lineRule="atLeast"/>
        <w:ind w:left="426"/>
        <w:jc w:val="both"/>
        <w:rPr>
          <w:b/>
        </w:rPr>
      </w:pPr>
      <w:r w:rsidRPr="00526157">
        <w:t xml:space="preserve">- </w:t>
      </w:r>
      <w:r>
        <w:t xml:space="preserve"> Среднее количество допущенных заявок на одну закупку – </w:t>
      </w:r>
      <w:r w:rsidR="00B60509">
        <w:rPr>
          <w:b/>
        </w:rPr>
        <w:t>1,7</w:t>
      </w:r>
      <w:r w:rsidR="00B60509" w:rsidRPr="00B60509">
        <w:t>.</w:t>
      </w:r>
    </w:p>
    <w:p w:rsidR="00473D50" w:rsidRDefault="00473D50" w:rsidP="00473D50">
      <w:pPr>
        <w:tabs>
          <w:tab w:val="left" w:pos="851"/>
        </w:tabs>
        <w:spacing w:line="23" w:lineRule="atLeast"/>
        <w:ind w:firstLine="426"/>
        <w:jc w:val="both"/>
      </w:pPr>
      <w:r w:rsidRPr="00526157">
        <w:t xml:space="preserve">- </w:t>
      </w:r>
      <w:r>
        <w:t xml:space="preserve"> Доля закупок у единственного поставщика – </w:t>
      </w:r>
      <w:r w:rsidR="00B60509">
        <w:rPr>
          <w:b/>
        </w:rPr>
        <w:t>37,3</w:t>
      </w:r>
      <w:r w:rsidRPr="00CF1D9E">
        <w:rPr>
          <w:b/>
        </w:rPr>
        <w:t>%.</w:t>
      </w:r>
      <w:r>
        <w:rPr>
          <w:b/>
        </w:rPr>
        <w:t xml:space="preserve"> </w:t>
      </w:r>
      <w:r>
        <w:t>Чем выше значение данного показателя, чем ниже уровень конкуренции.</w:t>
      </w:r>
    </w:p>
    <w:p w:rsidR="00B60509" w:rsidRPr="00122A1E" w:rsidRDefault="00B60509" w:rsidP="00B60509">
      <w:pPr>
        <w:spacing w:line="23" w:lineRule="atLeast"/>
        <w:ind w:firstLine="567"/>
        <w:jc w:val="both"/>
        <w:rPr>
          <w:rFonts w:eastAsia="Calibri"/>
        </w:rPr>
      </w:pPr>
      <w:r w:rsidRPr="00122A1E">
        <w:rPr>
          <w:rFonts w:eastAsia="Calibri"/>
        </w:rPr>
        <w:t>Наблюдается снижение уровня конкуренции относительно аналогичного периода 20</w:t>
      </w:r>
      <w:r>
        <w:rPr>
          <w:rFonts w:eastAsia="Calibri"/>
        </w:rPr>
        <w:t>21</w:t>
      </w:r>
      <w:r w:rsidRPr="00122A1E">
        <w:rPr>
          <w:rFonts w:eastAsia="Calibri"/>
        </w:rPr>
        <w:t xml:space="preserve"> года, когда среднее количество участников закупок  заказчиков составляло </w:t>
      </w:r>
      <w:r>
        <w:rPr>
          <w:rFonts w:eastAsia="Calibri"/>
          <w:b/>
        </w:rPr>
        <w:t>2,5</w:t>
      </w:r>
      <w:r w:rsidRPr="00122A1E">
        <w:rPr>
          <w:rFonts w:eastAsia="Calibri"/>
        </w:rPr>
        <w:t xml:space="preserve"> участника. </w:t>
      </w:r>
    </w:p>
    <w:p w:rsidR="00B60509" w:rsidRDefault="00B60509" w:rsidP="00B60509">
      <w:pPr>
        <w:tabs>
          <w:tab w:val="left" w:pos="851"/>
        </w:tabs>
        <w:spacing w:line="23" w:lineRule="atLeast"/>
        <w:ind w:firstLine="426"/>
        <w:jc w:val="both"/>
      </w:pPr>
      <w:r>
        <w:rPr>
          <w:rFonts w:eastAsia="Calibri"/>
          <w:i/>
        </w:rPr>
        <w:t>С</w:t>
      </w:r>
      <w:r w:rsidRPr="00122A1E">
        <w:rPr>
          <w:rFonts w:eastAsia="Calibri"/>
          <w:i/>
        </w:rPr>
        <w:t xml:space="preserve">нижение конкуренции по сравнению с аналогичным периодом </w:t>
      </w:r>
      <w:r>
        <w:rPr>
          <w:rFonts w:eastAsia="Calibri"/>
          <w:i/>
        </w:rPr>
        <w:t xml:space="preserve">2021 </w:t>
      </w:r>
      <w:r w:rsidRPr="00122A1E">
        <w:rPr>
          <w:rFonts w:eastAsia="Calibri"/>
          <w:i/>
        </w:rPr>
        <w:t xml:space="preserve">года обусловлено </w:t>
      </w:r>
      <w:r>
        <w:rPr>
          <w:rFonts w:eastAsia="Calibri"/>
          <w:i/>
        </w:rPr>
        <w:t>большим приростом закупок, признанных несостоявшимися по причине отсутствия участников.</w:t>
      </w:r>
    </w:p>
    <w:p w:rsidR="00B60509" w:rsidRPr="00274A92" w:rsidRDefault="00B60509" w:rsidP="00B60509">
      <w:pPr>
        <w:ind w:firstLine="426"/>
        <w:jc w:val="both"/>
      </w:pPr>
      <w:r>
        <w:rPr>
          <w:b/>
        </w:rPr>
        <w:t xml:space="preserve">42) </w:t>
      </w:r>
      <w:r w:rsidRPr="00274A92">
        <w:t xml:space="preserve">Оценивая показатели объема экономии и конкуренции в целом по всем поселениям, можно сделать вывод, что в принципе заказчиками соблюден принцип обеспечения конкуренции, непосредственно влияющего на эффективность осуществления закупок. </w:t>
      </w:r>
    </w:p>
    <w:p w:rsidR="00473D50" w:rsidRPr="005007F3" w:rsidRDefault="00B60509" w:rsidP="00B60509">
      <w:pPr>
        <w:ind w:firstLine="426"/>
        <w:jc w:val="both"/>
      </w:pPr>
      <w:r w:rsidRPr="00274A92">
        <w:t>Таким образом,  можно сделать вывод об эффективности расходов на закупки</w:t>
      </w:r>
      <w:r>
        <w:t>.</w:t>
      </w:r>
      <w:r w:rsidR="00473D50" w:rsidRPr="005007F3">
        <w:t xml:space="preserve"> </w:t>
      </w:r>
    </w:p>
    <w:p w:rsidR="00473D50" w:rsidRDefault="00473D50" w:rsidP="00473D50">
      <w:pPr>
        <w:ind w:firstLine="425"/>
        <w:jc w:val="both"/>
      </w:pPr>
      <w:r>
        <w:t>Экономия, сложившаяся по результатам определения поставщика, может быть инструментом управления расходами бюджета.</w:t>
      </w:r>
    </w:p>
    <w:p w:rsidR="00473D50" w:rsidRDefault="00473D50" w:rsidP="00473D50">
      <w:pPr>
        <w:ind w:firstLine="425"/>
        <w:jc w:val="both"/>
      </w:pPr>
      <w:r>
        <w:t>Для этого необходимо установить порядок учета и расходования экономии по закупкам.</w:t>
      </w:r>
    </w:p>
    <w:p w:rsidR="00B60509" w:rsidRDefault="00B60509" w:rsidP="003E4A68">
      <w:pPr>
        <w:tabs>
          <w:tab w:val="left" w:pos="851"/>
        </w:tabs>
        <w:autoSpaceDE w:val="0"/>
        <w:autoSpaceDN w:val="0"/>
        <w:adjustRightInd w:val="0"/>
        <w:ind w:firstLine="426"/>
        <w:jc w:val="both"/>
      </w:pPr>
      <w:r>
        <w:rPr>
          <w:b/>
          <w:color w:val="000000"/>
        </w:rPr>
        <w:t>43</w:t>
      </w:r>
      <w:r w:rsidR="00473D50" w:rsidRPr="00473D50">
        <w:rPr>
          <w:b/>
          <w:color w:val="000000"/>
        </w:rPr>
        <w:t>)</w:t>
      </w:r>
      <w:r w:rsidR="003E4A68">
        <w:rPr>
          <w:b/>
          <w:color w:val="000000"/>
        </w:rPr>
        <w:t xml:space="preserve"> </w:t>
      </w:r>
      <w:r>
        <w:t>В 2022 году  администрациями городских  и сельских  поселений Приозерского муниципального района п</w:t>
      </w:r>
      <w:r w:rsidRPr="008E5AF7">
        <w:t xml:space="preserve">о неконкурентным способам определения поставщика с единственным поставщиком на основании </w:t>
      </w:r>
      <w:r w:rsidRPr="00CC2D55">
        <w:t>пункта 4 части</w:t>
      </w:r>
      <w:r w:rsidRPr="008E5AF7">
        <w:t xml:space="preserve"> 1 статьи 93 Закона №44-ФЗ </w:t>
      </w:r>
      <w:r>
        <w:t xml:space="preserve"> было</w:t>
      </w:r>
      <w:r w:rsidRPr="008E5AF7">
        <w:t xml:space="preserve"> заключен</w:t>
      </w:r>
      <w:r>
        <w:t>о</w:t>
      </w:r>
      <w:r w:rsidRPr="008E5AF7">
        <w:t xml:space="preserve"> </w:t>
      </w:r>
      <w:r>
        <w:t xml:space="preserve"> </w:t>
      </w:r>
      <w:r w:rsidRPr="008E5AF7">
        <w:t xml:space="preserve"> </w:t>
      </w:r>
      <w:r>
        <w:rPr>
          <w:b/>
        </w:rPr>
        <w:t>1 610</w:t>
      </w:r>
      <w:r w:rsidRPr="001F1310">
        <w:rPr>
          <w:b/>
        </w:rPr>
        <w:t xml:space="preserve">  контрактов </w:t>
      </w:r>
      <w:r w:rsidRPr="001F1310">
        <w:t xml:space="preserve"> на общую сумму  </w:t>
      </w:r>
      <w:r w:rsidRPr="001F1310">
        <w:rPr>
          <w:b/>
        </w:rPr>
        <w:t>1</w:t>
      </w:r>
      <w:r>
        <w:rPr>
          <w:b/>
        </w:rPr>
        <w:t>77 385,4</w:t>
      </w:r>
      <w:r w:rsidRPr="001F1310">
        <w:rPr>
          <w:b/>
        </w:rPr>
        <w:t xml:space="preserve"> тыс. руб</w:t>
      </w:r>
      <w:r w:rsidRPr="001F1310">
        <w:t>.</w:t>
      </w:r>
    </w:p>
    <w:p w:rsidR="00B60509" w:rsidRPr="001F1310" w:rsidRDefault="00B60509" w:rsidP="00F831A5">
      <w:pPr>
        <w:autoSpaceDE w:val="0"/>
        <w:autoSpaceDN w:val="0"/>
        <w:adjustRightInd w:val="0"/>
        <w:ind w:firstLine="425"/>
        <w:jc w:val="both"/>
        <w:rPr>
          <w:color w:val="000000"/>
        </w:rPr>
      </w:pPr>
      <w:r>
        <w:rPr>
          <w:color w:val="000000"/>
        </w:rPr>
        <w:t xml:space="preserve">Можно сделать вывод, что Заказчиками </w:t>
      </w:r>
      <w:r w:rsidRPr="00D862C5">
        <w:rPr>
          <w:color w:val="000000"/>
        </w:rPr>
        <w:t xml:space="preserve"> в проверяем</w:t>
      </w:r>
      <w:r>
        <w:rPr>
          <w:color w:val="000000"/>
        </w:rPr>
        <w:t>ом</w:t>
      </w:r>
      <w:r w:rsidRPr="00D862C5">
        <w:rPr>
          <w:color w:val="000000"/>
        </w:rPr>
        <w:t xml:space="preserve"> период</w:t>
      </w:r>
      <w:r>
        <w:rPr>
          <w:color w:val="000000"/>
        </w:rPr>
        <w:t>е</w:t>
      </w:r>
      <w:r w:rsidRPr="00D862C5">
        <w:rPr>
          <w:color w:val="000000"/>
        </w:rPr>
        <w:t xml:space="preserve"> при выборе способа осуществления закупок предпочтение отдаётся заключению муниципальных контрактов с </w:t>
      </w:r>
      <w:r w:rsidRPr="001F1310">
        <w:rPr>
          <w:color w:val="000000"/>
        </w:rPr>
        <w:t>единственным поставщиком.</w:t>
      </w:r>
    </w:p>
    <w:p w:rsidR="00B60509" w:rsidRDefault="00B60509" w:rsidP="00B60509">
      <w:pPr>
        <w:shd w:val="clear" w:color="auto" w:fill="FFFFFF"/>
        <w:tabs>
          <w:tab w:val="left" w:pos="5798"/>
        </w:tabs>
        <w:jc w:val="both"/>
      </w:pPr>
      <w:r w:rsidRPr="001F1310">
        <w:t xml:space="preserve">      Необходимо отметить, что по сравнению с 20</w:t>
      </w:r>
      <w:r>
        <w:t>21</w:t>
      </w:r>
      <w:r w:rsidRPr="001F1310">
        <w:t xml:space="preserve"> годом наблюдается  </w:t>
      </w:r>
      <w:r>
        <w:t>увеличение</w:t>
      </w:r>
      <w:r w:rsidRPr="001F1310">
        <w:t xml:space="preserve">  количества контрактов «малого объема» на </w:t>
      </w:r>
      <w:r>
        <w:t xml:space="preserve">220 </w:t>
      </w:r>
      <w:r w:rsidRPr="001F1310">
        <w:t xml:space="preserve">контрактов  с </w:t>
      </w:r>
      <w:r>
        <w:t>одновременным ростом</w:t>
      </w:r>
      <w:r w:rsidRPr="001F1310">
        <w:t xml:space="preserve">  стоимостного объема  на   </w:t>
      </w:r>
      <w:r>
        <w:t>61 931,1</w:t>
      </w:r>
      <w:r w:rsidRPr="001F1310">
        <w:t xml:space="preserve"> тыс. руб. (на </w:t>
      </w:r>
      <w:r>
        <w:t>53,6</w:t>
      </w:r>
      <w:r w:rsidRPr="001F1310">
        <w:t>%).</w:t>
      </w:r>
    </w:p>
    <w:p w:rsidR="00F831A5" w:rsidRPr="00F831A5" w:rsidRDefault="00615A57" w:rsidP="00615A57">
      <w:pPr>
        <w:pStyle w:val="ab"/>
        <w:ind w:left="0" w:firstLine="426"/>
        <w:rPr>
          <w:rFonts w:ascii="Times New Roman" w:hAnsi="Times New Roman" w:cs="Times New Roman"/>
          <w:b/>
        </w:rPr>
      </w:pPr>
      <w:r>
        <w:t xml:space="preserve"> </w:t>
      </w:r>
      <w:r w:rsidR="00F831A5">
        <w:rPr>
          <w:rFonts w:ascii="Times New Roman" w:hAnsi="Times New Roman" w:cs="Times New Roman"/>
          <w:b/>
        </w:rPr>
        <w:t>44</w:t>
      </w:r>
      <w:r w:rsidR="00CF1D9E" w:rsidRPr="00615A57">
        <w:rPr>
          <w:rFonts w:ascii="Times New Roman" w:hAnsi="Times New Roman" w:cs="Times New Roman"/>
          <w:b/>
        </w:rPr>
        <w:t>)</w:t>
      </w:r>
      <w:r>
        <w:rPr>
          <w:b/>
        </w:rPr>
        <w:t xml:space="preserve"> </w:t>
      </w:r>
      <w:r w:rsidR="00F831A5" w:rsidRPr="00F831A5">
        <w:rPr>
          <w:rFonts w:ascii="Times New Roman" w:hAnsi="Times New Roman" w:cs="Times New Roman"/>
        </w:rPr>
        <w:t>Одной из задач контрактной системы является повышение прозрачности и увеличение конкуренции при осуществлении закупок, в том числе закупок у единственного поставщика.</w:t>
      </w:r>
    </w:p>
    <w:p w:rsidR="00F73C02" w:rsidRPr="00E32B13" w:rsidRDefault="00F73C02" w:rsidP="00F73C02">
      <w:pPr>
        <w:pStyle w:val="ab"/>
        <w:ind w:left="0" w:firstLine="0"/>
        <w:rPr>
          <w:rFonts w:ascii="Times New Roman" w:eastAsia="Calibri" w:hAnsi="Times New Roman" w:cs="Times New Roman"/>
          <w:b/>
        </w:rPr>
      </w:pPr>
      <w:r>
        <w:rPr>
          <w:rFonts w:ascii="Times New Roman" w:hAnsi="Times New Roman" w:cs="Times New Roman"/>
          <w:b/>
        </w:rPr>
        <w:t xml:space="preserve">        </w:t>
      </w:r>
      <w:r w:rsidRPr="00E32B13">
        <w:rPr>
          <w:rFonts w:ascii="Times New Roman" w:eastAsia="Calibri" w:hAnsi="Times New Roman" w:cs="Times New Roman"/>
        </w:rPr>
        <w:t xml:space="preserve">С 1 апреля 2021 года любой заказчик вправе осуществлять закупки товара в случаях, предусмотренных </w:t>
      </w:r>
      <w:hyperlink r:id="rId128" w:history="1">
        <w:r w:rsidRPr="00E32B13">
          <w:rPr>
            <w:rFonts w:ascii="Times New Roman" w:eastAsia="Calibri" w:hAnsi="Times New Roman" w:cs="Times New Roman"/>
          </w:rPr>
          <w:t>пунктами 4</w:t>
        </w:r>
      </w:hyperlink>
      <w:r w:rsidRPr="00E32B13">
        <w:rPr>
          <w:rFonts w:ascii="Times New Roman" w:eastAsia="Calibri" w:hAnsi="Times New Roman" w:cs="Times New Roman"/>
        </w:rPr>
        <w:t xml:space="preserve"> и </w:t>
      </w:r>
      <w:hyperlink r:id="rId129" w:history="1">
        <w:r w:rsidRPr="00E32B13">
          <w:rPr>
            <w:rFonts w:ascii="Times New Roman" w:eastAsia="Calibri" w:hAnsi="Times New Roman" w:cs="Times New Roman"/>
          </w:rPr>
          <w:t>5 части 1</w:t>
        </w:r>
      </w:hyperlink>
      <w:r w:rsidRPr="00E32B13">
        <w:rPr>
          <w:rFonts w:ascii="Times New Roman" w:eastAsia="Calibri" w:hAnsi="Times New Roman" w:cs="Times New Roman"/>
        </w:rPr>
        <w:t xml:space="preserve"> настоящей статьи  </w:t>
      </w:r>
      <w:r w:rsidRPr="00E32B13">
        <w:rPr>
          <w:rFonts w:ascii="Times New Roman" w:eastAsia="Calibri" w:hAnsi="Times New Roman" w:cs="Times New Roman"/>
          <w:b/>
        </w:rPr>
        <w:t>в электронной форме</w:t>
      </w:r>
      <w:r w:rsidRPr="00E32B13">
        <w:rPr>
          <w:rFonts w:ascii="Times New Roman" w:eastAsia="Calibri" w:hAnsi="Times New Roman" w:cs="Times New Roman"/>
        </w:rPr>
        <w:t xml:space="preserve"> с использованием электронной площадки на сумму, не превышающую </w:t>
      </w:r>
      <w:r w:rsidRPr="00E32B13">
        <w:rPr>
          <w:rFonts w:ascii="Times New Roman" w:eastAsia="Calibri" w:hAnsi="Times New Roman" w:cs="Times New Roman"/>
          <w:b/>
        </w:rPr>
        <w:t>трех миллионов рублей</w:t>
      </w:r>
      <w:proofErr w:type="gramStart"/>
      <w:r>
        <w:rPr>
          <w:rFonts w:ascii="Times New Roman" w:eastAsia="Calibri" w:hAnsi="Times New Roman" w:cs="Times New Roman"/>
          <w:b/>
        </w:rPr>
        <w:t>.</w:t>
      </w:r>
      <w:proofErr w:type="gramEnd"/>
      <w:r>
        <w:rPr>
          <w:rFonts w:ascii="Times New Roman" w:eastAsia="Calibri" w:hAnsi="Times New Roman" w:cs="Times New Roman"/>
          <w:b/>
        </w:rPr>
        <w:t xml:space="preserve"> (</w:t>
      </w:r>
      <w:proofErr w:type="gramStart"/>
      <w:r>
        <w:rPr>
          <w:rFonts w:ascii="Times New Roman" w:eastAsia="Calibri" w:hAnsi="Times New Roman" w:cs="Times New Roman"/>
          <w:b/>
        </w:rPr>
        <w:t>ч</w:t>
      </w:r>
      <w:proofErr w:type="gramEnd"/>
      <w:r>
        <w:rPr>
          <w:rFonts w:ascii="Times New Roman" w:eastAsia="Calibri" w:hAnsi="Times New Roman" w:cs="Times New Roman"/>
          <w:b/>
        </w:rPr>
        <w:t xml:space="preserve">. 12 ст. 93 </w:t>
      </w:r>
      <w:r w:rsidRPr="00F97A0E">
        <w:rPr>
          <w:rFonts w:ascii="Times New Roman" w:eastAsia="Calibri" w:hAnsi="Times New Roman" w:cs="Times New Roman"/>
        </w:rPr>
        <w:t>Закона №44-ФЗ</w:t>
      </w:r>
      <w:r>
        <w:rPr>
          <w:rFonts w:ascii="Times New Roman" w:eastAsia="Calibri" w:hAnsi="Times New Roman" w:cs="Times New Roman"/>
          <w:b/>
        </w:rPr>
        <w:t>).</w:t>
      </w:r>
    </w:p>
    <w:p w:rsidR="00F73C02" w:rsidRPr="00E32B13" w:rsidRDefault="00F73C02" w:rsidP="00F73C02">
      <w:pPr>
        <w:pStyle w:val="turbo-paragraph"/>
        <w:shd w:val="clear" w:color="auto" w:fill="FFFFFF"/>
        <w:autoSpaceDE w:val="0"/>
        <w:autoSpaceDN w:val="0"/>
        <w:adjustRightInd w:val="0"/>
        <w:spacing w:before="0" w:beforeAutospacing="0" w:after="0" w:afterAutospacing="0"/>
        <w:ind w:firstLine="425"/>
        <w:jc w:val="both"/>
        <w:rPr>
          <w:rFonts w:eastAsia="Calibri"/>
        </w:rPr>
      </w:pPr>
      <w:r w:rsidRPr="00E32B13">
        <w:rPr>
          <w:shd w:val="clear" w:color="auto" w:fill="FFFFFF"/>
        </w:rPr>
        <w:t xml:space="preserve"> Причем законодатели мотивирует, чтобы заказчики проводили такие закупки в электронной форме тем, что увеличивает максимальную сумму сделки, заключаемой заказчиком, до 3-х млн. рублей. При этом «бумажная» форма заключения контрактов у единственного поставщика остается, но максимальная сумма сделки по ним остается прежней: 600 тыс. рублей для всех заказчиков. Самое главное изменение в закупки у единственного поставщика </w:t>
      </w:r>
      <w:r w:rsidRPr="00E32B13">
        <w:rPr>
          <w:b/>
          <w:shd w:val="clear" w:color="auto" w:fill="FFFFFF"/>
        </w:rPr>
        <w:t>в 2021 году</w:t>
      </w:r>
      <w:r w:rsidRPr="00E32B13">
        <w:rPr>
          <w:shd w:val="clear" w:color="auto" w:fill="FFFFFF"/>
        </w:rPr>
        <w:t xml:space="preserve"> касается того, что такая закупка становится </w:t>
      </w:r>
      <w:r w:rsidRPr="00C5197F">
        <w:rPr>
          <w:b/>
          <w:shd w:val="clear" w:color="auto" w:fill="FFFFFF"/>
        </w:rPr>
        <w:t>конкурентной процедурой</w:t>
      </w:r>
      <w:r w:rsidRPr="00E32B13">
        <w:rPr>
          <w:shd w:val="clear" w:color="auto" w:fill="FFFFFF"/>
        </w:rPr>
        <w:t xml:space="preserve">. </w:t>
      </w:r>
    </w:p>
    <w:p w:rsidR="00F831A5" w:rsidRPr="00F73C02" w:rsidRDefault="00F73C02" w:rsidP="00F73C02">
      <w:pPr>
        <w:pStyle w:val="ab"/>
        <w:ind w:left="0" w:firstLine="426"/>
        <w:rPr>
          <w:rFonts w:ascii="Times New Roman" w:hAnsi="Times New Roman" w:cs="Times New Roman"/>
          <w:b/>
        </w:rPr>
      </w:pPr>
      <w:r w:rsidRPr="00F73C02">
        <w:rPr>
          <w:rFonts w:ascii="Times New Roman" w:hAnsi="Times New Roman" w:cs="Times New Roman"/>
        </w:rPr>
        <w:t>Если заказчик осуществляет закупку работы или услуги или закупку товара у единственного поставщика не по п.12 ч.1 статьи 93, то он также может провести ее в электронной форме с использованием любых площадок</w:t>
      </w:r>
      <w:r>
        <w:rPr>
          <w:rFonts w:ascii="Times New Roman" w:hAnsi="Times New Roman" w:cs="Times New Roman"/>
        </w:rPr>
        <w:t>.</w:t>
      </w:r>
    </w:p>
    <w:p w:rsidR="00F73C02" w:rsidRDefault="00F73C02" w:rsidP="00F73C02">
      <w:pPr>
        <w:shd w:val="clear" w:color="auto" w:fill="FFFFFF"/>
        <w:tabs>
          <w:tab w:val="left" w:pos="5798"/>
        </w:tabs>
        <w:jc w:val="both"/>
      </w:pPr>
      <w:r>
        <w:rPr>
          <w:b/>
        </w:rPr>
        <w:lastRenderedPageBreak/>
        <w:t xml:space="preserve">      </w:t>
      </w:r>
      <w:r w:rsidR="003E4A68">
        <w:rPr>
          <w:b/>
        </w:rPr>
        <w:t xml:space="preserve">  </w:t>
      </w:r>
      <w:r>
        <w:rPr>
          <w:b/>
        </w:rPr>
        <w:t xml:space="preserve">45) </w:t>
      </w:r>
      <w:r w:rsidR="003E4A68">
        <w:t>В</w:t>
      </w:r>
      <w:r w:rsidRPr="00615A57">
        <w:t xml:space="preserve"> проверяемом периоде 2</w:t>
      </w:r>
      <w:r>
        <w:t>022</w:t>
      </w:r>
      <w:r w:rsidRPr="00615A57">
        <w:t xml:space="preserve"> года </w:t>
      </w:r>
      <w:r w:rsidRPr="00615A57">
        <w:rPr>
          <w:b/>
        </w:rPr>
        <w:t>закупки малого объема в электронной форме</w:t>
      </w:r>
      <w:r w:rsidRPr="00615A57">
        <w:t xml:space="preserve"> осуществлялись не всеми городскими и сельскими поселениями Приозерск</w:t>
      </w:r>
      <w:r>
        <w:t>ого</w:t>
      </w:r>
      <w:r w:rsidRPr="00615A57">
        <w:t xml:space="preserve"> муниципальн</w:t>
      </w:r>
      <w:r>
        <w:t>ого</w:t>
      </w:r>
      <w:r w:rsidRPr="00615A57">
        <w:t xml:space="preserve"> район</w:t>
      </w:r>
      <w:r>
        <w:t>а.</w:t>
      </w:r>
    </w:p>
    <w:p w:rsidR="00F73C02" w:rsidRPr="00C05C8D" w:rsidRDefault="00F73C02" w:rsidP="00F73C02">
      <w:pPr>
        <w:tabs>
          <w:tab w:val="left" w:pos="851"/>
        </w:tabs>
        <w:jc w:val="both"/>
        <w:rPr>
          <w:b/>
          <w:lang w:bidi="ru-RU"/>
        </w:rPr>
      </w:pPr>
      <w:r>
        <w:rPr>
          <w:rFonts w:eastAsia="Calibri"/>
          <w:iCs/>
          <w:color w:val="000000"/>
        </w:rPr>
        <w:t xml:space="preserve">     </w:t>
      </w:r>
      <w:r w:rsidR="003E4A68">
        <w:rPr>
          <w:rFonts w:eastAsia="Calibri"/>
          <w:iCs/>
          <w:color w:val="000000"/>
        </w:rPr>
        <w:t xml:space="preserve">    </w:t>
      </w:r>
      <w:r w:rsidRPr="00C05C8D">
        <w:rPr>
          <w:rFonts w:eastAsia="Calibri"/>
          <w:iCs/>
          <w:color w:val="000000"/>
        </w:rPr>
        <w:t xml:space="preserve">В целях обеспечения открытости и прозрачности закупок, повышения конкуренции между участниками закупок, а также эффективного расходования бюджетных средств </w:t>
      </w:r>
      <w:r>
        <w:rPr>
          <w:rFonts w:eastAsia="Calibri"/>
          <w:iCs/>
          <w:color w:val="000000"/>
        </w:rPr>
        <w:t>в</w:t>
      </w:r>
      <w:r w:rsidRPr="00C05C8D">
        <w:t xml:space="preserve"> </w:t>
      </w:r>
      <w:r>
        <w:t xml:space="preserve">отчетном периоде 2022 года </w:t>
      </w:r>
      <w:r w:rsidRPr="00963242">
        <w:rPr>
          <w:b/>
        </w:rPr>
        <w:t xml:space="preserve">2 </w:t>
      </w:r>
      <w:r w:rsidRPr="00C05C8D">
        <w:t>городск</w:t>
      </w:r>
      <w:r>
        <w:t xml:space="preserve">их поселения </w:t>
      </w:r>
      <w:r w:rsidRPr="00C05C8D">
        <w:rPr>
          <w:b/>
        </w:rPr>
        <w:t>(</w:t>
      </w:r>
      <w:proofErr w:type="spellStart"/>
      <w:r w:rsidRPr="00C05C8D">
        <w:rPr>
          <w:b/>
        </w:rPr>
        <w:t>Кузнечнинское</w:t>
      </w:r>
      <w:proofErr w:type="spellEnd"/>
      <w:r w:rsidRPr="00FE73F6">
        <w:rPr>
          <w:b/>
        </w:rPr>
        <w:t xml:space="preserve"> городское поселение</w:t>
      </w:r>
      <w:r>
        <w:rPr>
          <w:b/>
        </w:rPr>
        <w:t xml:space="preserve"> и </w:t>
      </w:r>
      <w:proofErr w:type="spellStart"/>
      <w:r>
        <w:rPr>
          <w:b/>
        </w:rPr>
        <w:t>Приозерское</w:t>
      </w:r>
      <w:proofErr w:type="spellEnd"/>
      <w:r>
        <w:rPr>
          <w:b/>
        </w:rPr>
        <w:t xml:space="preserve"> городское поселение</w:t>
      </w:r>
      <w:r>
        <w:t xml:space="preserve">) </w:t>
      </w:r>
      <w:r w:rsidRPr="00615A57">
        <w:t xml:space="preserve">и </w:t>
      </w:r>
      <w:r w:rsidRPr="00A25B28">
        <w:rPr>
          <w:b/>
        </w:rPr>
        <w:t>6</w:t>
      </w:r>
      <w:r w:rsidRPr="00615A57">
        <w:t xml:space="preserve"> </w:t>
      </w:r>
      <w:r>
        <w:t xml:space="preserve">сельских поселений </w:t>
      </w:r>
      <w:r w:rsidRPr="00FE73F6">
        <w:rPr>
          <w:b/>
        </w:rPr>
        <w:t xml:space="preserve">(МО </w:t>
      </w:r>
      <w:r>
        <w:rPr>
          <w:b/>
        </w:rPr>
        <w:t xml:space="preserve">Сосновское, МО </w:t>
      </w:r>
      <w:proofErr w:type="spellStart"/>
      <w:r w:rsidRPr="00FE73F6">
        <w:rPr>
          <w:b/>
        </w:rPr>
        <w:t>Ларионовское</w:t>
      </w:r>
      <w:proofErr w:type="spellEnd"/>
      <w:r w:rsidRPr="00FE73F6">
        <w:rPr>
          <w:b/>
        </w:rPr>
        <w:t xml:space="preserve"> сельское поселение, МО </w:t>
      </w:r>
      <w:proofErr w:type="spellStart"/>
      <w:r w:rsidRPr="00FE73F6">
        <w:rPr>
          <w:b/>
        </w:rPr>
        <w:t>Севастьяновское</w:t>
      </w:r>
      <w:proofErr w:type="spellEnd"/>
      <w:r w:rsidRPr="00FE73F6">
        <w:rPr>
          <w:b/>
        </w:rPr>
        <w:t xml:space="preserve"> сельское поселение</w:t>
      </w:r>
      <w:proofErr w:type="gramStart"/>
      <w:r>
        <w:rPr>
          <w:b/>
        </w:rPr>
        <w:t xml:space="preserve"> </w:t>
      </w:r>
      <w:r w:rsidRPr="00FE73F6">
        <w:rPr>
          <w:b/>
        </w:rPr>
        <w:t>,</w:t>
      </w:r>
      <w:proofErr w:type="gramEnd"/>
      <w:r w:rsidRPr="00FE73F6">
        <w:rPr>
          <w:b/>
        </w:rPr>
        <w:t xml:space="preserve"> МО </w:t>
      </w:r>
      <w:proofErr w:type="spellStart"/>
      <w:r w:rsidRPr="00FE73F6">
        <w:rPr>
          <w:b/>
        </w:rPr>
        <w:t>Плодовское</w:t>
      </w:r>
      <w:proofErr w:type="spellEnd"/>
      <w:r w:rsidRPr="00FE73F6">
        <w:rPr>
          <w:b/>
        </w:rPr>
        <w:t xml:space="preserve"> сельское поселение, МО </w:t>
      </w:r>
      <w:proofErr w:type="spellStart"/>
      <w:r>
        <w:rPr>
          <w:b/>
        </w:rPr>
        <w:t>Красноозерное</w:t>
      </w:r>
      <w:proofErr w:type="spellEnd"/>
      <w:r>
        <w:rPr>
          <w:b/>
        </w:rPr>
        <w:t xml:space="preserve"> </w:t>
      </w:r>
      <w:r w:rsidRPr="00FE73F6">
        <w:rPr>
          <w:b/>
        </w:rPr>
        <w:t>сельское поселение</w:t>
      </w:r>
      <w:r>
        <w:rPr>
          <w:b/>
        </w:rPr>
        <w:t xml:space="preserve">), МО </w:t>
      </w:r>
      <w:proofErr w:type="spellStart"/>
      <w:r>
        <w:rPr>
          <w:b/>
        </w:rPr>
        <w:t>Раздольевское</w:t>
      </w:r>
      <w:proofErr w:type="spellEnd"/>
      <w:r>
        <w:rPr>
          <w:b/>
        </w:rPr>
        <w:t xml:space="preserve"> сельское поселение </w:t>
      </w:r>
      <w:r w:rsidRPr="00615A57">
        <w:rPr>
          <w:lang w:bidi="ru-RU"/>
        </w:rPr>
        <w:t>реализова</w:t>
      </w:r>
      <w:r>
        <w:rPr>
          <w:lang w:bidi="ru-RU"/>
        </w:rPr>
        <w:t>ли</w:t>
      </w:r>
      <w:r w:rsidRPr="00615A57">
        <w:rPr>
          <w:lang w:bidi="ru-RU"/>
        </w:rPr>
        <w:t xml:space="preserve"> мероприятия по обеспечению муниципальными заказчиками закупок товаров, работ, услуг малого объема через </w:t>
      </w:r>
      <w:r w:rsidRPr="00C05C8D">
        <w:rPr>
          <w:b/>
          <w:lang w:bidi="ru-RU"/>
        </w:rPr>
        <w:t>Электронный магазин Ленинградской области.</w:t>
      </w:r>
    </w:p>
    <w:p w:rsidR="00F73C02" w:rsidRPr="00FE73F6" w:rsidRDefault="00F73C02" w:rsidP="00F73C02">
      <w:pPr>
        <w:shd w:val="clear" w:color="auto" w:fill="FFFFFF"/>
        <w:tabs>
          <w:tab w:val="left" w:pos="5798"/>
        </w:tabs>
        <w:jc w:val="both"/>
        <w:rPr>
          <w:b/>
        </w:rPr>
      </w:pPr>
      <w:r>
        <w:t xml:space="preserve">       </w:t>
      </w:r>
      <w:r w:rsidR="003E4A68">
        <w:t xml:space="preserve"> </w:t>
      </w:r>
      <w:r>
        <w:t xml:space="preserve">За отчетный период  на электронной площадке  для закупок малого объема проведено </w:t>
      </w:r>
      <w:r>
        <w:rPr>
          <w:b/>
        </w:rPr>
        <w:t>56</w:t>
      </w:r>
      <w:r w:rsidRPr="00FE73F6">
        <w:rPr>
          <w:b/>
        </w:rPr>
        <w:t xml:space="preserve">  закупок</w:t>
      </w:r>
      <w:r>
        <w:t xml:space="preserve"> малого объема в электронной форме на сумму  </w:t>
      </w:r>
      <w:r w:rsidRPr="00A25B28">
        <w:rPr>
          <w:b/>
        </w:rPr>
        <w:t>15 956,7 тыс</w:t>
      </w:r>
      <w:r w:rsidRPr="00FE73F6">
        <w:rPr>
          <w:b/>
        </w:rPr>
        <w:t>. руб</w:t>
      </w:r>
      <w:r>
        <w:t xml:space="preserve">., по результатам </w:t>
      </w:r>
      <w:proofErr w:type="gramStart"/>
      <w:r>
        <w:t>проведения</w:t>
      </w:r>
      <w:proofErr w:type="gramEnd"/>
      <w:r>
        <w:t xml:space="preserve"> которых, экономия относительно максимальных ценовых предложений не образовывалась.</w:t>
      </w:r>
    </w:p>
    <w:p w:rsidR="00F73C02" w:rsidRPr="00E42D25" w:rsidRDefault="00F73C02" w:rsidP="00F73C02">
      <w:pPr>
        <w:shd w:val="clear" w:color="auto" w:fill="FFFFFF"/>
        <w:tabs>
          <w:tab w:val="left" w:pos="5798"/>
        </w:tabs>
        <w:jc w:val="both"/>
      </w:pPr>
      <w:r w:rsidRPr="00E42D25">
        <w:t xml:space="preserve">     </w:t>
      </w:r>
      <w:r w:rsidR="003E4A68">
        <w:t xml:space="preserve"> </w:t>
      </w:r>
      <w:r w:rsidRPr="00E42D25">
        <w:t xml:space="preserve"> Всего было заключено  </w:t>
      </w:r>
      <w:r>
        <w:rPr>
          <w:b/>
        </w:rPr>
        <w:t>56</w:t>
      </w:r>
      <w:r w:rsidRPr="00E42D25">
        <w:rPr>
          <w:b/>
        </w:rPr>
        <w:t xml:space="preserve"> контрактов</w:t>
      </w:r>
      <w:r w:rsidRPr="00E42D25">
        <w:t xml:space="preserve">  на общую сумму </w:t>
      </w:r>
      <w:r w:rsidRPr="00E42D25">
        <w:rPr>
          <w:b/>
        </w:rPr>
        <w:t>1</w:t>
      </w:r>
      <w:r>
        <w:rPr>
          <w:b/>
        </w:rPr>
        <w:t xml:space="preserve">5 956,7 </w:t>
      </w:r>
      <w:r w:rsidRPr="00E42D25">
        <w:rPr>
          <w:b/>
        </w:rPr>
        <w:t>тыс. руб</w:t>
      </w:r>
      <w:r w:rsidRPr="00E42D25">
        <w:t xml:space="preserve">. в соответствии с п.4 ч.1 статьи 93 Закона №44-ФЗ </w:t>
      </w:r>
      <w:r w:rsidRPr="00E42D25">
        <w:rPr>
          <w:b/>
        </w:rPr>
        <w:t>в электронной форме,</w:t>
      </w:r>
      <w:r w:rsidRPr="00E42D25">
        <w:t xml:space="preserve"> </w:t>
      </w:r>
      <w:r w:rsidRPr="00E42D25">
        <w:rPr>
          <w:lang w:bidi="ru-RU"/>
        </w:rPr>
        <w:t xml:space="preserve">что составляет </w:t>
      </w:r>
      <w:r>
        <w:rPr>
          <w:lang w:bidi="ru-RU"/>
        </w:rPr>
        <w:t>23,8</w:t>
      </w:r>
      <w:r w:rsidRPr="00E42D25">
        <w:rPr>
          <w:lang w:bidi="ru-RU"/>
        </w:rPr>
        <w:t xml:space="preserve">% по количеству и </w:t>
      </w:r>
      <w:r>
        <w:rPr>
          <w:lang w:bidi="ru-RU"/>
        </w:rPr>
        <w:t>1,7</w:t>
      </w:r>
      <w:r w:rsidRPr="00E42D25">
        <w:rPr>
          <w:lang w:bidi="ru-RU"/>
        </w:rPr>
        <w:t>% по сумме от общей стоимости контрактов</w:t>
      </w:r>
    </w:p>
    <w:p w:rsidR="00F73C02" w:rsidRDefault="003E4A68" w:rsidP="00F73C02">
      <w:pPr>
        <w:tabs>
          <w:tab w:val="left" w:pos="851"/>
        </w:tabs>
        <w:ind w:firstLine="426"/>
        <w:jc w:val="both"/>
        <w:rPr>
          <w:noProof/>
        </w:rPr>
      </w:pPr>
      <w:r>
        <w:rPr>
          <w:b/>
        </w:rPr>
        <w:t xml:space="preserve"> </w:t>
      </w:r>
      <w:r w:rsidR="00F73C02">
        <w:rPr>
          <w:b/>
        </w:rPr>
        <w:t xml:space="preserve">46) </w:t>
      </w:r>
      <w:r w:rsidR="00F73C02" w:rsidRPr="003A3282">
        <w:rPr>
          <w:noProof/>
        </w:rPr>
        <w:t xml:space="preserve">При осуществлении закупок у единственного поставщика (подрядчика, исполнителя)  не соблюдаются принципы открытости, прозрачности информации о контрактной системе в сфере закупок, обеспечения конкуренции, что создает предпосылки для неэффективного использования бюджетных средств. </w:t>
      </w:r>
    </w:p>
    <w:p w:rsidR="00BE0425" w:rsidRDefault="00A92308" w:rsidP="006141A5">
      <w:pPr>
        <w:shd w:val="clear" w:color="auto" w:fill="FFFFFF"/>
        <w:tabs>
          <w:tab w:val="left" w:pos="5798"/>
        </w:tabs>
        <w:jc w:val="both"/>
      </w:pPr>
      <w:r>
        <w:rPr>
          <w:b/>
          <w:noProof/>
        </w:rPr>
        <w:t xml:space="preserve">     </w:t>
      </w:r>
    </w:p>
    <w:p w:rsidR="00A25B28" w:rsidRDefault="00A25B28" w:rsidP="00A25B28">
      <w:pPr>
        <w:ind w:firstLine="426"/>
        <w:jc w:val="both"/>
        <w:rPr>
          <w:b/>
        </w:rPr>
      </w:pPr>
      <w:r w:rsidRPr="00F31230">
        <w:rPr>
          <w:b/>
        </w:rPr>
        <w:t xml:space="preserve">Предложения по результатам проведенного мониторинга закупок товаров, работ, услуг </w:t>
      </w:r>
      <w:r>
        <w:rPr>
          <w:b/>
        </w:rPr>
        <w:t>за 20</w:t>
      </w:r>
      <w:r w:rsidR="00F73C02">
        <w:rPr>
          <w:b/>
        </w:rPr>
        <w:t>22</w:t>
      </w:r>
      <w:r>
        <w:rPr>
          <w:b/>
        </w:rPr>
        <w:t xml:space="preserve"> год.</w:t>
      </w:r>
    </w:p>
    <w:p w:rsidR="00A25B28" w:rsidRDefault="00A25B28" w:rsidP="00A25B28">
      <w:pPr>
        <w:spacing w:line="120" w:lineRule="auto"/>
        <w:ind w:firstLine="426"/>
        <w:jc w:val="both"/>
      </w:pPr>
    </w:p>
    <w:p w:rsidR="00A25B28" w:rsidRPr="008815D5" w:rsidRDefault="00A25B28" w:rsidP="00A25B28">
      <w:pPr>
        <w:ind w:firstLine="567"/>
        <w:jc w:val="both"/>
      </w:pPr>
      <w:r w:rsidRPr="008815D5">
        <w:t xml:space="preserve">Для повышения эффективности закупочной деятельности </w:t>
      </w:r>
      <w:r>
        <w:t xml:space="preserve"> </w:t>
      </w:r>
      <w:r w:rsidRPr="008815D5">
        <w:t>заказчикам необходимо:</w:t>
      </w:r>
    </w:p>
    <w:p w:rsidR="00A25B28" w:rsidRPr="008815D5" w:rsidRDefault="00A25B28" w:rsidP="00A25B28">
      <w:pPr>
        <w:ind w:firstLine="567"/>
        <w:jc w:val="both"/>
      </w:pPr>
      <w:r w:rsidRPr="001E5AA0">
        <w:rPr>
          <w:b/>
        </w:rPr>
        <w:t>1)</w:t>
      </w:r>
      <w:r w:rsidR="00F73C02">
        <w:t xml:space="preserve"> </w:t>
      </w:r>
      <w:r w:rsidRPr="008815D5">
        <w:t>повысить качество планирования закупок путем осуществления заблаговременного анализа потребностей заказчика:</w:t>
      </w:r>
    </w:p>
    <w:p w:rsidR="00A25B28" w:rsidRPr="008815D5" w:rsidRDefault="00A25B28" w:rsidP="00A25B28">
      <w:pPr>
        <w:ind w:firstLine="567"/>
        <w:jc w:val="both"/>
      </w:pPr>
      <w:r w:rsidRPr="008815D5">
        <w:t>- обеспечить планирование и осуществление закупок в соответствии с утвержденными нормативными затратами, требованиями к закупаемым отдельным товарам, работам, услугам (в том числе предельные цены);</w:t>
      </w:r>
    </w:p>
    <w:p w:rsidR="00A25B28" w:rsidRDefault="00A25B28" w:rsidP="00A25B28">
      <w:pPr>
        <w:ind w:firstLine="567"/>
        <w:jc w:val="both"/>
      </w:pPr>
      <w:r w:rsidRPr="008815D5">
        <w:t>- обеспечить осуществление закупок в соответствии с действующим законодательством РФ: осуществлять обоснованный выбор способа определения поставщика, соответствующий целям закупки, предмету закупки, в соответствии с требованиями нормативных документов</w:t>
      </w:r>
    </w:p>
    <w:p w:rsidR="00A25B28" w:rsidRPr="008815D5" w:rsidRDefault="00A25B28" w:rsidP="00A25B28">
      <w:pPr>
        <w:ind w:firstLine="567"/>
        <w:jc w:val="both"/>
      </w:pPr>
      <w:r w:rsidRPr="001E5AA0">
        <w:rPr>
          <w:b/>
        </w:rPr>
        <w:t>2)</w:t>
      </w:r>
      <w:r>
        <w:t xml:space="preserve">   </w:t>
      </w:r>
      <w:r w:rsidRPr="008815D5">
        <w:t>применять в работе рекомендации контрольных органов, судебных органов, уполномоченного органа по выработке политики и нормативно-правовому регулированию в сфере закупок;</w:t>
      </w:r>
    </w:p>
    <w:p w:rsidR="00A25B28" w:rsidRPr="008815D5" w:rsidRDefault="00A25B28" w:rsidP="00A25B28">
      <w:pPr>
        <w:ind w:firstLine="567"/>
        <w:jc w:val="both"/>
      </w:pPr>
      <w:r w:rsidRPr="001E5AA0">
        <w:rPr>
          <w:b/>
        </w:rPr>
        <w:t>3)</w:t>
      </w:r>
      <w:r w:rsidRPr="008815D5">
        <w:t xml:space="preserve"> </w:t>
      </w:r>
      <w:r>
        <w:t xml:space="preserve">  </w:t>
      </w:r>
      <w:r w:rsidRPr="008815D5">
        <w:t>заключать и исполнять контракты в соответствии законодательством Российской Федерации:</w:t>
      </w:r>
    </w:p>
    <w:p w:rsidR="00A25B28" w:rsidRDefault="00A25B28" w:rsidP="00A25B28">
      <w:pPr>
        <w:ind w:firstLine="567"/>
        <w:jc w:val="both"/>
      </w:pPr>
      <w:r w:rsidRPr="008815D5">
        <w:t xml:space="preserve">- обеспечить включение </w:t>
      </w:r>
      <w:r>
        <w:t>в контракт существенных условий;</w:t>
      </w:r>
    </w:p>
    <w:p w:rsidR="00A25B28" w:rsidRPr="008815D5" w:rsidRDefault="00A25B28" w:rsidP="00A25B28">
      <w:pPr>
        <w:ind w:firstLine="567"/>
        <w:jc w:val="both"/>
      </w:pPr>
      <w:r w:rsidRPr="008815D5">
        <w:t>- обеспечить своевременное внесение информации в Единую информационную систему о заключении, об исполнении контракта;</w:t>
      </w:r>
    </w:p>
    <w:p w:rsidR="00A25B28" w:rsidRPr="008815D5" w:rsidRDefault="00A25B28" w:rsidP="00A25B28">
      <w:pPr>
        <w:ind w:firstLine="567"/>
        <w:jc w:val="both"/>
      </w:pPr>
      <w:r w:rsidRPr="008815D5">
        <w:t>- обеспечить качественное и своевременное исполнение контракта (в т.</w:t>
      </w:r>
      <w:r>
        <w:t xml:space="preserve"> </w:t>
      </w:r>
      <w:r w:rsidRPr="008815D5">
        <w:t>ч. приемку с привлечением экспертов при необходимости, подачу сведений о заключении (изменении, исполнении) контрактов;</w:t>
      </w:r>
    </w:p>
    <w:p w:rsidR="00A25B28" w:rsidRPr="008815D5" w:rsidRDefault="00A25B28" w:rsidP="00A25B28">
      <w:pPr>
        <w:ind w:firstLine="567"/>
        <w:jc w:val="both"/>
      </w:pPr>
      <w:r w:rsidRPr="001C3C7A">
        <w:rPr>
          <w:b/>
        </w:rPr>
        <w:t>4)</w:t>
      </w:r>
      <w:r w:rsidRPr="008815D5">
        <w:t xml:space="preserve"> поддерживать и повышать профессиональный уровень специалистов, уполномоченных на осуществление закупок, (обучение, повышение квалификации в сфере закупок).</w:t>
      </w:r>
    </w:p>
    <w:p w:rsidR="00A25B28" w:rsidRDefault="00A25B28" w:rsidP="00A25B28">
      <w:pPr>
        <w:spacing w:line="120" w:lineRule="auto"/>
        <w:rPr>
          <w:color w:val="FF0000"/>
          <w:sz w:val="28"/>
        </w:rPr>
      </w:pPr>
    </w:p>
    <w:p w:rsidR="00A25B28" w:rsidRPr="00161BD7" w:rsidRDefault="00A25B28" w:rsidP="00A25B28">
      <w:pPr>
        <w:autoSpaceDE w:val="0"/>
        <w:autoSpaceDN w:val="0"/>
        <w:adjustRightInd w:val="0"/>
        <w:rPr>
          <w:rFonts w:eastAsia="Calibri"/>
          <w:color w:val="000000"/>
        </w:rPr>
      </w:pPr>
      <w:r>
        <w:rPr>
          <w:rFonts w:eastAsia="Calibri"/>
          <w:b/>
          <w:bCs/>
          <w:color w:val="000000"/>
        </w:rPr>
        <w:lastRenderedPageBreak/>
        <w:t xml:space="preserve">         </w:t>
      </w:r>
      <w:r w:rsidRPr="00161BD7">
        <w:rPr>
          <w:rFonts w:eastAsia="Calibri"/>
          <w:b/>
          <w:bCs/>
          <w:color w:val="000000"/>
        </w:rPr>
        <w:t>Рекомендации</w:t>
      </w:r>
      <w:r>
        <w:rPr>
          <w:rFonts w:eastAsia="Calibri"/>
          <w:b/>
          <w:bCs/>
          <w:color w:val="000000"/>
        </w:rPr>
        <w:t>:</w:t>
      </w:r>
      <w:r w:rsidRPr="00161BD7">
        <w:rPr>
          <w:rFonts w:eastAsia="Calibri"/>
          <w:b/>
          <w:bCs/>
          <w:color w:val="000000"/>
        </w:rPr>
        <w:t xml:space="preserve"> </w:t>
      </w:r>
    </w:p>
    <w:p w:rsidR="00A25B28" w:rsidRPr="00161BD7" w:rsidRDefault="00A25B28" w:rsidP="00A25B28">
      <w:pPr>
        <w:autoSpaceDE w:val="0"/>
        <w:autoSpaceDN w:val="0"/>
        <w:adjustRightInd w:val="0"/>
        <w:ind w:firstLine="567"/>
        <w:jc w:val="both"/>
        <w:rPr>
          <w:rFonts w:eastAsia="Calibri"/>
          <w:color w:val="000000"/>
        </w:rPr>
      </w:pPr>
      <w:r w:rsidRPr="00161BD7">
        <w:rPr>
          <w:rFonts w:eastAsia="Calibri"/>
          <w:color w:val="000000"/>
        </w:rPr>
        <w:t xml:space="preserve">В целях соблюдения требований действующего законодательства о закупках, предотвращения коррупционных правонарушений, расширения доступа к участию в закупках </w:t>
      </w:r>
      <w:r w:rsidR="00F73C02">
        <w:rPr>
          <w:rFonts w:eastAsia="Calibri"/>
          <w:color w:val="000000"/>
        </w:rPr>
        <w:t>З</w:t>
      </w:r>
      <w:r w:rsidRPr="00161BD7">
        <w:rPr>
          <w:rFonts w:eastAsia="Calibri"/>
          <w:color w:val="000000"/>
        </w:rPr>
        <w:t xml:space="preserve">аказчикам  следует: </w:t>
      </w:r>
    </w:p>
    <w:p w:rsidR="00A25B28" w:rsidRDefault="00A25B28" w:rsidP="00A25B28">
      <w:pPr>
        <w:tabs>
          <w:tab w:val="left" w:pos="709"/>
        </w:tabs>
        <w:ind w:firstLine="567"/>
        <w:jc w:val="both"/>
        <w:rPr>
          <w:noProof/>
        </w:rPr>
      </w:pPr>
      <w:r w:rsidRPr="00161BD7">
        <w:rPr>
          <w:b/>
          <w:noProof/>
        </w:rPr>
        <w:t>1</w:t>
      </w:r>
      <w:r>
        <w:rPr>
          <w:noProof/>
        </w:rPr>
        <w:t>. И</w:t>
      </w:r>
      <w:r w:rsidRPr="003A3282">
        <w:rPr>
          <w:noProof/>
        </w:rPr>
        <w:t>спользовать преимущественно конкурентные способы определения поставщиков (подрядчиков, исполнителей</w:t>
      </w:r>
      <w:r>
        <w:rPr>
          <w:noProof/>
        </w:rPr>
        <w:t>).</w:t>
      </w:r>
    </w:p>
    <w:p w:rsidR="00A25B28" w:rsidRPr="00275C33" w:rsidRDefault="00A25B28" w:rsidP="00A25B28">
      <w:pPr>
        <w:autoSpaceDE w:val="0"/>
        <w:autoSpaceDN w:val="0"/>
        <w:adjustRightInd w:val="0"/>
        <w:ind w:firstLine="567"/>
        <w:jc w:val="both"/>
        <w:rPr>
          <w:rFonts w:eastAsia="Calibri"/>
          <w:color w:val="000000"/>
        </w:rPr>
      </w:pPr>
      <w:r w:rsidRPr="00597AE2">
        <w:rPr>
          <w:b/>
          <w:noProof/>
        </w:rPr>
        <w:t xml:space="preserve">2. </w:t>
      </w:r>
      <w:r w:rsidRPr="00B7216F">
        <w:rPr>
          <w:noProof/>
        </w:rPr>
        <w:t xml:space="preserve">Оптимизировать закупки, осуществляемые в соответствии </w:t>
      </w:r>
      <w:r>
        <w:rPr>
          <w:noProof/>
        </w:rPr>
        <w:t xml:space="preserve"> </w:t>
      </w:r>
      <w:r w:rsidRPr="00B7216F">
        <w:rPr>
          <w:noProof/>
        </w:rPr>
        <w:t xml:space="preserve">с </w:t>
      </w:r>
      <w:r>
        <w:rPr>
          <w:noProof/>
        </w:rPr>
        <w:t>пунктами</w:t>
      </w:r>
      <w:r w:rsidRPr="00B7216F">
        <w:rPr>
          <w:noProof/>
        </w:rPr>
        <w:t xml:space="preserve"> 4 и 5 </w:t>
      </w:r>
      <w:r>
        <w:rPr>
          <w:noProof/>
        </w:rPr>
        <w:t xml:space="preserve">ч.1 </w:t>
      </w:r>
      <w:r w:rsidRPr="00B7216F">
        <w:rPr>
          <w:noProof/>
        </w:rPr>
        <w:t>статьи 93 Закона №</w:t>
      </w:r>
      <w:r>
        <w:rPr>
          <w:noProof/>
        </w:rPr>
        <w:t xml:space="preserve">44-ФЗ, </w:t>
      </w:r>
      <w:r w:rsidRPr="000644B8">
        <w:rPr>
          <w:b/>
          <w:noProof/>
        </w:rPr>
        <w:t>путем их перевода в электронную форму</w:t>
      </w:r>
      <w:r>
        <w:rPr>
          <w:noProof/>
        </w:rPr>
        <w:t xml:space="preserve">, </w:t>
      </w:r>
      <w:r w:rsidRPr="00275C33">
        <w:rPr>
          <w:rFonts w:eastAsia="Calibri"/>
          <w:color w:val="000000"/>
        </w:rPr>
        <w:t>руководствуясь принципом открытости и прозрачности закупок</w:t>
      </w:r>
      <w:r>
        <w:rPr>
          <w:rFonts w:eastAsia="Calibri"/>
          <w:color w:val="000000"/>
        </w:rPr>
        <w:t>.</w:t>
      </w:r>
      <w:r w:rsidRPr="00275C33">
        <w:rPr>
          <w:rFonts w:eastAsia="Calibri"/>
          <w:color w:val="000000"/>
        </w:rPr>
        <w:t xml:space="preserve"> </w:t>
      </w:r>
    </w:p>
    <w:p w:rsidR="00A25B28" w:rsidRDefault="00A25B28" w:rsidP="00A25B28">
      <w:pPr>
        <w:tabs>
          <w:tab w:val="left" w:pos="851"/>
        </w:tabs>
        <w:ind w:firstLine="567"/>
        <w:jc w:val="both"/>
        <w:rPr>
          <w:b/>
          <w:noProof/>
        </w:rPr>
      </w:pPr>
      <w:r w:rsidRPr="00275C33">
        <w:rPr>
          <w:b/>
          <w:noProof/>
        </w:rPr>
        <w:t>3.</w:t>
      </w:r>
      <w:r>
        <w:rPr>
          <w:noProof/>
        </w:rPr>
        <w:t xml:space="preserve"> </w:t>
      </w:r>
      <w:r w:rsidRPr="00225764">
        <w:rPr>
          <w:noProof/>
        </w:rPr>
        <w:t xml:space="preserve">В целях </w:t>
      </w:r>
      <w:r w:rsidRPr="00225764">
        <w:rPr>
          <w:iCs/>
        </w:rPr>
        <w:t>повышения конкуренции между участниками закупок, а также эффективного расходования бюджетных средств</w:t>
      </w:r>
      <w:r>
        <w:rPr>
          <w:noProof/>
        </w:rPr>
        <w:t xml:space="preserve"> </w:t>
      </w:r>
      <w:r w:rsidRPr="009F1BFB">
        <w:rPr>
          <w:noProof/>
        </w:rPr>
        <w:t>реализовать</w:t>
      </w:r>
      <w:r w:rsidRPr="000644B8">
        <w:rPr>
          <w:b/>
          <w:noProof/>
        </w:rPr>
        <w:t xml:space="preserve"> механиз автоматизации закупок малого объема посредством  использования электронных площадок.</w:t>
      </w:r>
    </w:p>
    <w:p w:rsidR="00A25B28" w:rsidRPr="00A13E81" w:rsidRDefault="00A25B28" w:rsidP="00A25B28">
      <w:pPr>
        <w:tabs>
          <w:tab w:val="left" w:pos="851"/>
        </w:tabs>
        <w:ind w:firstLine="567"/>
        <w:jc w:val="both"/>
        <w:rPr>
          <w:b/>
          <w:noProof/>
        </w:rPr>
      </w:pPr>
      <w:r>
        <w:rPr>
          <w:b/>
          <w:noProof/>
        </w:rPr>
        <w:t xml:space="preserve">4. </w:t>
      </w:r>
      <w:r w:rsidRPr="00A13E81">
        <w:rPr>
          <w:rFonts w:eastAsia="Calibri"/>
          <w:color w:val="000000"/>
        </w:rPr>
        <w:t xml:space="preserve">В целях соблюдения требований действующего законодательства о закупках, предотвращения коррупционных правонарушений, расширения доступа к участию в закупках заказчикам </w:t>
      </w:r>
      <w:r>
        <w:rPr>
          <w:rFonts w:eastAsia="Calibri"/>
          <w:color w:val="000000"/>
        </w:rPr>
        <w:t>н</w:t>
      </w:r>
      <w:r w:rsidRPr="00A13E81">
        <w:rPr>
          <w:noProof/>
        </w:rPr>
        <w:t xml:space="preserve">еобходимо реализовать мероприятия по обеспечению закупок товаров, работ и услуг малого объема через </w:t>
      </w:r>
      <w:r w:rsidRPr="00A13E81">
        <w:rPr>
          <w:b/>
          <w:noProof/>
        </w:rPr>
        <w:t>Электронный магазин Ленинградской области.</w:t>
      </w:r>
    </w:p>
    <w:p w:rsidR="006C0FC0" w:rsidRDefault="006C0FC0" w:rsidP="008815D5">
      <w:pPr>
        <w:spacing w:line="120" w:lineRule="auto"/>
        <w:ind w:firstLine="425"/>
        <w:jc w:val="both"/>
        <w:rPr>
          <w:color w:val="000000"/>
        </w:rPr>
      </w:pPr>
    </w:p>
    <w:p w:rsidR="006C0FC0" w:rsidRDefault="006C0FC0" w:rsidP="006C0FC0">
      <w:pPr>
        <w:ind w:firstLine="426"/>
        <w:jc w:val="both"/>
        <w:rPr>
          <w:b/>
          <w:i/>
        </w:rPr>
      </w:pPr>
    </w:p>
    <w:p w:rsidR="006141A5" w:rsidRPr="006C0FC0" w:rsidRDefault="006141A5" w:rsidP="006C0FC0">
      <w:pPr>
        <w:ind w:firstLine="426"/>
        <w:jc w:val="both"/>
        <w:rPr>
          <w:b/>
          <w:i/>
        </w:rPr>
      </w:pPr>
    </w:p>
    <w:p w:rsidR="00F73C02" w:rsidRDefault="00F73C02" w:rsidP="00F73C02">
      <w:pPr>
        <w:tabs>
          <w:tab w:val="left" w:pos="9781"/>
        </w:tabs>
        <w:spacing w:line="240" w:lineRule="atLeast"/>
        <w:ind w:right="-142"/>
        <w:jc w:val="both"/>
      </w:pPr>
      <w:r w:rsidRPr="00102833">
        <w:t xml:space="preserve">Председатель </w:t>
      </w:r>
    </w:p>
    <w:p w:rsidR="00F73C02" w:rsidRDefault="00F73C02" w:rsidP="00F73C02">
      <w:pPr>
        <w:tabs>
          <w:tab w:val="left" w:pos="9781"/>
        </w:tabs>
        <w:spacing w:line="240" w:lineRule="atLeast"/>
        <w:ind w:right="-142"/>
        <w:jc w:val="both"/>
      </w:pPr>
      <w:r>
        <w:t>К</w:t>
      </w:r>
      <w:r w:rsidRPr="00102833">
        <w:t xml:space="preserve">онтрольно-счетного органа </w:t>
      </w:r>
    </w:p>
    <w:p w:rsidR="00F73C02" w:rsidRPr="00102833" w:rsidRDefault="00F73C02" w:rsidP="00F73C02">
      <w:pPr>
        <w:tabs>
          <w:tab w:val="left" w:pos="9781"/>
        </w:tabs>
        <w:spacing w:line="240" w:lineRule="atLeast"/>
        <w:ind w:right="-142"/>
        <w:jc w:val="both"/>
      </w:pPr>
      <w:r w:rsidRPr="00102833">
        <w:t>Приозерск</w:t>
      </w:r>
      <w:r>
        <w:t>ого муниципального</w:t>
      </w:r>
      <w:r w:rsidRPr="00102833">
        <w:t xml:space="preserve"> район</w:t>
      </w:r>
      <w:r>
        <w:t>а</w:t>
      </w:r>
    </w:p>
    <w:p w:rsidR="00055820" w:rsidRDefault="00F73C02" w:rsidP="00F73C02">
      <w:pPr>
        <w:tabs>
          <w:tab w:val="left" w:pos="9781"/>
        </w:tabs>
        <w:spacing w:line="240" w:lineRule="atLeast"/>
        <w:ind w:left="-284" w:right="-142" w:firstLine="284"/>
        <w:jc w:val="both"/>
      </w:pPr>
      <w:r w:rsidRPr="00102833">
        <w:t xml:space="preserve">Ленинградской области                                                                                          </w:t>
      </w:r>
      <w:r>
        <w:t>Е.В. Губанова</w:t>
      </w:r>
    </w:p>
    <w:sectPr w:rsidR="00055820" w:rsidSect="0088499F">
      <w:footerReference w:type="default" r:id="rId13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BFD" w:rsidRDefault="00B97BFD" w:rsidP="00A60F46">
      <w:r>
        <w:separator/>
      </w:r>
    </w:p>
  </w:endnote>
  <w:endnote w:type="continuationSeparator" w:id="0">
    <w:p w:rsidR="00B97BFD" w:rsidRDefault="00B97BFD" w:rsidP="00A6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T Jenevers">
    <w:altName w:val="TT Jenevers"/>
    <w:panose1 w:val="00000000000000000000"/>
    <w:charset w:val="CC"/>
    <w:family w:val="roman"/>
    <w:notTrueType/>
    <w:pitch w:val="default"/>
    <w:sig w:usb0="00000201" w:usb1="00000000" w:usb2="00000000" w:usb3="00000000" w:csb0="00000004" w:csb1="00000000"/>
  </w:font>
  <w:font w:name="PT_Russia Text">
    <w:altName w:val="Arial"/>
    <w:panose1 w:val="00000000000000000000"/>
    <w:charset w:val="00"/>
    <w:family w:val="swiss"/>
    <w:notTrueType/>
    <w:pitch w:val="default"/>
    <w:sig w:usb0="00000001" w:usb1="00000000" w:usb2="00000000" w:usb3="00000000" w:csb0="00000005" w:csb1="00000000"/>
  </w:font>
  <w:font w:name="Times New Roman,Bold">
    <w:panose1 w:val="00000000000000000000"/>
    <w:charset w:val="CC"/>
    <w:family w:val="auto"/>
    <w:notTrueType/>
    <w:pitch w:val="default"/>
    <w:sig w:usb0="00000201" w:usb1="00000000"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PT Sans">
    <w:altName w:val="Times New Roman"/>
    <w:charset w:val="00"/>
    <w:family w:val="auto"/>
    <w:pitch w:val="default"/>
    <w:sig w:usb0="00000003" w:usb1="00000000" w:usb2="00000000" w:usb3="00000000" w:csb0="00000001" w:csb1="00000000"/>
  </w:font>
  <w:font w:name="Roboto">
    <w:altName w:val="Times New Roman"/>
    <w:panose1 w:val="00000000000000000000"/>
    <w:charset w:val="00"/>
    <w:family w:val="roman"/>
    <w:notTrueType/>
    <w:pitch w:val="default"/>
    <w:sig w:usb0="00000201" w:usb1="00000000" w:usb2="00000000" w:usb3="00000000" w:csb0="00000004" w:csb1="00000000"/>
  </w:font>
  <w:font w:name="IBM Plex Sans">
    <w:altName w:val="Times New Roman"/>
    <w:charset w:val="00"/>
    <w:family w:val="auto"/>
    <w:pitch w:val="default"/>
  </w:font>
  <w:font w:name="CIDFont+F1">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33" w:rsidRPr="00CC2D55" w:rsidRDefault="00924733">
    <w:pPr>
      <w:pStyle w:val="a8"/>
      <w:jc w:val="center"/>
      <w:rPr>
        <w:sz w:val="22"/>
        <w:szCs w:val="22"/>
      </w:rPr>
    </w:pPr>
    <w:r w:rsidRPr="00CC2D55">
      <w:rPr>
        <w:sz w:val="22"/>
        <w:szCs w:val="22"/>
      </w:rPr>
      <w:fldChar w:fldCharType="begin"/>
    </w:r>
    <w:r w:rsidRPr="00CC2D55">
      <w:rPr>
        <w:sz w:val="22"/>
        <w:szCs w:val="22"/>
      </w:rPr>
      <w:instrText>PAGE   \* MERGEFORMAT</w:instrText>
    </w:r>
    <w:r w:rsidRPr="00CC2D55">
      <w:rPr>
        <w:sz w:val="22"/>
        <w:szCs w:val="22"/>
      </w:rPr>
      <w:fldChar w:fldCharType="separate"/>
    </w:r>
    <w:r w:rsidR="00F82825">
      <w:rPr>
        <w:noProof/>
        <w:sz w:val="22"/>
        <w:szCs w:val="22"/>
      </w:rPr>
      <w:t>11</w:t>
    </w:r>
    <w:r w:rsidRPr="00CC2D55">
      <w:rPr>
        <w:sz w:val="22"/>
        <w:szCs w:val="22"/>
      </w:rPr>
      <w:fldChar w:fldCharType="end"/>
    </w:r>
  </w:p>
  <w:p w:rsidR="00924733" w:rsidRDefault="00924733">
    <w:pPr>
      <w:pStyle w:val="a8"/>
    </w:pPr>
  </w:p>
  <w:p w:rsidR="00924733" w:rsidRDefault="009247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BFD" w:rsidRDefault="00B97BFD" w:rsidP="00A60F46">
      <w:r>
        <w:separator/>
      </w:r>
    </w:p>
  </w:footnote>
  <w:footnote w:type="continuationSeparator" w:id="0">
    <w:p w:rsidR="00B97BFD" w:rsidRDefault="00B97BFD" w:rsidP="00A60F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000001B"/>
    <w:multiLevelType w:val="singleLevel"/>
    <w:tmpl w:val="0000001B"/>
    <w:name w:val="WW8Num31"/>
    <w:lvl w:ilvl="0">
      <w:start w:val="1"/>
      <w:numFmt w:val="bullet"/>
      <w:lvlText w:val=""/>
      <w:lvlJc w:val="left"/>
      <w:pPr>
        <w:tabs>
          <w:tab w:val="num" w:pos="0"/>
        </w:tabs>
        <w:ind w:left="1128" w:hanging="360"/>
      </w:pPr>
      <w:rPr>
        <w:rFonts w:ascii="Wingdings" w:hAnsi="Wingdings" w:cs="Wingdings"/>
        <w:b/>
      </w:rPr>
    </w:lvl>
  </w:abstractNum>
  <w:abstractNum w:abstractNumId="2">
    <w:nsid w:val="053027D7"/>
    <w:multiLevelType w:val="hybridMultilevel"/>
    <w:tmpl w:val="43C2E22A"/>
    <w:lvl w:ilvl="0" w:tplc="00000002">
      <w:start w:val="1"/>
      <w:numFmt w:val="bullet"/>
      <w:lvlText w:val=""/>
      <w:lvlJc w:val="left"/>
      <w:pPr>
        <w:ind w:left="1146" w:hanging="360"/>
      </w:pPr>
      <w:rPr>
        <w:rFonts w:ascii="Symbol" w:hAnsi="Symbol" w:cs="Symbol"/>
        <w:color w:val="auto"/>
        <w:spacing w:val="-1"/>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9221671"/>
    <w:multiLevelType w:val="hybridMultilevel"/>
    <w:tmpl w:val="F8BAB0E0"/>
    <w:lvl w:ilvl="0" w:tplc="0BBEC924">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CD3F7B"/>
    <w:multiLevelType w:val="hybridMultilevel"/>
    <w:tmpl w:val="B6BA98DA"/>
    <w:lvl w:ilvl="0" w:tplc="9372FF34">
      <w:start w:val="1"/>
      <w:numFmt w:val="bullet"/>
      <w:lvlText w:val=""/>
      <w:lvlJc w:val="left"/>
      <w:pPr>
        <w:ind w:left="1146" w:hanging="360"/>
      </w:pPr>
      <w:rPr>
        <w:rFonts w:ascii="Symbol" w:hAnsi="Symbol" w:hint="default"/>
        <w:sz w:val="28"/>
        <w:szCs w:val="28"/>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F2944AA"/>
    <w:multiLevelType w:val="hybridMultilevel"/>
    <w:tmpl w:val="006A1BE4"/>
    <w:lvl w:ilvl="0" w:tplc="47B44EB0">
      <w:start w:val="1"/>
      <w:numFmt w:val="bullet"/>
      <w:lvlText w:val=""/>
      <w:lvlJc w:val="left"/>
      <w:pPr>
        <w:ind w:left="1209" w:hanging="360"/>
      </w:pPr>
      <w:rPr>
        <w:rFonts w:ascii="Symbol" w:hAnsi="Symbol" w:hint="default"/>
        <w:sz w:val="24"/>
        <w:szCs w:val="24"/>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6">
    <w:nsid w:val="13E618BF"/>
    <w:multiLevelType w:val="hybridMultilevel"/>
    <w:tmpl w:val="74B49DC2"/>
    <w:lvl w:ilvl="0" w:tplc="B7409626">
      <w:start w:val="1"/>
      <w:numFmt w:val="bullet"/>
      <w:lvlText w:val=""/>
      <w:lvlJc w:val="left"/>
      <w:pPr>
        <w:ind w:left="1146" w:hanging="360"/>
      </w:pPr>
      <w:rPr>
        <w:rFonts w:ascii="Symbol" w:hAnsi="Symbol" w:hint="default"/>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737185"/>
    <w:multiLevelType w:val="hybridMultilevel"/>
    <w:tmpl w:val="A10A6BB6"/>
    <w:lvl w:ilvl="0" w:tplc="836434DA">
      <w:start w:val="1"/>
      <w:numFmt w:val="bullet"/>
      <w:lvlText w:val=""/>
      <w:lvlJc w:val="left"/>
      <w:pPr>
        <w:ind w:left="1146" w:hanging="360"/>
      </w:pPr>
      <w:rPr>
        <w:rFonts w:ascii="Symbol" w:hAnsi="Symbol" w:hint="default"/>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1B9E2574"/>
    <w:multiLevelType w:val="hybridMultilevel"/>
    <w:tmpl w:val="4546F72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CD24CFD"/>
    <w:multiLevelType w:val="hybridMultilevel"/>
    <w:tmpl w:val="05BEC8EE"/>
    <w:lvl w:ilvl="0" w:tplc="DC2E87CE">
      <w:start w:val="1"/>
      <w:numFmt w:val="bullet"/>
      <w:lvlText w:val=""/>
      <w:lvlJc w:val="left"/>
      <w:pPr>
        <w:ind w:left="1145" w:hanging="360"/>
      </w:pPr>
      <w:rPr>
        <w:rFonts w:ascii="Symbol" w:hAnsi="Symbol" w:hint="default"/>
        <w:color w:val="auto"/>
        <w:sz w:val="22"/>
        <w:szCs w:val="22"/>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242D0EE6"/>
    <w:multiLevelType w:val="hybridMultilevel"/>
    <w:tmpl w:val="CBD657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88B0AEB"/>
    <w:multiLevelType w:val="hybridMultilevel"/>
    <w:tmpl w:val="0FE8825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nsid w:val="2D1D7A2C"/>
    <w:multiLevelType w:val="hybridMultilevel"/>
    <w:tmpl w:val="51721714"/>
    <w:lvl w:ilvl="0" w:tplc="99CEEE42">
      <w:start w:val="1"/>
      <w:numFmt w:val="bullet"/>
      <w:lvlText w:val=""/>
      <w:lvlJc w:val="left"/>
      <w:pPr>
        <w:ind w:left="360" w:hanging="360"/>
      </w:pPr>
      <w:rPr>
        <w:rFonts w:ascii="Wingdings" w:hAnsi="Wingdings" w:hint="default"/>
        <w:b/>
        <w:color w:val="auto"/>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12D39C0"/>
    <w:multiLevelType w:val="hybridMultilevel"/>
    <w:tmpl w:val="A34E7CCC"/>
    <w:lvl w:ilvl="0" w:tplc="0FDE3C26">
      <w:start w:val="1"/>
      <w:numFmt w:val="bullet"/>
      <w:lvlText w:val=""/>
      <w:lvlJc w:val="left"/>
      <w:pPr>
        <w:ind w:left="1287" w:hanging="360"/>
      </w:pPr>
      <w:rPr>
        <w:rFonts w:ascii="Wingdings" w:hAnsi="Wingdings"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3631055"/>
    <w:multiLevelType w:val="hybridMultilevel"/>
    <w:tmpl w:val="0D70004C"/>
    <w:lvl w:ilvl="0" w:tplc="B644C888">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8A40B7"/>
    <w:multiLevelType w:val="hybridMultilevel"/>
    <w:tmpl w:val="6568C612"/>
    <w:lvl w:ilvl="0" w:tplc="492ED29A">
      <w:start w:val="1"/>
      <w:numFmt w:val="bullet"/>
      <w:lvlText w:val=""/>
      <w:lvlJc w:val="left"/>
      <w:pPr>
        <w:ind w:left="1146" w:hanging="360"/>
      </w:pPr>
      <w:rPr>
        <w:rFonts w:ascii="Symbol" w:hAnsi="Symbol" w:hint="default"/>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3D7C0D2C"/>
    <w:multiLevelType w:val="hybridMultilevel"/>
    <w:tmpl w:val="2C5C0CA4"/>
    <w:lvl w:ilvl="0" w:tplc="883614CA">
      <w:start w:val="1"/>
      <w:numFmt w:val="bullet"/>
      <w:lvlText w:val=""/>
      <w:lvlJc w:val="left"/>
      <w:pPr>
        <w:ind w:left="1358" w:hanging="360"/>
      </w:pPr>
      <w:rPr>
        <w:rFonts w:ascii="Symbol" w:hAnsi="Symbol" w:hint="default"/>
        <w:sz w:val="22"/>
        <w:szCs w:val="22"/>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17">
    <w:nsid w:val="3FD76AAD"/>
    <w:multiLevelType w:val="hybridMultilevel"/>
    <w:tmpl w:val="64684F0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8">
    <w:nsid w:val="40B347F8"/>
    <w:multiLevelType w:val="hybridMultilevel"/>
    <w:tmpl w:val="1700D4F0"/>
    <w:lvl w:ilvl="0" w:tplc="0419000B">
      <w:start w:val="1"/>
      <w:numFmt w:val="bullet"/>
      <w:lvlText w:val=""/>
      <w:lvlJc w:val="left"/>
      <w:pPr>
        <w:ind w:left="1287" w:hanging="360"/>
      </w:pPr>
      <w:rPr>
        <w:rFonts w:ascii="Wingdings" w:hAnsi="Wingdings"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72471AD"/>
    <w:multiLevelType w:val="hybridMultilevel"/>
    <w:tmpl w:val="43C8A2C8"/>
    <w:lvl w:ilvl="0" w:tplc="6D804C28">
      <w:start w:val="1"/>
      <w:numFmt w:val="bullet"/>
      <w:lvlText w:val=""/>
      <w:lvlJc w:val="left"/>
      <w:pPr>
        <w:ind w:left="1277" w:hanging="360"/>
      </w:pPr>
      <w:rPr>
        <w:rFonts w:ascii="Symbol" w:hAnsi="Symbol" w:hint="default"/>
        <w:sz w:val="24"/>
        <w:szCs w:val="24"/>
      </w:rPr>
    </w:lvl>
    <w:lvl w:ilvl="1" w:tplc="04190003" w:tentative="1">
      <w:start w:val="1"/>
      <w:numFmt w:val="bullet"/>
      <w:lvlText w:val="o"/>
      <w:lvlJc w:val="left"/>
      <w:pPr>
        <w:ind w:left="1997" w:hanging="360"/>
      </w:pPr>
      <w:rPr>
        <w:rFonts w:ascii="Courier New" w:hAnsi="Courier New" w:cs="Courier New" w:hint="default"/>
      </w:rPr>
    </w:lvl>
    <w:lvl w:ilvl="2" w:tplc="04190005" w:tentative="1">
      <w:start w:val="1"/>
      <w:numFmt w:val="bullet"/>
      <w:lvlText w:val=""/>
      <w:lvlJc w:val="left"/>
      <w:pPr>
        <w:ind w:left="2717" w:hanging="360"/>
      </w:pPr>
      <w:rPr>
        <w:rFonts w:ascii="Wingdings" w:hAnsi="Wingdings" w:hint="default"/>
      </w:rPr>
    </w:lvl>
    <w:lvl w:ilvl="3" w:tplc="04190001" w:tentative="1">
      <w:start w:val="1"/>
      <w:numFmt w:val="bullet"/>
      <w:lvlText w:val=""/>
      <w:lvlJc w:val="left"/>
      <w:pPr>
        <w:ind w:left="3437" w:hanging="360"/>
      </w:pPr>
      <w:rPr>
        <w:rFonts w:ascii="Symbol" w:hAnsi="Symbol" w:hint="default"/>
      </w:rPr>
    </w:lvl>
    <w:lvl w:ilvl="4" w:tplc="04190003" w:tentative="1">
      <w:start w:val="1"/>
      <w:numFmt w:val="bullet"/>
      <w:lvlText w:val="o"/>
      <w:lvlJc w:val="left"/>
      <w:pPr>
        <w:ind w:left="4157" w:hanging="360"/>
      </w:pPr>
      <w:rPr>
        <w:rFonts w:ascii="Courier New" w:hAnsi="Courier New" w:cs="Courier New" w:hint="default"/>
      </w:rPr>
    </w:lvl>
    <w:lvl w:ilvl="5" w:tplc="04190005" w:tentative="1">
      <w:start w:val="1"/>
      <w:numFmt w:val="bullet"/>
      <w:lvlText w:val=""/>
      <w:lvlJc w:val="left"/>
      <w:pPr>
        <w:ind w:left="4877" w:hanging="360"/>
      </w:pPr>
      <w:rPr>
        <w:rFonts w:ascii="Wingdings" w:hAnsi="Wingdings" w:hint="default"/>
      </w:rPr>
    </w:lvl>
    <w:lvl w:ilvl="6" w:tplc="04190001" w:tentative="1">
      <w:start w:val="1"/>
      <w:numFmt w:val="bullet"/>
      <w:lvlText w:val=""/>
      <w:lvlJc w:val="left"/>
      <w:pPr>
        <w:ind w:left="5597" w:hanging="360"/>
      </w:pPr>
      <w:rPr>
        <w:rFonts w:ascii="Symbol" w:hAnsi="Symbol" w:hint="default"/>
      </w:rPr>
    </w:lvl>
    <w:lvl w:ilvl="7" w:tplc="04190003" w:tentative="1">
      <w:start w:val="1"/>
      <w:numFmt w:val="bullet"/>
      <w:lvlText w:val="o"/>
      <w:lvlJc w:val="left"/>
      <w:pPr>
        <w:ind w:left="6317" w:hanging="360"/>
      </w:pPr>
      <w:rPr>
        <w:rFonts w:ascii="Courier New" w:hAnsi="Courier New" w:cs="Courier New" w:hint="default"/>
      </w:rPr>
    </w:lvl>
    <w:lvl w:ilvl="8" w:tplc="04190005" w:tentative="1">
      <w:start w:val="1"/>
      <w:numFmt w:val="bullet"/>
      <w:lvlText w:val=""/>
      <w:lvlJc w:val="left"/>
      <w:pPr>
        <w:ind w:left="7037" w:hanging="360"/>
      </w:pPr>
      <w:rPr>
        <w:rFonts w:ascii="Wingdings" w:hAnsi="Wingdings" w:hint="default"/>
      </w:rPr>
    </w:lvl>
  </w:abstractNum>
  <w:abstractNum w:abstractNumId="20">
    <w:nsid w:val="4A7A0100"/>
    <w:multiLevelType w:val="multilevel"/>
    <w:tmpl w:val="3E38401C"/>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0C52A3"/>
    <w:multiLevelType w:val="hybridMultilevel"/>
    <w:tmpl w:val="13642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B20771"/>
    <w:multiLevelType w:val="hybridMultilevel"/>
    <w:tmpl w:val="EC0405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1DC0638"/>
    <w:multiLevelType w:val="hybridMultilevel"/>
    <w:tmpl w:val="1960D5B6"/>
    <w:lvl w:ilvl="0" w:tplc="1F44E0A4">
      <w:start w:val="1"/>
      <w:numFmt w:val="bullet"/>
      <w:lvlText w:val=""/>
      <w:lvlJc w:val="left"/>
      <w:pPr>
        <w:ind w:left="1146" w:hanging="360"/>
      </w:pPr>
      <w:rPr>
        <w:rFonts w:ascii="Symbol" w:hAnsi="Symbol" w:hint="default"/>
        <w:b/>
        <w:sz w:val="20"/>
        <w:szCs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6233021A"/>
    <w:multiLevelType w:val="multilevel"/>
    <w:tmpl w:val="9B8E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2720BC0"/>
    <w:multiLevelType w:val="hybridMultilevel"/>
    <w:tmpl w:val="3AC06BAA"/>
    <w:lvl w:ilvl="0" w:tplc="FAF8BC96">
      <w:start w:val="1"/>
      <w:numFmt w:val="bullet"/>
      <w:lvlText w:val=""/>
      <w:lvlJc w:val="left"/>
      <w:pPr>
        <w:ind w:left="1287" w:hanging="360"/>
      </w:pPr>
      <w:rPr>
        <w:rFonts w:ascii="Symbol" w:hAnsi="Symbol"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2C85021"/>
    <w:multiLevelType w:val="hybridMultilevel"/>
    <w:tmpl w:val="6C7A12D2"/>
    <w:lvl w:ilvl="0" w:tplc="416E80BC">
      <w:start w:val="1"/>
      <w:numFmt w:val="bullet"/>
      <w:lvlText w:val=""/>
      <w:lvlJc w:val="left"/>
      <w:pPr>
        <w:ind w:left="1209" w:hanging="360"/>
      </w:pPr>
      <w:rPr>
        <w:rFonts w:ascii="Symbol" w:hAnsi="Symbol" w:hint="default"/>
        <w:sz w:val="24"/>
        <w:szCs w:val="24"/>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27">
    <w:nsid w:val="674167D5"/>
    <w:multiLevelType w:val="hybridMultilevel"/>
    <w:tmpl w:val="67766FB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nsid w:val="6DA63AA4"/>
    <w:multiLevelType w:val="multilevel"/>
    <w:tmpl w:val="C5E458A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251A88"/>
    <w:multiLevelType w:val="hybridMultilevel"/>
    <w:tmpl w:val="0DBAE128"/>
    <w:lvl w:ilvl="0" w:tplc="4B4293E6">
      <w:start w:val="1"/>
      <w:numFmt w:val="bullet"/>
      <w:lvlText w:val=""/>
      <w:lvlJc w:val="left"/>
      <w:pPr>
        <w:ind w:left="1195" w:hanging="360"/>
      </w:pPr>
      <w:rPr>
        <w:rFonts w:ascii="Symbol" w:hAnsi="Symbol" w:hint="default"/>
        <w:sz w:val="28"/>
        <w:szCs w:val="28"/>
      </w:rPr>
    </w:lvl>
    <w:lvl w:ilvl="1" w:tplc="04190003" w:tentative="1">
      <w:start w:val="1"/>
      <w:numFmt w:val="bullet"/>
      <w:lvlText w:val="o"/>
      <w:lvlJc w:val="left"/>
      <w:pPr>
        <w:ind w:left="1915" w:hanging="360"/>
      </w:pPr>
      <w:rPr>
        <w:rFonts w:ascii="Courier New" w:hAnsi="Courier New" w:cs="Courier New" w:hint="default"/>
      </w:rPr>
    </w:lvl>
    <w:lvl w:ilvl="2" w:tplc="04190005" w:tentative="1">
      <w:start w:val="1"/>
      <w:numFmt w:val="bullet"/>
      <w:lvlText w:val=""/>
      <w:lvlJc w:val="left"/>
      <w:pPr>
        <w:ind w:left="2635" w:hanging="360"/>
      </w:pPr>
      <w:rPr>
        <w:rFonts w:ascii="Wingdings" w:hAnsi="Wingdings" w:hint="default"/>
      </w:rPr>
    </w:lvl>
    <w:lvl w:ilvl="3" w:tplc="04190001" w:tentative="1">
      <w:start w:val="1"/>
      <w:numFmt w:val="bullet"/>
      <w:lvlText w:val=""/>
      <w:lvlJc w:val="left"/>
      <w:pPr>
        <w:ind w:left="3355" w:hanging="360"/>
      </w:pPr>
      <w:rPr>
        <w:rFonts w:ascii="Symbol" w:hAnsi="Symbol" w:hint="default"/>
      </w:rPr>
    </w:lvl>
    <w:lvl w:ilvl="4" w:tplc="04190003" w:tentative="1">
      <w:start w:val="1"/>
      <w:numFmt w:val="bullet"/>
      <w:lvlText w:val="o"/>
      <w:lvlJc w:val="left"/>
      <w:pPr>
        <w:ind w:left="4075" w:hanging="360"/>
      </w:pPr>
      <w:rPr>
        <w:rFonts w:ascii="Courier New" w:hAnsi="Courier New" w:cs="Courier New" w:hint="default"/>
      </w:rPr>
    </w:lvl>
    <w:lvl w:ilvl="5" w:tplc="04190005" w:tentative="1">
      <w:start w:val="1"/>
      <w:numFmt w:val="bullet"/>
      <w:lvlText w:val=""/>
      <w:lvlJc w:val="left"/>
      <w:pPr>
        <w:ind w:left="4795" w:hanging="360"/>
      </w:pPr>
      <w:rPr>
        <w:rFonts w:ascii="Wingdings" w:hAnsi="Wingdings" w:hint="default"/>
      </w:rPr>
    </w:lvl>
    <w:lvl w:ilvl="6" w:tplc="04190001" w:tentative="1">
      <w:start w:val="1"/>
      <w:numFmt w:val="bullet"/>
      <w:lvlText w:val=""/>
      <w:lvlJc w:val="left"/>
      <w:pPr>
        <w:ind w:left="5515" w:hanging="360"/>
      </w:pPr>
      <w:rPr>
        <w:rFonts w:ascii="Symbol" w:hAnsi="Symbol" w:hint="default"/>
      </w:rPr>
    </w:lvl>
    <w:lvl w:ilvl="7" w:tplc="04190003" w:tentative="1">
      <w:start w:val="1"/>
      <w:numFmt w:val="bullet"/>
      <w:lvlText w:val="o"/>
      <w:lvlJc w:val="left"/>
      <w:pPr>
        <w:ind w:left="6235" w:hanging="360"/>
      </w:pPr>
      <w:rPr>
        <w:rFonts w:ascii="Courier New" w:hAnsi="Courier New" w:cs="Courier New" w:hint="default"/>
      </w:rPr>
    </w:lvl>
    <w:lvl w:ilvl="8" w:tplc="04190005" w:tentative="1">
      <w:start w:val="1"/>
      <w:numFmt w:val="bullet"/>
      <w:lvlText w:val=""/>
      <w:lvlJc w:val="left"/>
      <w:pPr>
        <w:ind w:left="6955" w:hanging="360"/>
      </w:pPr>
      <w:rPr>
        <w:rFonts w:ascii="Wingdings" w:hAnsi="Wingdings" w:hint="default"/>
      </w:rPr>
    </w:lvl>
  </w:abstractNum>
  <w:abstractNum w:abstractNumId="30">
    <w:nsid w:val="707B5BA6"/>
    <w:multiLevelType w:val="hybridMultilevel"/>
    <w:tmpl w:val="B1442496"/>
    <w:lvl w:ilvl="0" w:tplc="0419000B">
      <w:start w:val="1"/>
      <w:numFmt w:val="bullet"/>
      <w:lvlText w:val=""/>
      <w:lvlJc w:val="left"/>
      <w:pPr>
        <w:ind w:left="1345" w:hanging="360"/>
      </w:pPr>
      <w:rPr>
        <w:rFonts w:ascii="Wingdings" w:hAnsi="Wingdings"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31">
    <w:nsid w:val="7A68385E"/>
    <w:multiLevelType w:val="hybridMultilevel"/>
    <w:tmpl w:val="44EA25B2"/>
    <w:lvl w:ilvl="0" w:tplc="6E0ADED8">
      <w:start w:val="1"/>
      <w:numFmt w:val="bullet"/>
      <w:lvlText w:val=""/>
      <w:lvlJc w:val="left"/>
      <w:pPr>
        <w:ind w:left="720" w:hanging="360"/>
      </w:pPr>
      <w:rPr>
        <w:rFonts w:ascii="Symbol" w:hAnsi="Symbol" w:hint="default"/>
        <w:b/>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841BEB"/>
    <w:multiLevelType w:val="hybridMultilevel"/>
    <w:tmpl w:val="B56EAA1E"/>
    <w:lvl w:ilvl="0" w:tplc="D042019A">
      <w:start w:val="1"/>
      <w:numFmt w:val="bullet"/>
      <w:lvlText w:val=""/>
      <w:lvlJc w:val="left"/>
      <w:pPr>
        <w:ind w:left="1287" w:hanging="360"/>
      </w:pPr>
      <w:rPr>
        <w:rFonts w:ascii="Symbol" w:hAnsi="Symbol"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18"/>
  </w:num>
  <w:num w:numId="3">
    <w:abstractNumId w:val="14"/>
  </w:num>
  <w:num w:numId="4">
    <w:abstractNumId w:val="25"/>
  </w:num>
  <w:num w:numId="5">
    <w:abstractNumId w:val="30"/>
  </w:num>
  <w:num w:numId="6">
    <w:abstractNumId w:val="9"/>
  </w:num>
  <w:num w:numId="7">
    <w:abstractNumId w:val="0"/>
  </w:num>
  <w:num w:numId="8">
    <w:abstractNumId w:val="22"/>
  </w:num>
  <w:num w:numId="9">
    <w:abstractNumId w:val="8"/>
  </w:num>
  <w:num w:numId="10">
    <w:abstractNumId w:val="3"/>
  </w:num>
  <w:num w:numId="11">
    <w:abstractNumId w:val="15"/>
  </w:num>
  <w:num w:numId="12">
    <w:abstractNumId w:val="23"/>
  </w:num>
  <w:num w:numId="13">
    <w:abstractNumId w:val="13"/>
  </w:num>
  <w:num w:numId="14">
    <w:abstractNumId w:val="32"/>
  </w:num>
  <w:num w:numId="15">
    <w:abstractNumId w:val="29"/>
  </w:num>
  <w:num w:numId="16">
    <w:abstractNumId w:val="19"/>
  </w:num>
  <w:num w:numId="17">
    <w:abstractNumId w:val="27"/>
  </w:num>
  <w:num w:numId="18">
    <w:abstractNumId w:val="5"/>
  </w:num>
  <w:num w:numId="19">
    <w:abstractNumId w:val="26"/>
  </w:num>
  <w:num w:numId="20">
    <w:abstractNumId w:val="11"/>
  </w:num>
  <w:num w:numId="21">
    <w:abstractNumId w:val="6"/>
  </w:num>
  <w:num w:numId="22">
    <w:abstractNumId w:val="7"/>
  </w:num>
  <w:num w:numId="23">
    <w:abstractNumId w:val="4"/>
  </w:num>
  <w:num w:numId="24">
    <w:abstractNumId w:val="17"/>
  </w:num>
  <w:num w:numId="25">
    <w:abstractNumId w:val="31"/>
  </w:num>
  <w:num w:numId="26">
    <w:abstractNumId w:val="12"/>
  </w:num>
  <w:num w:numId="27">
    <w:abstractNumId w:val="2"/>
  </w:num>
  <w:num w:numId="28">
    <w:abstractNumId w:val="16"/>
  </w:num>
  <w:num w:numId="29">
    <w:abstractNumId w:val="20"/>
  </w:num>
  <w:num w:numId="30">
    <w:abstractNumId w:val="24"/>
  </w:num>
  <w:num w:numId="31">
    <w:abstractNumId w:val="28"/>
    <w:lvlOverride w:ilvl="0">
      <w:startOverride w:val="1"/>
    </w:lvlOverride>
  </w:num>
  <w:num w:numId="32">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EE"/>
    <w:rsid w:val="0000027A"/>
    <w:rsid w:val="00000D71"/>
    <w:rsid w:val="00002284"/>
    <w:rsid w:val="00002985"/>
    <w:rsid w:val="0000350A"/>
    <w:rsid w:val="0000355D"/>
    <w:rsid w:val="0000416E"/>
    <w:rsid w:val="000043CF"/>
    <w:rsid w:val="00005948"/>
    <w:rsid w:val="00005EEB"/>
    <w:rsid w:val="00006E13"/>
    <w:rsid w:val="0000733B"/>
    <w:rsid w:val="00007801"/>
    <w:rsid w:val="0000793D"/>
    <w:rsid w:val="00010228"/>
    <w:rsid w:val="000102E3"/>
    <w:rsid w:val="00010A2B"/>
    <w:rsid w:val="0001113A"/>
    <w:rsid w:val="00012097"/>
    <w:rsid w:val="000132A2"/>
    <w:rsid w:val="00013300"/>
    <w:rsid w:val="000136F9"/>
    <w:rsid w:val="0001440E"/>
    <w:rsid w:val="00014546"/>
    <w:rsid w:val="00015F60"/>
    <w:rsid w:val="00017437"/>
    <w:rsid w:val="00020268"/>
    <w:rsid w:val="00020681"/>
    <w:rsid w:val="000216E9"/>
    <w:rsid w:val="0002328E"/>
    <w:rsid w:val="00023351"/>
    <w:rsid w:val="00024284"/>
    <w:rsid w:val="00024B6A"/>
    <w:rsid w:val="000256CD"/>
    <w:rsid w:val="00027432"/>
    <w:rsid w:val="0003068B"/>
    <w:rsid w:val="00030F43"/>
    <w:rsid w:val="0003258A"/>
    <w:rsid w:val="000326EA"/>
    <w:rsid w:val="0003275D"/>
    <w:rsid w:val="00033EF0"/>
    <w:rsid w:val="00034E07"/>
    <w:rsid w:val="000358AC"/>
    <w:rsid w:val="00036049"/>
    <w:rsid w:val="0003610B"/>
    <w:rsid w:val="000371C3"/>
    <w:rsid w:val="00040DF2"/>
    <w:rsid w:val="00042D17"/>
    <w:rsid w:val="000430E8"/>
    <w:rsid w:val="000433E0"/>
    <w:rsid w:val="000451B5"/>
    <w:rsid w:val="00045319"/>
    <w:rsid w:val="000454B7"/>
    <w:rsid w:val="000460CA"/>
    <w:rsid w:val="00050D5D"/>
    <w:rsid w:val="0005131D"/>
    <w:rsid w:val="00052D30"/>
    <w:rsid w:val="00053BE0"/>
    <w:rsid w:val="00053F1D"/>
    <w:rsid w:val="0005561D"/>
    <w:rsid w:val="00055820"/>
    <w:rsid w:val="0005766A"/>
    <w:rsid w:val="00060D77"/>
    <w:rsid w:val="00061888"/>
    <w:rsid w:val="00062CCA"/>
    <w:rsid w:val="00063696"/>
    <w:rsid w:val="000644B8"/>
    <w:rsid w:val="00064653"/>
    <w:rsid w:val="00064735"/>
    <w:rsid w:val="0006551F"/>
    <w:rsid w:val="000656E6"/>
    <w:rsid w:val="000659C3"/>
    <w:rsid w:val="000661A8"/>
    <w:rsid w:val="00066597"/>
    <w:rsid w:val="000673F8"/>
    <w:rsid w:val="00067907"/>
    <w:rsid w:val="0007176E"/>
    <w:rsid w:val="00071A0A"/>
    <w:rsid w:val="00071C53"/>
    <w:rsid w:val="000721D7"/>
    <w:rsid w:val="0007235A"/>
    <w:rsid w:val="00072B1A"/>
    <w:rsid w:val="00072C07"/>
    <w:rsid w:val="000750AD"/>
    <w:rsid w:val="000764D6"/>
    <w:rsid w:val="000765FA"/>
    <w:rsid w:val="000803A7"/>
    <w:rsid w:val="00082F3B"/>
    <w:rsid w:val="00083194"/>
    <w:rsid w:val="0008379C"/>
    <w:rsid w:val="00083EC2"/>
    <w:rsid w:val="00084FD6"/>
    <w:rsid w:val="00085285"/>
    <w:rsid w:val="00086C86"/>
    <w:rsid w:val="00090995"/>
    <w:rsid w:val="00091DAB"/>
    <w:rsid w:val="0009396D"/>
    <w:rsid w:val="00093C34"/>
    <w:rsid w:val="0009416F"/>
    <w:rsid w:val="00094452"/>
    <w:rsid w:val="000945E1"/>
    <w:rsid w:val="000956A9"/>
    <w:rsid w:val="00096B34"/>
    <w:rsid w:val="000A01EC"/>
    <w:rsid w:val="000A1040"/>
    <w:rsid w:val="000A1533"/>
    <w:rsid w:val="000A3127"/>
    <w:rsid w:val="000A38A0"/>
    <w:rsid w:val="000A4FE7"/>
    <w:rsid w:val="000A563A"/>
    <w:rsid w:val="000A6B2C"/>
    <w:rsid w:val="000A6B44"/>
    <w:rsid w:val="000A762B"/>
    <w:rsid w:val="000A769D"/>
    <w:rsid w:val="000B0F94"/>
    <w:rsid w:val="000B1153"/>
    <w:rsid w:val="000B133F"/>
    <w:rsid w:val="000B1716"/>
    <w:rsid w:val="000B1CD7"/>
    <w:rsid w:val="000B22ED"/>
    <w:rsid w:val="000B4E36"/>
    <w:rsid w:val="000B5D4F"/>
    <w:rsid w:val="000B7341"/>
    <w:rsid w:val="000B75F7"/>
    <w:rsid w:val="000B7CEB"/>
    <w:rsid w:val="000C0410"/>
    <w:rsid w:val="000C11AE"/>
    <w:rsid w:val="000C1CF3"/>
    <w:rsid w:val="000C1D08"/>
    <w:rsid w:val="000C2544"/>
    <w:rsid w:val="000C2F14"/>
    <w:rsid w:val="000C314B"/>
    <w:rsid w:val="000C4211"/>
    <w:rsid w:val="000C529A"/>
    <w:rsid w:val="000C55F9"/>
    <w:rsid w:val="000C57FD"/>
    <w:rsid w:val="000C7C5A"/>
    <w:rsid w:val="000D01C1"/>
    <w:rsid w:val="000D0E51"/>
    <w:rsid w:val="000D42A2"/>
    <w:rsid w:val="000D546E"/>
    <w:rsid w:val="000D70F3"/>
    <w:rsid w:val="000D7B92"/>
    <w:rsid w:val="000E0505"/>
    <w:rsid w:val="000E40C9"/>
    <w:rsid w:val="000E47AC"/>
    <w:rsid w:val="000E5628"/>
    <w:rsid w:val="000E580D"/>
    <w:rsid w:val="000E76AB"/>
    <w:rsid w:val="000F09E0"/>
    <w:rsid w:val="000F1BEC"/>
    <w:rsid w:val="000F2068"/>
    <w:rsid w:val="000F3FDC"/>
    <w:rsid w:val="000F48DD"/>
    <w:rsid w:val="000F4A30"/>
    <w:rsid w:val="000F5F42"/>
    <w:rsid w:val="000F67CC"/>
    <w:rsid w:val="000F752F"/>
    <w:rsid w:val="000F7CE3"/>
    <w:rsid w:val="00100699"/>
    <w:rsid w:val="001009B2"/>
    <w:rsid w:val="00101043"/>
    <w:rsid w:val="00102833"/>
    <w:rsid w:val="00102A81"/>
    <w:rsid w:val="00103236"/>
    <w:rsid w:val="00104D21"/>
    <w:rsid w:val="0010501D"/>
    <w:rsid w:val="00105218"/>
    <w:rsid w:val="00105DBC"/>
    <w:rsid w:val="00106C48"/>
    <w:rsid w:val="00110EF5"/>
    <w:rsid w:val="00112A3A"/>
    <w:rsid w:val="00112BFC"/>
    <w:rsid w:val="001133DD"/>
    <w:rsid w:val="0011456D"/>
    <w:rsid w:val="00114A1D"/>
    <w:rsid w:val="00114AA0"/>
    <w:rsid w:val="00114DF9"/>
    <w:rsid w:val="00115578"/>
    <w:rsid w:val="001163B7"/>
    <w:rsid w:val="00116E3F"/>
    <w:rsid w:val="0011732A"/>
    <w:rsid w:val="00117E97"/>
    <w:rsid w:val="00120637"/>
    <w:rsid w:val="00121850"/>
    <w:rsid w:val="00122A1E"/>
    <w:rsid w:val="00122ADB"/>
    <w:rsid w:val="00122EA8"/>
    <w:rsid w:val="001231D3"/>
    <w:rsid w:val="0012358E"/>
    <w:rsid w:val="001239E4"/>
    <w:rsid w:val="00123CDD"/>
    <w:rsid w:val="00125874"/>
    <w:rsid w:val="00126254"/>
    <w:rsid w:val="00127283"/>
    <w:rsid w:val="001302DC"/>
    <w:rsid w:val="00130AC1"/>
    <w:rsid w:val="00130EBB"/>
    <w:rsid w:val="0013152E"/>
    <w:rsid w:val="00131690"/>
    <w:rsid w:val="00131969"/>
    <w:rsid w:val="001324E0"/>
    <w:rsid w:val="00133EF8"/>
    <w:rsid w:val="00133FA9"/>
    <w:rsid w:val="00134CA1"/>
    <w:rsid w:val="001358F8"/>
    <w:rsid w:val="00135A91"/>
    <w:rsid w:val="001364A2"/>
    <w:rsid w:val="00136941"/>
    <w:rsid w:val="00136C51"/>
    <w:rsid w:val="00137751"/>
    <w:rsid w:val="00137EE4"/>
    <w:rsid w:val="00140708"/>
    <w:rsid w:val="00140ACD"/>
    <w:rsid w:val="0014496D"/>
    <w:rsid w:val="00147EEB"/>
    <w:rsid w:val="00150147"/>
    <w:rsid w:val="00150960"/>
    <w:rsid w:val="00151709"/>
    <w:rsid w:val="001521BE"/>
    <w:rsid w:val="001532B2"/>
    <w:rsid w:val="00156131"/>
    <w:rsid w:val="001561A4"/>
    <w:rsid w:val="001561C7"/>
    <w:rsid w:val="001563FF"/>
    <w:rsid w:val="00156A54"/>
    <w:rsid w:val="00156D70"/>
    <w:rsid w:val="001606D1"/>
    <w:rsid w:val="00161630"/>
    <w:rsid w:val="00161BD7"/>
    <w:rsid w:val="00161F86"/>
    <w:rsid w:val="001625CD"/>
    <w:rsid w:val="0016374A"/>
    <w:rsid w:val="00163F8A"/>
    <w:rsid w:val="0016437A"/>
    <w:rsid w:val="00165033"/>
    <w:rsid w:val="0016504A"/>
    <w:rsid w:val="00165163"/>
    <w:rsid w:val="00165515"/>
    <w:rsid w:val="00166736"/>
    <w:rsid w:val="00166888"/>
    <w:rsid w:val="001668AC"/>
    <w:rsid w:val="00167188"/>
    <w:rsid w:val="00167DE2"/>
    <w:rsid w:val="00170DD8"/>
    <w:rsid w:val="00171677"/>
    <w:rsid w:val="00171CB6"/>
    <w:rsid w:val="00172592"/>
    <w:rsid w:val="00173C22"/>
    <w:rsid w:val="001749D8"/>
    <w:rsid w:val="00176389"/>
    <w:rsid w:val="001772A7"/>
    <w:rsid w:val="001817DE"/>
    <w:rsid w:val="00182B5D"/>
    <w:rsid w:val="00182F41"/>
    <w:rsid w:val="00183B37"/>
    <w:rsid w:val="00184203"/>
    <w:rsid w:val="00184CEB"/>
    <w:rsid w:val="001850EB"/>
    <w:rsid w:val="00186AD3"/>
    <w:rsid w:val="001872D1"/>
    <w:rsid w:val="00190301"/>
    <w:rsid w:val="00190D26"/>
    <w:rsid w:val="00191C0A"/>
    <w:rsid w:val="00194E48"/>
    <w:rsid w:val="0019609C"/>
    <w:rsid w:val="001A048D"/>
    <w:rsid w:val="001A062B"/>
    <w:rsid w:val="001A09AB"/>
    <w:rsid w:val="001A0A3E"/>
    <w:rsid w:val="001A122B"/>
    <w:rsid w:val="001A143C"/>
    <w:rsid w:val="001A1ABA"/>
    <w:rsid w:val="001A1DBA"/>
    <w:rsid w:val="001A1DED"/>
    <w:rsid w:val="001A27E6"/>
    <w:rsid w:val="001A2FA3"/>
    <w:rsid w:val="001A3BE8"/>
    <w:rsid w:val="001A3FEB"/>
    <w:rsid w:val="001A40C4"/>
    <w:rsid w:val="001A4135"/>
    <w:rsid w:val="001A4DD0"/>
    <w:rsid w:val="001A54DD"/>
    <w:rsid w:val="001A5B7E"/>
    <w:rsid w:val="001A604D"/>
    <w:rsid w:val="001A60BB"/>
    <w:rsid w:val="001A60F9"/>
    <w:rsid w:val="001A6210"/>
    <w:rsid w:val="001A7700"/>
    <w:rsid w:val="001A7EAF"/>
    <w:rsid w:val="001B2B72"/>
    <w:rsid w:val="001B3C3A"/>
    <w:rsid w:val="001B4ADB"/>
    <w:rsid w:val="001B5856"/>
    <w:rsid w:val="001B7125"/>
    <w:rsid w:val="001C1D70"/>
    <w:rsid w:val="001C2E62"/>
    <w:rsid w:val="001C2E66"/>
    <w:rsid w:val="001C3FE3"/>
    <w:rsid w:val="001C4256"/>
    <w:rsid w:val="001C695B"/>
    <w:rsid w:val="001C69BE"/>
    <w:rsid w:val="001D23A2"/>
    <w:rsid w:val="001D318B"/>
    <w:rsid w:val="001D3672"/>
    <w:rsid w:val="001D530E"/>
    <w:rsid w:val="001D6088"/>
    <w:rsid w:val="001D6881"/>
    <w:rsid w:val="001D6D17"/>
    <w:rsid w:val="001D6DAE"/>
    <w:rsid w:val="001D71E9"/>
    <w:rsid w:val="001D789F"/>
    <w:rsid w:val="001E000D"/>
    <w:rsid w:val="001E118A"/>
    <w:rsid w:val="001E12BC"/>
    <w:rsid w:val="001E2758"/>
    <w:rsid w:val="001E346D"/>
    <w:rsid w:val="001E4338"/>
    <w:rsid w:val="001E4C94"/>
    <w:rsid w:val="001E5AA0"/>
    <w:rsid w:val="001E61CC"/>
    <w:rsid w:val="001E6953"/>
    <w:rsid w:val="001E719F"/>
    <w:rsid w:val="001E73C5"/>
    <w:rsid w:val="001E7497"/>
    <w:rsid w:val="001E7727"/>
    <w:rsid w:val="001E7C7B"/>
    <w:rsid w:val="001E7C8F"/>
    <w:rsid w:val="001F1310"/>
    <w:rsid w:val="001F1661"/>
    <w:rsid w:val="001F2268"/>
    <w:rsid w:val="001F30F8"/>
    <w:rsid w:val="001F4553"/>
    <w:rsid w:val="001F5869"/>
    <w:rsid w:val="001F6C10"/>
    <w:rsid w:val="001F70E7"/>
    <w:rsid w:val="001F7DBC"/>
    <w:rsid w:val="002004A5"/>
    <w:rsid w:val="00202052"/>
    <w:rsid w:val="00202DEE"/>
    <w:rsid w:val="00203B03"/>
    <w:rsid w:val="00203EDF"/>
    <w:rsid w:val="00207B08"/>
    <w:rsid w:val="00207F42"/>
    <w:rsid w:val="002100DF"/>
    <w:rsid w:val="00210663"/>
    <w:rsid w:val="0021212B"/>
    <w:rsid w:val="002125C9"/>
    <w:rsid w:val="00212AD0"/>
    <w:rsid w:val="00213FE5"/>
    <w:rsid w:val="002153C9"/>
    <w:rsid w:val="0021549F"/>
    <w:rsid w:val="002169E3"/>
    <w:rsid w:val="00217359"/>
    <w:rsid w:val="002179C6"/>
    <w:rsid w:val="00220337"/>
    <w:rsid w:val="00220470"/>
    <w:rsid w:val="002211EF"/>
    <w:rsid w:val="00222D6C"/>
    <w:rsid w:val="002230D1"/>
    <w:rsid w:val="00223812"/>
    <w:rsid w:val="00224174"/>
    <w:rsid w:val="00225155"/>
    <w:rsid w:val="00225262"/>
    <w:rsid w:val="002255BB"/>
    <w:rsid w:val="00225764"/>
    <w:rsid w:val="00225EEF"/>
    <w:rsid w:val="00226A8F"/>
    <w:rsid w:val="00226E5C"/>
    <w:rsid w:val="00226ED2"/>
    <w:rsid w:val="00226F8E"/>
    <w:rsid w:val="00231384"/>
    <w:rsid w:val="00231A59"/>
    <w:rsid w:val="0023273D"/>
    <w:rsid w:val="0023421E"/>
    <w:rsid w:val="00234501"/>
    <w:rsid w:val="00235303"/>
    <w:rsid w:val="00235511"/>
    <w:rsid w:val="002357E0"/>
    <w:rsid w:val="00240094"/>
    <w:rsid w:val="00240586"/>
    <w:rsid w:val="0024168E"/>
    <w:rsid w:val="00241DB7"/>
    <w:rsid w:val="00241FB9"/>
    <w:rsid w:val="00242068"/>
    <w:rsid w:val="00242D6E"/>
    <w:rsid w:val="00245013"/>
    <w:rsid w:val="00247068"/>
    <w:rsid w:val="00250E8D"/>
    <w:rsid w:val="00250E8E"/>
    <w:rsid w:val="002514C4"/>
    <w:rsid w:val="00252572"/>
    <w:rsid w:val="00253BDB"/>
    <w:rsid w:val="002540FF"/>
    <w:rsid w:val="0025415E"/>
    <w:rsid w:val="00254869"/>
    <w:rsid w:val="002555E2"/>
    <w:rsid w:val="00255F11"/>
    <w:rsid w:val="00255FAF"/>
    <w:rsid w:val="0025718C"/>
    <w:rsid w:val="002575E1"/>
    <w:rsid w:val="00261EDE"/>
    <w:rsid w:val="002620B2"/>
    <w:rsid w:val="00262121"/>
    <w:rsid w:val="00263BD3"/>
    <w:rsid w:val="00265198"/>
    <w:rsid w:val="0026546A"/>
    <w:rsid w:val="00266517"/>
    <w:rsid w:val="002710CA"/>
    <w:rsid w:val="0027183B"/>
    <w:rsid w:val="002720C9"/>
    <w:rsid w:val="0027296C"/>
    <w:rsid w:val="00273D9B"/>
    <w:rsid w:val="002741E2"/>
    <w:rsid w:val="00274606"/>
    <w:rsid w:val="00274A92"/>
    <w:rsid w:val="00275C33"/>
    <w:rsid w:val="0027691F"/>
    <w:rsid w:val="002779AF"/>
    <w:rsid w:val="00280D03"/>
    <w:rsid w:val="00280E6E"/>
    <w:rsid w:val="00281373"/>
    <w:rsid w:val="00282276"/>
    <w:rsid w:val="00283A47"/>
    <w:rsid w:val="00283B6C"/>
    <w:rsid w:val="00284E4C"/>
    <w:rsid w:val="0028528C"/>
    <w:rsid w:val="00286830"/>
    <w:rsid w:val="00286BB6"/>
    <w:rsid w:val="00291C30"/>
    <w:rsid w:val="00291C48"/>
    <w:rsid w:val="002920AE"/>
    <w:rsid w:val="002935F0"/>
    <w:rsid w:val="0029396E"/>
    <w:rsid w:val="00293C17"/>
    <w:rsid w:val="002941CC"/>
    <w:rsid w:val="00294958"/>
    <w:rsid w:val="00296789"/>
    <w:rsid w:val="00296E59"/>
    <w:rsid w:val="00296FA8"/>
    <w:rsid w:val="002A0D88"/>
    <w:rsid w:val="002A1459"/>
    <w:rsid w:val="002A1490"/>
    <w:rsid w:val="002A15A9"/>
    <w:rsid w:val="002A19A4"/>
    <w:rsid w:val="002A2613"/>
    <w:rsid w:val="002A38BB"/>
    <w:rsid w:val="002A50FA"/>
    <w:rsid w:val="002A576F"/>
    <w:rsid w:val="002A57A2"/>
    <w:rsid w:val="002A618E"/>
    <w:rsid w:val="002A6AA6"/>
    <w:rsid w:val="002A7B5A"/>
    <w:rsid w:val="002A7E98"/>
    <w:rsid w:val="002B0DF6"/>
    <w:rsid w:val="002B1CF4"/>
    <w:rsid w:val="002B1FE2"/>
    <w:rsid w:val="002B302F"/>
    <w:rsid w:val="002B44BA"/>
    <w:rsid w:val="002B4D21"/>
    <w:rsid w:val="002B53BB"/>
    <w:rsid w:val="002B577A"/>
    <w:rsid w:val="002B6501"/>
    <w:rsid w:val="002B6A60"/>
    <w:rsid w:val="002B6EBB"/>
    <w:rsid w:val="002B7134"/>
    <w:rsid w:val="002B757E"/>
    <w:rsid w:val="002B7BEC"/>
    <w:rsid w:val="002B7FA2"/>
    <w:rsid w:val="002C1AFE"/>
    <w:rsid w:val="002C237F"/>
    <w:rsid w:val="002C23BA"/>
    <w:rsid w:val="002C2668"/>
    <w:rsid w:val="002C4C01"/>
    <w:rsid w:val="002C50C9"/>
    <w:rsid w:val="002C6739"/>
    <w:rsid w:val="002D0F22"/>
    <w:rsid w:val="002D104D"/>
    <w:rsid w:val="002D1E73"/>
    <w:rsid w:val="002D1F41"/>
    <w:rsid w:val="002D299E"/>
    <w:rsid w:val="002D37B5"/>
    <w:rsid w:val="002D38FD"/>
    <w:rsid w:val="002D3F2A"/>
    <w:rsid w:val="002D4596"/>
    <w:rsid w:val="002D4A06"/>
    <w:rsid w:val="002D5234"/>
    <w:rsid w:val="002D544F"/>
    <w:rsid w:val="002D59DF"/>
    <w:rsid w:val="002D5E6C"/>
    <w:rsid w:val="002D71E4"/>
    <w:rsid w:val="002D7608"/>
    <w:rsid w:val="002D7C46"/>
    <w:rsid w:val="002E19B3"/>
    <w:rsid w:val="002E1EF5"/>
    <w:rsid w:val="002E20F8"/>
    <w:rsid w:val="002E2B2B"/>
    <w:rsid w:val="002E3D0F"/>
    <w:rsid w:val="002E4198"/>
    <w:rsid w:val="002E5901"/>
    <w:rsid w:val="002E6240"/>
    <w:rsid w:val="002E70D8"/>
    <w:rsid w:val="002F04FD"/>
    <w:rsid w:val="002F0E17"/>
    <w:rsid w:val="002F1854"/>
    <w:rsid w:val="002F1A1A"/>
    <w:rsid w:val="002F2957"/>
    <w:rsid w:val="002F32D9"/>
    <w:rsid w:val="002F37DC"/>
    <w:rsid w:val="002F3858"/>
    <w:rsid w:val="002F3DA6"/>
    <w:rsid w:val="002F5CA5"/>
    <w:rsid w:val="002F6151"/>
    <w:rsid w:val="002F6328"/>
    <w:rsid w:val="002F640F"/>
    <w:rsid w:val="002F646E"/>
    <w:rsid w:val="002F6B6F"/>
    <w:rsid w:val="002F6E09"/>
    <w:rsid w:val="00301714"/>
    <w:rsid w:val="003024A3"/>
    <w:rsid w:val="00302D14"/>
    <w:rsid w:val="00302E2C"/>
    <w:rsid w:val="00303CCD"/>
    <w:rsid w:val="0030409C"/>
    <w:rsid w:val="00305F2D"/>
    <w:rsid w:val="00306DC4"/>
    <w:rsid w:val="00307549"/>
    <w:rsid w:val="003100E2"/>
    <w:rsid w:val="003125B3"/>
    <w:rsid w:val="00312995"/>
    <w:rsid w:val="00314826"/>
    <w:rsid w:val="00315045"/>
    <w:rsid w:val="00315346"/>
    <w:rsid w:val="003160F1"/>
    <w:rsid w:val="00316C30"/>
    <w:rsid w:val="00316DF2"/>
    <w:rsid w:val="003172F0"/>
    <w:rsid w:val="00320445"/>
    <w:rsid w:val="003220DB"/>
    <w:rsid w:val="00322383"/>
    <w:rsid w:val="003244E4"/>
    <w:rsid w:val="00324761"/>
    <w:rsid w:val="00325D88"/>
    <w:rsid w:val="003268F7"/>
    <w:rsid w:val="00332052"/>
    <w:rsid w:val="00332225"/>
    <w:rsid w:val="003326F2"/>
    <w:rsid w:val="003335F3"/>
    <w:rsid w:val="00334A0B"/>
    <w:rsid w:val="003356C6"/>
    <w:rsid w:val="00336F79"/>
    <w:rsid w:val="00340711"/>
    <w:rsid w:val="00340A61"/>
    <w:rsid w:val="00341BF3"/>
    <w:rsid w:val="00342708"/>
    <w:rsid w:val="00343D84"/>
    <w:rsid w:val="00343DA9"/>
    <w:rsid w:val="00344428"/>
    <w:rsid w:val="0034493F"/>
    <w:rsid w:val="00345D01"/>
    <w:rsid w:val="00346339"/>
    <w:rsid w:val="003467F1"/>
    <w:rsid w:val="00346840"/>
    <w:rsid w:val="00346EF7"/>
    <w:rsid w:val="00351DEB"/>
    <w:rsid w:val="00352CB9"/>
    <w:rsid w:val="003538E1"/>
    <w:rsid w:val="00355698"/>
    <w:rsid w:val="003566E1"/>
    <w:rsid w:val="0035728F"/>
    <w:rsid w:val="00357A4B"/>
    <w:rsid w:val="00357E1B"/>
    <w:rsid w:val="0036026C"/>
    <w:rsid w:val="003606D5"/>
    <w:rsid w:val="00361462"/>
    <w:rsid w:val="00361B15"/>
    <w:rsid w:val="00361D59"/>
    <w:rsid w:val="003620C6"/>
    <w:rsid w:val="00362ABA"/>
    <w:rsid w:val="00362AF3"/>
    <w:rsid w:val="003639B4"/>
    <w:rsid w:val="00364A87"/>
    <w:rsid w:val="00364DDA"/>
    <w:rsid w:val="00364EBF"/>
    <w:rsid w:val="00364FF6"/>
    <w:rsid w:val="00365D12"/>
    <w:rsid w:val="0036655E"/>
    <w:rsid w:val="003665BB"/>
    <w:rsid w:val="003701ED"/>
    <w:rsid w:val="0037039A"/>
    <w:rsid w:val="0037136D"/>
    <w:rsid w:val="003715EB"/>
    <w:rsid w:val="00373A7B"/>
    <w:rsid w:val="003752A8"/>
    <w:rsid w:val="00375B58"/>
    <w:rsid w:val="003760BD"/>
    <w:rsid w:val="00376D86"/>
    <w:rsid w:val="00376EA3"/>
    <w:rsid w:val="00380119"/>
    <w:rsid w:val="0038210D"/>
    <w:rsid w:val="00384297"/>
    <w:rsid w:val="00387ADA"/>
    <w:rsid w:val="00390DFE"/>
    <w:rsid w:val="0039247F"/>
    <w:rsid w:val="003926F2"/>
    <w:rsid w:val="00392702"/>
    <w:rsid w:val="003931CF"/>
    <w:rsid w:val="003948B5"/>
    <w:rsid w:val="00394FC3"/>
    <w:rsid w:val="00395DF9"/>
    <w:rsid w:val="003975B2"/>
    <w:rsid w:val="00397C41"/>
    <w:rsid w:val="00397DDB"/>
    <w:rsid w:val="003A14C2"/>
    <w:rsid w:val="003A16EC"/>
    <w:rsid w:val="003A27EC"/>
    <w:rsid w:val="003A333A"/>
    <w:rsid w:val="003A345B"/>
    <w:rsid w:val="003A3842"/>
    <w:rsid w:val="003A4568"/>
    <w:rsid w:val="003A4799"/>
    <w:rsid w:val="003A516F"/>
    <w:rsid w:val="003A5CB4"/>
    <w:rsid w:val="003A5CE5"/>
    <w:rsid w:val="003A5DCC"/>
    <w:rsid w:val="003A62B3"/>
    <w:rsid w:val="003A648A"/>
    <w:rsid w:val="003A708D"/>
    <w:rsid w:val="003A7B2B"/>
    <w:rsid w:val="003B13D9"/>
    <w:rsid w:val="003B15AC"/>
    <w:rsid w:val="003B27A5"/>
    <w:rsid w:val="003B3C90"/>
    <w:rsid w:val="003B591B"/>
    <w:rsid w:val="003B5DEA"/>
    <w:rsid w:val="003B6F23"/>
    <w:rsid w:val="003B6F3D"/>
    <w:rsid w:val="003B71C0"/>
    <w:rsid w:val="003C1AFB"/>
    <w:rsid w:val="003C208D"/>
    <w:rsid w:val="003C3041"/>
    <w:rsid w:val="003C317C"/>
    <w:rsid w:val="003C3303"/>
    <w:rsid w:val="003D001C"/>
    <w:rsid w:val="003D006E"/>
    <w:rsid w:val="003D0B27"/>
    <w:rsid w:val="003D0D45"/>
    <w:rsid w:val="003D15B8"/>
    <w:rsid w:val="003D2522"/>
    <w:rsid w:val="003D2598"/>
    <w:rsid w:val="003D355F"/>
    <w:rsid w:val="003D3AAC"/>
    <w:rsid w:val="003D4682"/>
    <w:rsid w:val="003D6ECF"/>
    <w:rsid w:val="003D7709"/>
    <w:rsid w:val="003D7DC0"/>
    <w:rsid w:val="003E2029"/>
    <w:rsid w:val="003E2180"/>
    <w:rsid w:val="003E39B6"/>
    <w:rsid w:val="003E41E4"/>
    <w:rsid w:val="003E475B"/>
    <w:rsid w:val="003E4A68"/>
    <w:rsid w:val="003E5062"/>
    <w:rsid w:val="003E55D9"/>
    <w:rsid w:val="003E72CF"/>
    <w:rsid w:val="003E7A7E"/>
    <w:rsid w:val="003F05C2"/>
    <w:rsid w:val="003F1951"/>
    <w:rsid w:val="003F1C3B"/>
    <w:rsid w:val="003F2F93"/>
    <w:rsid w:val="003F371F"/>
    <w:rsid w:val="003F38C7"/>
    <w:rsid w:val="003F4121"/>
    <w:rsid w:val="003F4AFA"/>
    <w:rsid w:val="003F5B04"/>
    <w:rsid w:val="003F6CC8"/>
    <w:rsid w:val="003F7021"/>
    <w:rsid w:val="003F7578"/>
    <w:rsid w:val="0040049F"/>
    <w:rsid w:val="004016A2"/>
    <w:rsid w:val="004031CF"/>
    <w:rsid w:val="00403B05"/>
    <w:rsid w:val="00403EAA"/>
    <w:rsid w:val="00407209"/>
    <w:rsid w:val="0041140A"/>
    <w:rsid w:val="004117FC"/>
    <w:rsid w:val="00411F75"/>
    <w:rsid w:val="0041211E"/>
    <w:rsid w:val="00415873"/>
    <w:rsid w:val="00415993"/>
    <w:rsid w:val="0041634F"/>
    <w:rsid w:val="00416975"/>
    <w:rsid w:val="00416F0C"/>
    <w:rsid w:val="004178CE"/>
    <w:rsid w:val="00417C6C"/>
    <w:rsid w:val="00420E6B"/>
    <w:rsid w:val="0042112C"/>
    <w:rsid w:val="00421DDF"/>
    <w:rsid w:val="0042353E"/>
    <w:rsid w:val="004237F7"/>
    <w:rsid w:val="00423D6C"/>
    <w:rsid w:val="00423E48"/>
    <w:rsid w:val="00426D10"/>
    <w:rsid w:val="00427DF2"/>
    <w:rsid w:val="004311B1"/>
    <w:rsid w:val="004326B8"/>
    <w:rsid w:val="004333F0"/>
    <w:rsid w:val="00433D37"/>
    <w:rsid w:val="00434EAB"/>
    <w:rsid w:val="00437A8A"/>
    <w:rsid w:val="00440DA6"/>
    <w:rsid w:val="00441EC9"/>
    <w:rsid w:val="0044206E"/>
    <w:rsid w:val="00442243"/>
    <w:rsid w:val="0044243E"/>
    <w:rsid w:val="00442A1B"/>
    <w:rsid w:val="00442AC7"/>
    <w:rsid w:val="004447FA"/>
    <w:rsid w:val="00444A63"/>
    <w:rsid w:val="0044590C"/>
    <w:rsid w:val="00446A02"/>
    <w:rsid w:val="00447A75"/>
    <w:rsid w:val="00452399"/>
    <w:rsid w:val="0045378A"/>
    <w:rsid w:val="004537B9"/>
    <w:rsid w:val="00456773"/>
    <w:rsid w:val="00456F59"/>
    <w:rsid w:val="004577CE"/>
    <w:rsid w:val="00457A23"/>
    <w:rsid w:val="00457E3F"/>
    <w:rsid w:val="00460D1B"/>
    <w:rsid w:val="00460EDB"/>
    <w:rsid w:val="00461429"/>
    <w:rsid w:val="00461CB3"/>
    <w:rsid w:val="004625E8"/>
    <w:rsid w:val="00464A1A"/>
    <w:rsid w:val="00464F39"/>
    <w:rsid w:val="004652C8"/>
    <w:rsid w:val="00465547"/>
    <w:rsid w:val="00467965"/>
    <w:rsid w:val="00467C5D"/>
    <w:rsid w:val="004702BC"/>
    <w:rsid w:val="004727F3"/>
    <w:rsid w:val="00472A60"/>
    <w:rsid w:val="00472E50"/>
    <w:rsid w:val="00473D50"/>
    <w:rsid w:val="004744A9"/>
    <w:rsid w:val="004744EF"/>
    <w:rsid w:val="00474EFD"/>
    <w:rsid w:val="00475FF2"/>
    <w:rsid w:val="0047793B"/>
    <w:rsid w:val="00480156"/>
    <w:rsid w:val="004808AD"/>
    <w:rsid w:val="00481A02"/>
    <w:rsid w:val="00482429"/>
    <w:rsid w:val="00483435"/>
    <w:rsid w:val="004852C3"/>
    <w:rsid w:val="00485908"/>
    <w:rsid w:val="004868DA"/>
    <w:rsid w:val="004870E8"/>
    <w:rsid w:val="0049029C"/>
    <w:rsid w:val="0049099B"/>
    <w:rsid w:val="00491BB6"/>
    <w:rsid w:val="00491D29"/>
    <w:rsid w:val="00491D77"/>
    <w:rsid w:val="00493004"/>
    <w:rsid w:val="0049362C"/>
    <w:rsid w:val="00493A58"/>
    <w:rsid w:val="00493AFB"/>
    <w:rsid w:val="00493BEC"/>
    <w:rsid w:val="00493D77"/>
    <w:rsid w:val="0049457C"/>
    <w:rsid w:val="00494CAC"/>
    <w:rsid w:val="004955A9"/>
    <w:rsid w:val="004959D6"/>
    <w:rsid w:val="004964D7"/>
    <w:rsid w:val="00497A19"/>
    <w:rsid w:val="00497AD0"/>
    <w:rsid w:val="00497EFE"/>
    <w:rsid w:val="004A2683"/>
    <w:rsid w:val="004A2BCB"/>
    <w:rsid w:val="004A2DBF"/>
    <w:rsid w:val="004A45B3"/>
    <w:rsid w:val="004A49F7"/>
    <w:rsid w:val="004A520F"/>
    <w:rsid w:val="004A58B6"/>
    <w:rsid w:val="004B0480"/>
    <w:rsid w:val="004B174B"/>
    <w:rsid w:val="004B1F1F"/>
    <w:rsid w:val="004B2A87"/>
    <w:rsid w:val="004B2C1C"/>
    <w:rsid w:val="004B3A4F"/>
    <w:rsid w:val="004B6149"/>
    <w:rsid w:val="004B630A"/>
    <w:rsid w:val="004B63A1"/>
    <w:rsid w:val="004B6969"/>
    <w:rsid w:val="004B731F"/>
    <w:rsid w:val="004C18E2"/>
    <w:rsid w:val="004C2198"/>
    <w:rsid w:val="004C241E"/>
    <w:rsid w:val="004C25DD"/>
    <w:rsid w:val="004C2A50"/>
    <w:rsid w:val="004C33D1"/>
    <w:rsid w:val="004C3FDB"/>
    <w:rsid w:val="004C54C5"/>
    <w:rsid w:val="004C5848"/>
    <w:rsid w:val="004C5BEF"/>
    <w:rsid w:val="004C5E47"/>
    <w:rsid w:val="004C5EFA"/>
    <w:rsid w:val="004D5571"/>
    <w:rsid w:val="004D5B0F"/>
    <w:rsid w:val="004D5DF7"/>
    <w:rsid w:val="004D6227"/>
    <w:rsid w:val="004D75D6"/>
    <w:rsid w:val="004D7FD6"/>
    <w:rsid w:val="004E0B3C"/>
    <w:rsid w:val="004E1D5F"/>
    <w:rsid w:val="004E1FBD"/>
    <w:rsid w:val="004E2B33"/>
    <w:rsid w:val="004E2C05"/>
    <w:rsid w:val="004E359B"/>
    <w:rsid w:val="004E37D8"/>
    <w:rsid w:val="004E4FEF"/>
    <w:rsid w:val="004E5725"/>
    <w:rsid w:val="004E5B0D"/>
    <w:rsid w:val="004E62FC"/>
    <w:rsid w:val="004E6E09"/>
    <w:rsid w:val="004E7A7B"/>
    <w:rsid w:val="004E7C20"/>
    <w:rsid w:val="004F0A0D"/>
    <w:rsid w:val="004F0CDF"/>
    <w:rsid w:val="004F10C8"/>
    <w:rsid w:val="004F18E0"/>
    <w:rsid w:val="004F1A49"/>
    <w:rsid w:val="004F2223"/>
    <w:rsid w:val="004F2CAB"/>
    <w:rsid w:val="004F40C1"/>
    <w:rsid w:val="004F44DF"/>
    <w:rsid w:val="004F4A78"/>
    <w:rsid w:val="004F5AC5"/>
    <w:rsid w:val="004F70A2"/>
    <w:rsid w:val="005003F8"/>
    <w:rsid w:val="005005FA"/>
    <w:rsid w:val="005007F3"/>
    <w:rsid w:val="005037DD"/>
    <w:rsid w:val="00503A73"/>
    <w:rsid w:val="0050527B"/>
    <w:rsid w:val="00505696"/>
    <w:rsid w:val="00505F8F"/>
    <w:rsid w:val="005066B5"/>
    <w:rsid w:val="00507B81"/>
    <w:rsid w:val="00511181"/>
    <w:rsid w:val="0051148A"/>
    <w:rsid w:val="005124F8"/>
    <w:rsid w:val="00512631"/>
    <w:rsid w:val="00512A54"/>
    <w:rsid w:val="00512AE2"/>
    <w:rsid w:val="00512B7D"/>
    <w:rsid w:val="00513742"/>
    <w:rsid w:val="005141F7"/>
    <w:rsid w:val="00514372"/>
    <w:rsid w:val="0051457E"/>
    <w:rsid w:val="00515010"/>
    <w:rsid w:val="00521571"/>
    <w:rsid w:val="005218C2"/>
    <w:rsid w:val="00521BC8"/>
    <w:rsid w:val="00522AE9"/>
    <w:rsid w:val="00522EC2"/>
    <w:rsid w:val="00523533"/>
    <w:rsid w:val="0052354F"/>
    <w:rsid w:val="005262C4"/>
    <w:rsid w:val="005263BB"/>
    <w:rsid w:val="005266B7"/>
    <w:rsid w:val="00526812"/>
    <w:rsid w:val="005269C7"/>
    <w:rsid w:val="005279A3"/>
    <w:rsid w:val="0053168D"/>
    <w:rsid w:val="00531C67"/>
    <w:rsid w:val="00531D75"/>
    <w:rsid w:val="00531F32"/>
    <w:rsid w:val="0053279E"/>
    <w:rsid w:val="00533685"/>
    <w:rsid w:val="005345E2"/>
    <w:rsid w:val="00535A03"/>
    <w:rsid w:val="00535A85"/>
    <w:rsid w:val="00535E51"/>
    <w:rsid w:val="005362AD"/>
    <w:rsid w:val="00536CE3"/>
    <w:rsid w:val="00537793"/>
    <w:rsid w:val="00537E94"/>
    <w:rsid w:val="005406F8"/>
    <w:rsid w:val="0054074E"/>
    <w:rsid w:val="005433D3"/>
    <w:rsid w:val="00544476"/>
    <w:rsid w:val="005447A6"/>
    <w:rsid w:val="00544AF3"/>
    <w:rsid w:val="00546CE9"/>
    <w:rsid w:val="00552285"/>
    <w:rsid w:val="005523E5"/>
    <w:rsid w:val="005525F0"/>
    <w:rsid w:val="00555293"/>
    <w:rsid w:val="005553C0"/>
    <w:rsid w:val="00555EB2"/>
    <w:rsid w:val="0055659D"/>
    <w:rsid w:val="005565BE"/>
    <w:rsid w:val="00557963"/>
    <w:rsid w:val="00557A10"/>
    <w:rsid w:val="005608FF"/>
    <w:rsid w:val="00562919"/>
    <w:rsid w:val="0056434D"/>
    <w:rsid w:val="00564D27"/>
    <w:rsid w:val="0056575A"/>
    <w:rsid w:val="00566D34"/>
    <w:rsid w:val="00567319"/>
    <w:rsid w:val="005676E8"/>
    <w:rsid w:val="0057003A"/>
    <w:rsid w:val="00571947"/>
    <w:rsid w:val="005719B5"/>
    <w:rsid w:val="00571A7B"/>
    <w:rsid w:val="005721CE"/>
    <w:rsid w:val="00572377"/>
    <w:rsid w:val="00573D01"/>
    <w:rsid w:val="00573DCC"/>
    <w:rsid w:val="0057418F"/>
    <w:rsid w:val="00574526"/>
    <w:rsid w:val="00575131"/>
    <w:rsid w:val="0057565D"/>
    <w:rsid w:val="00575B9C"/>
    <w:rsid w:val="0057730D"/>
    <w:rsid w:val="0057787E"/>
    <w:rsid w:val="00577DF5"/>
    <w:rsid w:val="00577E0E"/>
    <w:rsid w:val="00580C5E"/>
    <w:rsid w:val="005816A5"/>
    <w:rsid w:val="00581EAA"/>
    <w:rsid w:val="005826A5"/>
    <w:rsid w:val="005832F9"/>
    <w:rsid w:val="00583B05"/>
    <w:rsid w:val="0058458B"/>
    <w:rsid w:val="0058600D"/>
    <w:rsid w:val="005865B5"/>
    <w:rsid w:val="00587C81"/>
    <w:rsid w:val="005901FD"/>
    <w:rsid w:val="00590927"/>
    <w:rsid w:val="00590BE6"/>
    <w:rsid w:val="00591179"/>
    <w:rsid w:val="005918B2"/>
    <w:rsid w:val="00591B9A"/>
    <w:rsid w:val="0059260A"/>
    <w:rsid w:val="005937E0"/>
    <w:rsid w:val="00595BF3"/>
    <w:rsid w:val="00596C6B"/>
    <w:rsid w:val="00596D53"/>
    <w:rsid w:val="00596E9E"/>
    <w:rsid w:val="00596FCC"/>
    <w:rsid w:val="00597AE2"/>
    <w:rsid w:val="005A093D"/>
    <w:rsid w:val="005A1BDE"/>
    <w:rsid w:val="005A6920"/>
    <w:rsid w:val="005A759A"/>
    <w:rsid w:val="005B04A1"/>
    <w:rsid w:val="005B1D38"/>
    <w:rsid w:val="005B1E98"/>
    <w:rsid w:val="005B1EAB"/>
    <w:rsid w:val="005B25DD"/>
    <w:rsid w:val="005B2CAF"/>
    <w:rsid w:val="005B2CE5"/>
    <w:rsid w:val="005B2D94"/>
    <w:rsid w:val="005B34FF"/>
    <w:rsid w:val="005B55AE"/>
    <w:rsid w:val="005B572D"/>
    <w:rsid w:val="005B582A"/>
    <w:rsid w:val="005B606A"/>
    <w:rsid w:val="005B73D7"/>
    <w:rsid w:val="005B7BB7"/>
    <w:rsid w:val="005C0B6A"/>
    <w:rsid w:val="005C1766"/>
    <w:rsid w:val="005C1ACD"/>
    <w:rsid w:val="005C1FF8"/>
    <w:rsid w:val="005C31FE"/>
    <w:rsid w:val="005C3580"/>
    <w:rsid w:val="005C35C2"/>
    <w:rsid w:val="005C5DC7"/>
    <w:rsid w:val="005C75E7"/>
    <w:rsid w:val="005D0EE9"/>
    <w:rsid w:val="005D1E6B"/>
    <w:rsid w:val="005D62A4"/>
    <w:rsid w:val="005D62E2"/>
    <w:rsid w:val="005D6326"/>
    <w:rsid w:val="005D6965"/>
    <w:rsid w:val="005D73CA"/>
    <w:rsid w:val="005E047C"/>
    <w:rsid w:val="005E06D1"/>
    <w:rsid w:val="005E0A2A"/>
    <w:rsid w:val="005E0A46"/>
    <w:rsid w:val="005E1092"/>
    <w:rsid w:val="005E1DD6"/>
    <w:rsid w:val="005E346B"/>
    <w:rsid w:val="005E4AAB"/>
    <w:rsid w:val="005E5D23"/>
    <w:rsid w:val="005E6C4E"/>
    <w:rsid w:val="005E71D0"/>
    <w:rsid w:val="005F0058"/>
    <w:rsid w:val="005F03CB"/>
    <w:rsid w:val="005F04D9"/>
    <w:rsid w:val="005F0DAB"/>
    <w:rsid w:val="005F1089"/>
    <w:rsid w:val="005F1E2B"/>
    <w:rsid w:val="005F262F"/>
    <w:rsid w:val="005F27D1"/>
    <w:rsid w:val="005F3E82"/>
    <w:rsid w:val="005F4137"/>
    <w:rsid w:val="005F4F1A"/>
    <w:rsid w:val="005F5167"/>
    <w:rsid w:val="005F61BF"/>
    <w:rsid w:val="005F76AD"/>
    <w:rsid w:val="005F7B29"/>
    <w:rsid w:val="00600023"/>
    <w:rsid w:val="006013B2"/>
    <w:rsid w:val="006016D3"/>
    <w:rsid w:val="006021FE"/>
    <w:rsid w:val="006032B3"/>
    <w:rsid w:val="00603EE5"/>
    <w:rsid w:val="006042A3"/>
    <w:rsid w:val="00605225"/>
    <w:rsid w:val="00606050"/>
    <w:rsid w:val="00606151"/>
    <w:rsid w:val="0060786C"/>
    <w:rsid w:val="00610103"/>
    <w:rsid w:val="0061021D"/>
    <w:rsid w:val="0061269F"/>
    <w:rsid w:val="00612932"/>
    <w:rsid w:val="006129A2"/>
    <w:rsid w:val="006141A5"/>
    <w:rsid w:val="006142F8"/>
    <w:rsid w:val="00614803"/>
    <w:rsid w:val="00614BA1"/>
    <w:rsid w:val="00614C60"/>
    <w:rsid w:val="00614DE1"/>
    <w:rsid w:val="00615A57"/>
    <w:rsid w:val="0061672C"/>
    <w:rsid w:val="006172D7"/>
    <w:rsid w:val="0061769F"/>
    <w:rsid w:val="00617FEF"/>
    <w:rsid w:val="00620421"/>
    <w:rsid w:val="006210FB"/>
    <w:rsid w:val="0062201A"/>
    <w:rsid w:val="00622255"/>
    <w:rsid w:val="006225D1"/>
    <w:rsid w:val="0062435D"/>
    <w:rsid w:val="0062473C"/>
    <w:rsid w:val="00625452"/>
    <w:rsid w:val="006255EB"/>
    <w:rsid w:val="00625D65"/>
    <w:rsid w:val="006262DD"/>
    <w:rsid w:val="00626724"/>
    <w:rsid w:val="00630117"/>
    <w:rsid w:val="00631BE4"/>
    <w:rsid w:val="00631D6B"/>
    <w:rsid w:val="0063292F"/>
    <w:rsid w:val="006336D2"/>
    <w:rsid w:val="0063400E"/>
    <w:rsid w:val="00640994"/>
    <w:rsid w:val="006421D8"/>
    <w:rsid w:val="00642726"/>
    <w:rsid w:val="00643787"/>
    <w:rsid w:val="00645686"/>
    <w:rsid w:val="0064664C"/>
    <w:rsid w:val="00646C03"/>
    <w:rsid w:val="00646D6B"/>
    <w:rsid w:val="00647938"/>
    <w:rsid w:val="00650632"/>
    <w:rsid w:val="00650E39"/>
    <w:rsid w:val="00651737"/>
    <w:rsid w:val="00652B9F"/>
    <w:rsid w:val="00653316"/>
    <w:rsid w:val="00654266"/>
    <w:rsid w:val="0065437E"/>
    <w:rsid w:val="006546CB"/>
    <w:rsid w:val="00660709"/>
    <w:rsid w:val="00660C82"/>
    <w:rsid w:val="00660E91"/>
    <w:rsid w:val="0066166A"/>
    <w:rsid w:val="006629CE"/>
    <w:rsid w:val="00664339"/>
    <w:rsid w:val="0066440F"/>
    <w:rsid w:val="00665D7B"/>
    <w:rsid w:val="006671B7"/>
    <w:rsid w:val="006676DD"/>
    <w:rsid w:val="006703C5"/>
    <w:rsid w:val="00670475"/>
    <w:rsid w:val="00670B23"/>
    <w:rsid w:val="00670CDF"/>
    <w:rsid w:val="006711A6"/>
    <w:rsid w:val="00671461"/>
    <w:rsid w:val="00671C10"/>
    <w:rsid w:val="00671EF9"/>
    <w:rsid w:val="00672765"/>
    <w:rsid w:val="00672862"/>
    <w:rsid w:val="00672F5D"/>
    <w:rsid w:val="00674211"/>
    <w:rsid w:val="00674948"/>
    <w:rsid w:val="0067611E"/>
    <w:rsid w:val="00676D7D"/>
    <w:rsid w:val="00676DBB"/>
    <w:rsid w:val="00677916"/>
    <w:rsid w:val="00677FE4"/>
    <w:rsid w:val="006802FD"/>
    <w:rsid w:val="006805EA"/>
    <w:rsid w:val="0068162C"/>
    <w:rsid w:val="0068227F"/>
    <w:rsid w:val="00682E62"/>
    <w:rsid w:val="00682F99"/>
    <w:rsid w:val="0068381D"/>
    <w:rsid w:val="00684568"/>
    <w:rsid w:val="00684A80"/>
    <w:rsid w:val="00685811"/>
    <w:rsid w:val="00685B73"/>
    <w:rsid w:val="00685BF6"/>
    <w:rsid w:val="006869A0"/>
    <w:rsid w:val="00686ACE"/>
    <w:rsid w:val="00687395"/>
    <w:rsid w:val="00690F8C"/>
    <w:rsid w:val="00691087"/>
    <w:rsid w:val="0069137B"/>
    <w:rsid w:val="00691CCB"/>
    <w:rsid w:val="006929CF"/>
    <w:rsid w:val="00692F5C"/>
    <w:rsid w:val="0069361C"/>
    <w:rsid w:val="006944CF"/>
    <w:rsid w:val="006964F7"/>
    <w:rsid w:val="006979A6"/>
    <w:rsid w:val="006A318C"/>
    <w:rsid w:val="006A3999"/>
    <w:rsid w:val="006A4869"/>
    <w:rsid w:val="006A4B1A"/>
    <w:rsid w:val="006A500E"/>
    <w:rsid w:val="006A51E9"/>
    <w:rsid w:val="006A5C83"/>
    <w:rsid w:val="006A7FE0"/>
    <w:rsid w:val="006B03EA"/>
    <w:rsid w:val="006B0A0E"/>
    <w:rsid w:val="006B18C8"/>
    <w:rsid w:val="006B2327"/>
    <w:rsid w:val="006B3CE3"/>
    <w:rsid w:val="006B51A4"/>
    <w:rsid w:val="006B699E"/>
    <w:rsid w:val="006B6E12"/>
    <w:rsid w:val="006C0161"/>
    <w:rsid w:val="006C0EE0"/>
    <w:rsid w:val="006C0FC0"/>
    <w:rsid w:val="006C1059"/>
    <w:rsid w:val="006C19F4"/>
    <w:rsid w:val="006C2394"/>
    <w:rsid w:val="006C333B"/>
    <w:rsid w:val="006C43AE"/>
    <w:rsid w:val="006C4B46"/>
    <w:rsid w:val="006C62DE"/>
    <w:rsid w:val="006C6C2E"/>
    <w:rsid w:val="006D072E"/>
    <w:rsid w:val="006D2431"/>
    <w:rsid w:val="006D24BE"/>
    <w:rsid w:val="006D2807"/>
    <w:rsid w:val="006D38BB"/>
    <w:rsid w:val="006D3ECE"/>
    <w:rsid w:val="006D407B"/>
    <w:rsid w:val="006D45E4"/>
    <w:rsid w:val="006D499F"/>
    <w:rsid w:val="006D778C"/>
    <w:rsid w:val="006E0A20"/>
    <w:rsid w:val="006E1183"/>
    <w:rsid w:val="006E3E13"/>
    <w:rsid w:val="006E4053"/>
    <w:rsid w:val="006E40D0"/>
    <w:rsid w:val="006E4329"/>
    <w:rsid w:val="006E51B3"/>
    <w:rsid w:val="006E69D8"/>
    <w:rsid w:val="006E6D3A"/>
    <w:rsid w:val="006E7923"/>
    <w:rsid w:val="006F0D75"/>
    <w:rsid w:val="006F1363"/>
    <w:rsid w:val="006F24DC"/>
    <w:rsid w:val="006F3488"/>
    <w:rsid w:val="006F70C2"/>
    <w:rsid w:val="006F775A"/>
    <w:rsid w:val="006F78BC"/>
    <w:rsid w:val="006F7FF6"/>
    <w:rsid w:val="00700620"/>
    <w:rsid w:val="0070064F"/>
    <w:rsid w:val="00700787"/>
    <w:rsid w:val="007010D8"/>
    <w:rsid w:val="00703807"/>
    <w:rsid w:val="00704218"/>
    <w:rsid w:val="0070464A"/>
    <w:rsid w:val="007057AE"/>
    <w:rsid w:val="00705CE5"/>
    <w:rsid w:val="00706905"/>
    <w:rsid w:val="00712A51"/>
    <w:rsid w:val="00712FFB"/>
    <w:rsid w:val="007131A5"/>
    <w:rsid w:val="00713AB5"/>
    <w:rsid w:val="00713E5D"/>
    <w:rsid w:val="00715601"/>
    <w:rsid w:val="00716618"/>
    <w:rsid w:val="00717CB3"/>
    <w:rsid w:val="00720C1D"/>
    <w:rsid w:val="00721ABF"/>
    <w:rsid w:val="00724880"/>
    <w:rsid w:val="00726C8E"/>
    <w:rsid w:val="00732A48"/>
    <w:rsid w:val="00733399"/>
    <w:rsid w:val="0073410A"/>
    <w:rsid w:val="00734995"/>
    <w:rsid w:val="007349C1"/>
    <w:rsid w:val="007361C0"/>
    <w:rsid w:val="00736A77"/>
    <w:rsid w:val="00736BD6"/>
    <w:rsid w:val="00737399"/>
    <w:rsid w:val="00737691"/>
    <w:rsid w:val="00741E88"/>
    <w:rsid w:val="00742F01"/>
    <w:rsid w:val="00743E0F"/>
    <w:rsid w:val="007451AF"/>
    <w:rsid w:val="0075003C"/>
    <w:rsid w:val="0075031E"/>
    <w:rsid w:val="007505FC"/>
    <w:rsid w:val="0075170D"/>
    <w:rsid w:val="00751A49"/>
    <w:rsid w:val="0075220F"/>
    <w:rsid w:val="00752C98"/>
    <w:rsid w:val="007530F3"/>
    <w:rsid w:val="007536EC"/>
    <w:rsid w:val="00754E98"/>
    <w:rsid w:val="00755016"/>
    <w:rsid w:val="007557BC"/>
    <w:rsid w:val="00755FA4"/>
    <w:rsid w:val="00756248"/>
    <w:rsid w:val="007563B1"/>
    <w:rsid w:val="00756418"/>
    <w:rsid w:val="00757544"/>
    <w:rsid w:val="0076005E"/>
    <w:rsid w:val="00761455"/>
    <w:rsid w:val="00763C9C"/>
    <w:rsid w:val="007648D4"/>
    <w:rsid w:val="00765195"/>
    <w:rsid w:val="00765356"/>
    <w:rsid w:val="00767239"/>
    <w:rsid w:val="007703F9"/>
    <w:rsid w:val="007708C9"/>
    <w:rsid w:val="007743E8"/>
    <w:rsid w:val="00774790"/>
    <w:rsid w:val="00774D40"/>
    <w:rsid w:val="00775780"/>
    <w:rsid w:val="007757C6"/>
    <w:rsid w:val="0077609E"/>
    <w:rsid w:val="00776110"/>
    <w:rsid w:val="00780F66"/>
    <w:rsid w:val="00782A97"/>
    <w:rsid w:val="00782B98"/>
    <w:rsid w:val="00783262"/>
    <w:rsid w:val="00783EB7"/>
    <w:rsid w:val="00784A33"/>
    <w:rsid w:val="007850B3"/>
    <w:rsid w:val="00785636"/>
    <w:rsid w:val="00785797"/>
    <w:rsid w:val="00785AF2"/>
    <w:rsid w:val="007865D0"/>
    <w:rsid w:val="00787C0E"/>
    <w:rsid w:val="00790B5C"/>
    <w:rsid w:val="00790D22"/>
    <w:rsid w:val="007942EF"/>
    <w:rsid w:val="0079443A"/>
    <w:rsid w:val="007944AE"/>
    <w:rsid w:val="00794EC3"/>
    <w:rsid w:val="00794F7F"/>
    <w:rsid w:val="00795AFB"/>
    <w:rsid w:val="0079665F"/>
    <w:rsid w:val="007A06D7"/>
    <w:rsid w:val="007A177F"/>
    <w:rsid w:val="007A2532"/>
    <w:rsid w:val="007A316B"/>
    <w:rsid w:val="007A33F3"/>
    <w:rsid w:val="007A4002"/>
    <w:rsid w:val="007A472B"/>
    <w:rsid w:val="007A5493"/>
    <w:rsid w:val="007A62A9"/>
    <w:rsid w:val="007A731B"/>
    <w:rsid w:val="007B0CA4"/>
    <w:rsid w:val="007B1119"/>
    <w:rsid w:val="007B1B3A"/>
    <w:rsid w:val="007B1F22"/>
    <w:rsid w:val="007B40D7"/>
    <w:rsid w:val="007B4207"/>
    <w:rsid w:val="007B44B3"/>
    <w:rsid w:val="007B471C"/>
    <w:rsid w:val="007B6145"/>
    <w:rsid w:val="007B6267"/>
    <w:rsid w:val="007B674F"/>
    <w:rsid w:val="007B7278"/>
    <w:rsid w:val="007C0D02"/>
    <w:rsid w:val="007C111E"/>
    <w:rsid w:val="007C193C"/>
    <w:rsid w:val="007C2AEB"/>
    <w:rsid w:val="007C44D0"/>
    <w:rsid w:val="007C4BE9"/>
    <w:rsid w:val="007C6BAC"/>
    <w:rsid w:val="007D0EB5"/>
    <w:rsid w:val="007D1C31"/>
    <w:rsid w:val="007D3022"/>
    <w:rsid w:val="007D4EF3"/>
    <w:rsid w:val="007D52FC"/>
    <w:rsid w:val="007D5B07"/>
    <w:rsid w:val="007D6490"/>
    <w:rsid w:val="007D6E2D"/>
    <w:rsid w:val="007D70EE"/>
    <w:rsid w:val="007D72DF"/>
    <w:rsid w:val="007E022A"/>
    <w:rsid w:val="007E2D16"/>
    <w:rsid w:val="007E2DFB"/>
    <w:rsid w:val="007E406E"/>
    <w:rsid w:val="007E40AE"/>
    <w:rsid w:val="007E46E6"/>
    <w:rsid w:val="007E4FC6"/>
    <w:rsid w:val="007E5C0B"/>
    <w:rsid w:val="007E5F57"/>
    <w:rsid w:val="007E6699"/>
    <w:rsid w:val="007E6D6B"/>
    <w:rsid w:val="007E725F"/>
    <w:rsid w:val="007E7E02"/>
    <w:rsid w:val="007E7E3F"/>
    <w:rsid w:val="007F1344"/>
    <w:rsid w:val="007F22CB"/>
    <w:rsid w:val="007F22D4"/>
    <w:rsid w:val="007F3FFA"/>
    <w:rsid w:val="007F477F"/>
    <w:rsid w:val="007F50FC"/>
    <w:rsid w:val="007F5337"/>
    <w:rsid w:val="007F5488"/>
    <w:rsid w:val="007F55C7"/>
    <w:rsid w:val="007F5E07"/>
    <w:rsid w:val="007F6D23"/>
    <w:rsid w:val="007F7E3A"/>
    <w:rsid w:val="008007A3"/>
    <w:rsid w:val="00800D3C"/>
    <w:rsid w:val="00802145"/>
    <w:rsid w:val="00802C38"/>
    <w:rsid w:val="00804156"/>
    <w:rsid w:val="0080479E"/>
    <w:rsid w:val="008050CD"/>
    <w:rsid w:val="00806841"/>
    <w:rsid w:val="0080762C"/>
    <w:rsid w:val="0080785F"/>
    <w:rsid w:val="008079C5"/>
    <w:rsid w:val="00812E41"/>
    <w:rsid w:val="00814CBA"/>
    <w:rsid w:val="00815E03"/>
    <w:rsid w:val="00816498"/>
    <w:rsid w:val="0081699D"/>
    <w:rsid w:val="00816E63"/>
    <w:rsid w:val="008172E6"/>
    <w:rsid w:val="008178F5"/>
    <w:rsid w:val="00817F6D"/>
    <w:rsid w:val="008209D0"/>
    <w:rsid w:val="00822F34"/>
    <w:rsid w:val="00823DB9"/>
    <w:rsid w:val="00823DF3"/>
    <w:rsid w:val="00826B57"/>
    <w:rsid w:val="00826E9D"/>
    <w:rsid w:val="0082767B"/>
    <w:rsid w:val="00827D20"/>
    <w:rsid w:val="00831395"/>
    <w:rsid w:val="0083215F"/>
    <w:rsid w:val="00832682"/>
    <w:rsid w:val="008330E2"/>
    <w:rsid w:val="0083434C"/>
    <w:rsid w:val="00834ED4"/>
    <w:rsid w:val="0084113D"/>
    <w:rsid w:val="008433B7"/>
    <w:rsid w:val="0084405E"/>
    <w:rsid w:val="00844387"/>
    <w:rsid w:val="00845004"/>
    <w:rsid w:val="008462F7"/>
    <w:rsid w:val="00846750"/>
    <w:rsid w:val="00846E18"/>
    <w:rsid w:val="008471F1"/>
    <w:rsid w:val="008479BF"/>
    <w:rsid w:val="00847EC6"/>
    <w:rsid w:val="0085118F"/>
    <w:rsid w:val="008526D1"/>
    <w:rsid w:val="00852E29"/>
    <w:rsid w:val="00857358"/>
    <w:rsid w:val="008574DF"/>
    <w:rsid w:val="00857C3B"/>
    <w:rsid w:val="00860D81"/>
    <w:rsid w:val="0086139A"/>
    <w:rsid w:val="00861E9F"/>
    <w:rsid w:val="008622A2"/>
    <w:rsid w:val="00862C7D"/>
    <w:rsid w:val="00862E3D"/>
    <w:rsid w:val="00863341"/>
    <w:rsid w:val="0086469F"/>
    <w:rsid w:val="00864751"/>
    <w:rsid w:val="00864F8B"/>
    <w:rsid w:val="0086550D"/>
    <w:rsid w:val="00865DCC"/>
    <w:rsid w:val="00866234"/>
    <w:rsid w:val="008711FA"/>
    <w:rsid w:val="0087289A"/>
    <w:rsid w:val="0087382B"/>
    <w:rsid w:val="00873C18"/>
    <w:rsid w:val="008744EA"/>
    <w:rsid w:val="00874EB4"/>
    <w:rsid w:val="008754C0"/>
    <w:rsid w:val="00877B06"/>
    <w:rsid w:val="00880126"/>
    <w:rsid w:val="0088033F"/>
    <w:rsid w:val="00881018"/>
    <w:rsid w:val="0088141E"/>
    <w:rsid w:val="008815D5"/>
    <w:rsid w:val="008824AE"/>
    <w:rsid w:val="00882580"/>
    <w:rsid w:val="00882A72"/>
    <w:rsid w:val="008836BD"/>
    <w:rsid w:val="00883A94"/>
    <w:rsid w:val="008846D1"/>
    <w:rsid w:val="0088499F"/>
    <w:rsid w:val="008860C6"/>
    <w:rsid w:val="00887274"/>
    <w:rsid w:val="00887D23"/>
    <w:rsid w:val="00890095"/>
    <w:rsid w:val="00893008"/>
    <w:rsid w:val="008932DF"/>
    <w:rsid w:val="00894507"/>
    <w:rsid w:val="00894821"/>
    <w:rsid w:val="00894CB9"/>
    <w:rsid w:val="00895B53"/>
    <w:rsid w:val="008979E5"/>
    <w:rsid w:val="008A007F"/>
    <w:rsid w:val="008A07F7"/>
    <w:rsid w:val="008A11AF"/>
    <w:rsid w:val="008A185C"/>
    <w:rsid w:val="008A1A5A"/>
    <w:rsid w:val="008A36E2"/>
    <w:rsid w:val="008A3776"/>
    <w:rsid w:val="008A3D5E"/>
    <w:rsid w:val="008A3FBC"/>
    <w:rsid w:val="008A4EBC"/>
    <w:rsid w:val="008A5AEE"/>
    <w:rsid w:val="008A62C6"/>
    <w:rsid w:val="008A6525"/>
    <w:rsid w:val="008B0559"/>
    <w:rsid w:val="008B0C79"/>
    <w:rsid w:val="008B1238"/>
    <w:rsid w:val="008B1777"/>
    <w:rsid w:val="008B1813"/>
    <w:rsid w:val="008B2122"/>
    <w:rsid w:val="008B2D8A"/>
    <w:rsid w:val="008B346A"/>
    <w:rsid w:val="008B411F"/>
    <w:rsid w:val="008B786A"/>
    <w:rsid w:val="008C0961"/>
    <w:rsid w:val="008C0EB1"/>
    <w:rsid w:val="008C18D2"/>
    <w:rsid w:val="008C2712"/>
    <w:rsid w:val="008C3773"/>
    <w:rsid w:val="008C3A37"/>
    <w:rsid w:val="008C3D8D"/>
    <w:rsid w:val="008C3DB3"/>
    <w:rsid w:val="008C5030"/>
    <w:rsid w:val="008C568C"/>
    <w:rsid w:val="008C5A94"/>
    <w:rsid w:val="008C683D"/>
    <w:rsid w:val="008C7081"/>
    <w:rsid w:val="008D0EB5"/>
    <w:rsid w:val="008D13DC"/>
    <w:rsid w:val="008D17FB"/>
    <w:rsid w:val="008D1940"/>
    <w:rsid w:val="008D271F"/>
    <w:rsid w:val="008D3B43"/>
    <w:rsid w:val="008D40A9"/>
    <w:rsid w:val="008D4594"/>
    <w:rsid w:val="008D49D2"/>
    <w:rsid w:val="008D4A0A"/>
    <w:rsid w:val="008D546C"/>
    <w:rsid w:val="008D738D"/>
    <w:rsid w:val="008D7941"/>
    <w:rsid w:val="008E021B"/>
    <w:rsid w:val="008E3038"/>
    <w:rsid w:val="008E43EA"/>
    <w:rsid w:val="008E472D"/>
    <w:rsid w:val="008E5BA7"/>
    <w:rsid w:val="008E5DC2"/>
    <w:rsid w:val="008E6576"/>
    <w:rsid w:val="008E7B1F"/>
    <w:rsid w:val="008F026F"/>
    <w:rsid w:val="008F0BC1"/>
    <w:rsid w:val="008F156E"/>
    <w:rsid w:val="008F203D"/>
    <w:rsid w:val="008F4D5D"/>
    <w:rsid w:val="00900441"/>
    <w:rsid w:val="009043B5"/>
    <w:rsid w:val="0090559D"/>
    <w:rsid w:val="00905D68"/>
    <w:rsid w:val="0090629E"/>
    <w:rsid w:val="00906D39"/>
    <w:rsid w:val="00907C00"/>
    <w:rsid w:val="00910051"/>
    <w:rsid w:val="0091123B"/>
    <w:rsid w:val="00911A49"/>
    <w:rsid w:val="00912D05"/>
    <w:rsid w:val="009167F8"/>
    <w:rsid w:val="00916C1B"/>
    <w:rsid w:val="00920C72"/>
    <w:rsid w:val="009214A9"/>
    <w:rsid w:val="009216F6"/>
    <w:rsid w:val="00922A0B"/>
    <w:rsid w:val="009232D2"/>
    <w:rsid w:val="00924733"/>
    <w:rsid w:val="00924BB1"/>
    <w:rsid w:val="00925988"/>
    <w:rsid w:val="009265AB"/>
    <w:rsid w:val="009301AC"/>
    <w:rsid w:val="00930614"/>
    <w:rsid w:val="00930C45"/>
    <w:rsid w:val="00931149"/>
    <w:rsid w:val="009311CC"/>
    <w:rsid w:val="0093313D"/>
    <w:rsid w:val="0093377F"/>
    <w:rsid w:val="00934052"/>
    <w:rsid w:val="009363C5"/>
    <w:rsid w:val="0093643C"/>
    <w:rsid w:val="00937719"/>
    <w:rsid w:val="00937CFB"/>
    <w:rsid w:val="00942282"/>
    <w:rsid w:val="00942BC5"/>
    <w:rsid w:val="009430E7"/>
    <w:rsid w:val="0094381F"/>
    <w:rsid w:val="00943F76"/>
    <w:rsid w:val="00944BE0"/>
    <w:rsid w:val="00946334"/>
    <w:rsid w:val="00946FB5"/>
    <w:rsid w:val="00950D0A"/>
    <w:rsid w:val="00951C89"/>
    <w:rsid w:val="00952C13"/>
    <w:rsid w:val="00952F9E"/>
    <w:rsid w:val="0095326A"/>
    <w:rsid w:val="00953AF5"/>
    <w:rsid w:val="00954935"/>
    <w:rsid w:val="009550E2"/>
    <w:rsid w:val="0095522E"/>
    <w:rsid w:val="00956124"/>
    <w:rsid w:val="009567BC"/>
    <w:rsid w:val="009568B8"/>
    <w:rsid w:val="00956C6F"/>
    <w:rsid w:val="009604E7"/>
    <w:rsid w:val="009613AF"/>
    <w:rsid w:val="0096199B"/>
    <w:rsid w:val="00962785"/>
    <w:rsid w:val="00962FC6"/>
    <w:rsid w:val="00963242"/>
    <w:rsid w:val="0096394D"/>
    <w:rsid w:val="009639D0"/>
    <w:rsid w:val="009646C6"/>
    <w:rsid w:val="00964DEC"/>
    <w:rsid w:val="0096536A"/>
    <w:rsid w:val="0096594C"/>
    <w:rsid w:val="00966A3B"/>
    <w:rsid w:val="009675BF"/>
    <w:rsid w:val="00970F20"/>
    <w:rsid w:val="009712EB"/>
    <w:rsid w:val="009718AE"/>
    <w:rsid w:val="009718CC"/>
    <w:rsid w:val="009722B1"/>
    <w:rsid w:val="009734B9"/>
    <w:rsid w:val="00974125"/>
    <w:rsid w:val="009746E9"/>
    <w:rsid w:val="0097544D"/>
    <w:rsid w:val="00975C8E"/>
    <w:rsid w:val="00975F3E"/>
    <w:rsid w:val="00976389"/>
    <w:rsid w:val="00976739"/>
    <w:rsid w:val="00976C02"/>
    <w:rsid w:val="00977DB3"/>
    <w:rsid w:val="00982017"/>
    <w:rsid w:val="00982257"/>
    <w:rsid w:val="009822CB"/>
    <w:rsid w:val="0098232E"/>
    <w:rsid w:val="00982506"/>
    <w:rsid w:val="00982CCA"/>
    <w:rsid w:val="00983351"/>
    <w:rsid w:val="00984144"/>
    <w:rsid w:val="00985126"/>
    <w:rsid w:val="009859FE"/>
    <w:rsid w:val="00985DFB"/>
    <w:rsid w:val="00986A29"/>
    <w:rsid w:val="00986A88"/>
    <w:rsid w:val="00987001"/>
    <w:rsid w:val="009871CA"/>
    <w:rsid w:val="00987C24"/>
    <w:rsid w:val="00990CD1"/>
    <w:rsid w:val="0099116C"/>
    <w:rsid w:val="009913FE"/>
    <w:rsid w:val="00991575"/>
    <w:rsid w:val="00991B36"/>
    <w:rsid w:val="00993D2B"/>
    <w:rsid w:val="00993EED"/>
    <w:rsid w:val="00994157"/>
    <w:rsid w:val="00995747"/>
    <w:rsid w:val="00996D29"/>
    <w:rsid w:val="009976F3"/>
    <w:rsid w:val="00997C53"/>
    <w:rsid w:val="009A168C"/>
    <w:rsid w:val="009A26F3"/>
    <w:rsid w:val="009A2F5C"/>
    <w:rsid w:val="009A33C2"/>
    <w:rsid w:val="009A3F13"/>
    <w:rsid w:val="009A4599"/>
    <w:rsid w:val="009A4748"/>
    <w:rsid w:val="009A50D7"/>
    <w:rsid w:val="009A56FC"/>
    <w:rsid w:val="009A5DFC"/>
    <w:rsid w:val="009A5F27"/>
    <w:rsid w:val="009A6ADC"/>
    <w:rsid w:val="009A724D"/>
    <w:rsid w:val="009A7C71"/>
    <w:rsid w:val="009B047E"/>
    <w:rsid w:val="009B118D"/>
    <w:rsid w:val="009B28FA"/>
    <w:rsid w:val="009B379E"/>
    <w:rsid w:val="009B404F"/>
    <w:rsid w:val="009B488C"/>
    <w:rsid w:val="009B49C0"/>
    <w:rsid w:val="009B7290"/>
    <w:rsid w:val="009B7A1B"/>
    <w:rsid w:val="009C159E"/>
    <w:rsid w:val="009C17A0"/>
    <w:rsid w:val="009C235D"/>
    <w:rsid w:val="009C25AC"/>
    <w:rsid w:val="009C4A6A"/>
    <w:rsid w:val="009C4C35"/>
    <w:rsid w:val="009C4C49"/>
    <w:rsid w:val="009C51AD"/>
    <w:rsid w:val="009C5A9C"/>
    <w:rsid w:val="009C6B78"/>
    <w:rsid w:val="009C7323"/>
    <w:rsid w:val="009C732D"/>
    <w:rsid w:val="009D035F"/>
    <w:rsid w:val="009D0921"/>
    <w:rsid w:val="009D0FEC"/>
    <w:rsid w:val="009D163E"/>
    <w:rsid w:val="009D2115"/>
    <w:rsid w:val="009D2773"/>
    <w:rsid w:val="009D43A5"/>
    <w:rsid w:val="009D5138"/>
    <w:rsid w:val="009D56E6"/>
    <w:rsid w:val="009D6B41"/>
    <w:rsid w:val="009D6DDC"/>
    <w:rsid w:val="009D6E2B"/>
    <w:rsid w:val="009D79CE"/>
    <w:rsid w:val="009E08C2"/>
    <w:rsid w:val="009E0A3D"/>
    <w:rsid w:val="009E1086"/>
    <w:rsid w:val="009E1911"/>
    <w:rsid w:val="009E44F8"/>
    <w:rsid w:val="009E47F2"/>
    <w:rsid w:val="009E4EF4"/>
    <w:rsid w:val="009E5CE8"/>
    <w:rsid w:val="009E6105"/>
    <w:rsid w:val="009E6A15"/>
    <w:rsid w:val="009E6F24"/>
    <w:rsid w:val="009F0AFF"/>
    <w:rsid w:val="009F0C3E"/>
    <w:rsid w:val="009F1562"/>
    <w:rsid w:val="009F1653"/>
    <w:rsid w:val="009F17F4"/>
    <w:rsid w:val="009F1BFB"/>
    <w:rsid w:val="009F1FE0"/>
    <w:rsid w:val="009F21F5"/>
    <w:rsid w:val="009F3C95"/>
    <w:rsid w:val="009F3E71"/>
    <w:rsid w:val="009F4261"/>
    <w:rsid w:val="009F476C"/>
    <w:rsid w:val="009F4AF7"/>
    <w:rsid w:val="009F52E8"/>
    <w:rsid w:val="009F5B99"/>
    <w:rsid w:val="009F679B"/>
    <w:rsid w:val="009F7704"/>
    <w:rsid w:val="009F7B66"/>
    <w:rsid w:val="00A00B42"/>
    <w:rsid w:val="00A00EA5"/>
    <w:rsid w:val="00A021AC"/>
    <w:rsid w:val="00A02672"/>
    <w:rsid w:val="00A02812"/>
    <w:rsid w:val="00A02F55"/>
    <w:rsid w:val="00A034E7"/>
    <w:rsid w:val="00A03666"/>
    <w:rsid w:val="00A037D2"/>
    <w:rsid w:val="00A04953"/>
    <w:rsid w:val="00A07D19"/>
    <w:rsid w:val="00A100E3"/>
    <w:rsid w:val="00A10569"/>
    <w:rsid w:val="00A11172"/>
    <w:rsid w:val="00A1150F"/>
    <w:rsid w:val="00A1169E"/>
    <w:rsid w:val="00A1385F"/>
    <w:rsid w:val="00A13939"/>
    <w:rsid w:val="00A13D21"/>
    <w:rsid w:val="00A13DCD"/>
    <w:rsid w:val="00A13E81"/>
    <w:rsid w:val="00A14C7F"/>
    <w:rsid w:val="00A1507B"/>
    <w:rsid w:val="00A1646C"/>
    <w:rsid w:val="00A17214"/>
    <w:rsid w:val="00A20000"/>
    <w:rsid w:val="00A212A1"/>
    <w:rsid w:val="00A23429"/>
    <w:rsid w:val="00A24631"/>
    <w:rsid w:val="00A24FB6"/>
    <w:rsid w:val="00A25B21"/>
    <w:rsid w:val="00A25B28"/>
    <w:rsid w:val="00A25D32"/>
    <w:rsid w:val="00A26B22"/>
    <w:rsid w:val="00A26C02"/>
    <w:rsid w:val="00A321D1"/>
    <w:rsid w:val="00A33747"/>
    <w:rsid w:val="00A357F9"/>
    <w:rsid w:val="00A3596C"/>
    <w:rsid w:val="00A36993"/>
    <w:rsid w:val="00A3712E"/>
    <w:rsid w:val="00A376FD"/>
    <w:rsid w:val="00A407C2"/>
    <w:rsid w:val="00A40D11"/>
    <w:rsid w:val="00A41859"/>
    <w:rsid w:val="00A43879"/>
    <w:rsid w:val="00A44424"/>
    <w:rsid w:val="00A44787"/>
    <w:rsid w:val="00A44F2C"/>
    <w:rsid w:val="00A45105"/>
    <w:rsid w:val="00A45586"/>
    <w:rsid w:val="00A45C70"/>
    <w:rsid w:val="00A463FC"/>
    <w:rsid w:val="00A4643A"/>
    <w:rsid w:val="00A46B62"/>
    <w:rsid w:val="00A471F0"/>
    <w:rsid w:val="00A51381"/>
    <w:rsid w:val="00A51A01"/>
    <w:rsid w:val="00A51CCC"/>
    <w:rsid w:val="00A51F17"/>
    <w:rsid w:val="00A52A98"/>
    <w:rsid w:val="00A53244"/>
    <w:rsid w:val="00A53443"/>
    <w:rsid w:val="00A542D9"/>
    <w:rsid w:val="00A545A0"/>
    <w:rsid w:val="00A545B9"/>
    <w:rsid w:val="00A54982"/>
    <w:rsid w:val="00A54B37"/>
    <w:rsid w:val="00A54E96"/>
    <w:rsid w:val="00A55F8C"/>
    <w:rsid w:val="00A56E32"/>
    <w:rsid w:val="00A5717F"/>
    <w:rsid w:val="00A5783B"/>
    <w:rsid w:val="00A57A82"/>
    <w:rsid w:val="00A60088"/>
    <w:rsid w:val="00A6037A"/>
    <w:rsid w:val="00A60DF4"/>
    <w:rsid w:val="00A60F46"/>
    <w:rsid w:val="00A6167A"/>
    <w:rsid w:val="00A62C7B"/>
    <w:rsid w:val="00A63DEB"/>
    <w:rsid w:val="00A63F52"/>
    <w:rsid w:val="00A647BB"/>
    <w:rsid w:val="00A64DEE"/>
    <w:rsid w:val="00A6597A"/>
    <w:rsid w:val="00A659BD"/>
    <w:rsid w:val="00A704EC"/>
    <w:rsid w:val="00A70549"/>
    <w:rsid w:val="00A70D43"/>
    <w:rsid w:val="00A719FA"/>
    <w:rsid w:val="00A73805"/>
    <w:rsid w:val="00A73F24"/>
    <w:rsid w:val="00A75ABC"/>
    <w:rsid w:val="00A75D0A"/>
    <w:rsid w:val="00A75EC4"/>
    <w:rsid w:val="00A760F3"/>
    <w:rsid w:val="00A77180"/>
    <w:rsid w:val="00A77A19"/>
    <w:rsid w:val="00A81164"/>
    <w:rsid w:val="00A81BAA"/>
    <w:rsid w:val="00A820D2"/>
    <w:rsid w:val="00A827D5"/>
    <w:rsid w:val="00A855D1"/>
    <w:rsid w:val="00A876EE"/>
    <w:rsid w:val="00A90CD7"/>
    <w:rsid w:val="00A91494"/>
    <w:rsid w:val="00A91532"/>
    <w:rsid w:val="00A91C5F"/>
    <w:rsid w:val="00A92308"/>
    <w:rsid w:val="00A92575"/>
    <w:rsid w:val="00A928D3"/>
    <w:rsid w:val="00A92DB5"/>
    <w:rsid w:val="00A95B51"/>
    <w:rsid w:val="00A95C6D"/>
    <w:rsid w:val="00A95EE0"/>
    <w:rsid w:val="00A96210"/>
    <w:rsid w:val="00A96218"/>
    <w:rsid w:val="00A96D2D"/>
    <w:rsid w:val="00A96F2C"/>
    <w:rsid w:val="00A97B8D"/>
    <w:rsid w:val="00AA1E5F"/>
    <w:rsid w:val="00AA29E4"/>
    <w:rsid w:val="00AA3884"/>
    <w:rsid w:val="00AA3A9B"/>
    <w:rsid w:val="00AA45C9"/>
    <w:rsid w:val="00AA524D"/>
    <w:rsid w:val="00AA54D1"/>
    <w:rsid w:val="00AA59C4"/>
    <w:rsid w:val="00AA6561"/>
    <w:rsid w:val="00AA6D8A"/>
    <w:rsid w:val="00AA7201"/>
    <w:rsid w:val="00AB04D5"/>
    <w:rsid w:val="00AB0BEA"/>
    <w:rsid w:val="00AB2105"/>
    <w:rsid w:val="00AB32B4"/>
    <w:rsid w:val="00AB3767"/>
    <w:rsid w:val="00AB5102"/>
    <w:rsid w:val="00AB57F8"/>
    <w:rsid w:val="00AB6A34"/>
    <w:rsid w:val="00AB6AA1"/>
    <w:rsid w:val="00AB763A"/>
    <w:rsid w:val="00AB7966"/>
    <w:rsid w:val="00AC0284"/>
    <w:rsid w:val="00AC13D6"/>
    <w:rsid w:val="00AC19A8"/>
    <w:rsid w:val="00AC262C"/>
    <w:rsid w:val="00AC3B41"/>
    <w:rsid w:val="00AC5AFF"/>
    <w:rsid w:val="00AC6A1B"/>
    <w:rsid w:val="00AC6B9B"/>
    <w:rsid w:val="00AC7902"/>
    <w:rsid w:val="00AC7BB6"/>
    <w:rsid w:val="00AD1EA2"/>
    <w:rsid w:val="00AD1EC1"/>
    <w:rsid w:val="00AD2BA3"/>
    <w:rsid w:val="00AD41AF"/>
    <w:rsid w:val="00AD476B"/>
    <w:rsid w:val="00AD4DEC"/>
    <w:rsid w:val="00AD54BD"/>
    <w:rsid w:val="00AD6C11"/>
    <w:rsid w:val="00AD7881"/>
    <w:rsid w:val="00AD79B0"/>
    <w:rsid w:val="00AE0E17"/>
    <w:rsid w:val="00AE1444"/>
    <w:rsid w:val="00AE276F"/>
    <w:rsid w:val="00AE555C"/>
    <w:rsid w:val="00AE59BB"/>
    <w:rsid w:val="00AE6227"/>
    <w:rsid w:val="00AE6B91"/>
    <w:rsid w:val="00AE6CB7"/>
    <w:rsid w:val="00AF23E3"/>
    <w:rsid w:val="00AF3ABE"/>
    <w:rsid w:val="00AF478E"/>
    <w:rsid w:val="00AF4B85"/>
    <w:rsid w:val="00AF5338"/>
    <w:rsid w:val="00AF5698"/>
    <w:rsid w:val="00AF7A2A"/>
    <w:rsid w:val="00B00F0D"/>
    <w:rsid w:val="00B02726"/>
    <w:rsid w:val="00B02B1E"/>
    <w:rsid w:val="00B0312B"/>
    <w:rsid w:val="00B03172"/>
    <w:rsid w:val="00B048C6"/>
    <w:rsid w:val="00B04D21"/>
    <w:rsid w:val="00B05080"/>
    <w:rsid w:val="00B05242"/>
    <w:rsid w:val="00B05334"/>
    <w:rsid w:val="00B06B4D"/>
    <w:rsid w:val="00B07A27"/>
    <w:rsid w:val="00B07FBE"/>
    <w:rsid w:val="00B10C72"/>
    <w:rsid w:val="00B1140B"/>
    <w:rsid w:val="00B11FCE"/>
    <w:rsid w:val="00B126EB"/>
    <w:rsid w:val="00B128FF"/>
    <w:rsid w:val="00B13AB7"/>
    <w:rsid w:val="00B140A9"/>
    <w:rsid w:val="00B1553D"/>
    <w:rsid w:val="00B15C8B"/>
    <w:rsid w:val="00B17798"/>
    <w:rsid w:val="00B207B4"/>
    <w:rsid w:val="00B210E8"/>
    <w:rsid w:val="00B21184"/>
    <w:rsid w:val="00B2216A"/>
    <w:rsid w:val="00B231D1"/>
    <w:rsid w:val="00B23ED1"/>
    <w:rsid w:val="00B242A2"/>
    <w:rsid w:val="00B24B4B"/>
    <w:rsid w:val="00B24F12"/>
    <w:rsid w:val="00B258E0"/>
    <w:rsid w:val="00B26BA7"/>
    <w:rsid w:val="00B27467"/>
    <w:rsid w:val="00B274EC"/>
    <w:rsid w:val="00B31DFD"/>
    <w:rsid w:val="00B33631"/>
    <w:rsid w:val="00B33A40"/>
    <w:rsid w:val="00B33AD5"/>
    <w:rsid w:val="00B33CC1"/>
    <w:rsid w:val="00B33E4E"/>
    <w:rsid w:val="00B34039"/>
    <w:rsid w:val="00B34106"/>
    <w:rsid w:val="00B356C2"/>
    <w:rsid w:val="00B3692E"/>
    <w:rsid w:val="00B421B1"/>
    <w:rsid w:val="00B42264"/>
    <w:rsid w:val="00B42504"/>
    <w:rsid w:val="00B43134"/>
    <w:rsid w:val="00B44453"/>
    <w:rsid w:val="00B4470C"/>
    <w:rsid w:val="00B44F10"/>
    <w:rsid w:val="00B453D1"/>
    <w:rsid w:val="00B45664"/>
    <w:rsid w:val="00B45EE4"/>
    <w:rsid w:val="00B47191"/>
    <w:rsid w:val="00B5069E"/>
    <w:rsid w:val="00B51A73"/>
    <w:rsid w:val="00B5707B"/>
    <w:rsid w:val="00B57371"/>
    <w:rsid w:val="00B60509"/>
    <w:rsid w:val="00B60603"/>
    <w:rsid w:val="00B61526"/>
    <w:rsid w:val="00B61822"/>
    <w:rsid w:val="00B63354"/>
    <w:rsid w:val="00B63C6E"/>
    <w:rsid w:val="00B63EFB"/>
    <w:rsid w:val="00B64FF2"/>
    <w:rsid w:val="00B658C0"/>
    <w:rsid w:val="00B665A9"/>
    <w:rsid w:val="00B67BF8"/>
    <w:rsid w:val="00B7024F"/>
    <w:rsid w:val="00B71269"/>
    <w:rsid w:val="00B71F8E"/>
    <w:rsid w:val="00B7216F"/>
    <w:rsid w:val="00B744ED"/>
    <w:rsid w:val="00B76D84"/>
    <w:rsid w:val="00B76E00"/>
    <w:rsid w:val="00B77918"/>
    <w:rsid w:val="00B77E98"/>
    <w:rsid w:val="00B8039E"/>
    <w:rsid w:val="00B806AF"/>
    <w:rsid w:val="00B80AD9"/>
    <w:rsid w:val="00B811AC"/>
    <w:rsid w:val="00B81429"/>
    <w:rsid w:val="00B832DD"/>
    <w:rsid w:val="00B8540F"/>
    <w:rsid w:val="00B8570A"/>
    <w:rsid w:val="00B87A11"/>
    <w:rsid w:val="00B90260"/>
    <w:rsid w:val="00B90390"/>
    <w:rsid w:val="00B9059B"/>
    <w:rsid w:val="00B919B3"/>
    <w:rsid w:val="00B921F1"/>
    <w:rsid w:val="00B92811"/>
    <w:rsid w:val="00B933DB"/>
    <w:rsid w:val="00B93F8D"/>
    <w:rsid w:val="00B94130"/>
    <w:rsid w:val="00B9561E"/>
    <w:rsid w:val="00B966A7"/>
    <w:rsid w:val="00B97228"/>
    <w:rsid w:val="00B9741B"/>
    <w:rsid w:val="00B97BFD"/>
    <w:rsid w:val="00B97E73"/>
    <w:rsid w:val="00BA03BD"/>
    <w:rsid w:val="00BA090B"/>
    <w:rsid w:val="00BA2AF3"/>
    <w:rsid w:val="00BA41A7"/>
    <w:rsid w:val="00BA5B4A"/>
    <w:rsid w:val="00BB0C79"/>
    <w:rsid w:val="00BB139E"/>
    <w:rsid w:val="00BB1A39"/>
    <w:rsid w:val="00BB35C8"/>
    <w:rsid w:val="00BB38A3"/>
    <w:rsid w:val="00BB5A6E"/>
    <w:rsid w:val="00BB5C05"/>
    <w:rsid w:val="00BC06F2"/>
    <w:rsid w:val="00BC14DB"/>
    <w:rsid w:val="00BC279E"/>
    <w:rsid w:val="00BC2E52"/>
    <w:rsid w:val="00BC4977"/>
    <w:rsid w:val="00BC4F22"/>
    <w:rsid w:val="00BC5477"/>
    <w:rsid w:val="00BC7300"/>
    <w:rsid w:val="00BD083F"/>
    <w:rsid w:val="00BD1836"/>
    <w:rsid w:val="00BD1B36"/>
    <w:rsid w:val="00BD4EC2"/>
    <w:rsid w:val="00BD60AE"/>
    <w:rsid w:val="00BD60E9"/>
    <w:rsid w:val="00BD7651"/>
    <w:rsid w:val="00BD7827"/>
    <w:rsid w:val="00BE0425"/>
    <w:rsid w:val="00BE232B"/>
    <w:rsid w:val="00BE32FA"/>
    <w:rsid w:val="00BE3E23"/>
    <w:rsid w:val="00BE43C7"/>
    <w:rsid w:val="00BE4601"/>
    <w:rsid w:val="00BE539A"/>
    <w:rsid w:val="00BE6C08"/>
    <w:rsid w:val="00BF02A8"/>
    <w:rsid w:val="00BF0622"/>
    <w:rsid w:val="00BF06B8"/>
    <w:rsid w:val="00BF0F0A"/>
    <w:rsid w:val="00BF1C51"/>
    <w:rsid w:val="00BF246D"/>
    <w:rsid w:val="00BF25B7"/>
    <w:rsid w:val="00BF290B"/>
    <w:rsid w:val="00BF3966"/>
    <w:rsid w:val="00BF3BBB"/>
    <w:rsid w:val="00BF3F33"/>
    <w:rsid w:val="00BF7159"/>
    <w:rsid w:val="00BF7BD9"/>
    <w:rsid w:val="00C00D99"/>
    <w:rsid w:val="00C0121F"/>
    <w:rsid w:val="00C01445"/>
    <w:rsid w:val="00C0218E"/>
    <w:rsid w:val="00C041B7"/>
    <w:rsid w:val="00C0425B"/>
    <w:rsid w:val="00C045F2"/>
    <w:rsid w:val="00C04D85"/>
    <w:rsid w:val="00C04FFB"/>
    <w:rsid w:val="00C05880"/>
    <w:rsid w:val="00C05AFE"/>
    <w:rsid w:val="00C05C8D"/>
    <w:rsid w:val="00C0656C"/>
    <w:rsid w:val="00C0687B"/>
    <w:rsid w:val="00C105B9"/>
    <w:rsid w:val="00C10D50"/>
    <w:rsid w:val="00C111BC"/>
    <w:rsid w:val="00C112D6"/>
    <w:rsid w:val="00C1218E"/>
    <w:rsid w:val="00C122BD"/>
    <w:rsid w:val="00C12621"/>
    <w:rsid w:val="00C12933"/>
    <w:rsid w:val="00C13170"/>
    <w:rsid w:val="00C13589"/>
    <w:rsid w:val="00C14033"/>
    <w:rsid w:val="00C14570"/>
    <w:rsid w:val="00C15F9D"/>
    <w:rsid w:val="00C161DA"/>
    <w:rsid w:val="00C16DA4"/>
    <w:rsid w:val="00C17099"/>
    <w:rsid w:val="00C1720B"/>
    <w:rsid w:val="00C17714"/>
    <w:rsid w:val="00C20917"/>
    <w:rsid w:val="00C20CC5"/>
    <w:rsid w:val="00C21059"/>
    <w:rsid w:val="00C21D18"/>
    <w:rsid w:val="00C2228F"/>
    <w:rsid w:val="00C22324"/>
    <w:rsid w:val="00C232B8"/>
    <w:rsid w:val="00C243CD"/>
    <w:rsid w:val="00C24CE7"/>
    <w:rsid w:val="00C26AEB"/>
    <w:rsid w:val="00C26F2F"/>
    <w:rsid w:val="00C2712B"/>
    <w:rsid w:val="00C3014C"/>
    <w:rsid w:val="00C30ED9"/>
    <w:rsid w:val="00C31EE7"/>
    <w:rsid w:val="00C325F7"/>
    <w:rsid w:val="00C329C6"/>
    <w:rsid w:val="00C345F7"/>
    <w:rsid w:val="00C35BE2"/>
    <w:rsid w:val="00C37A69"/>
    <w:rsid w:val="00C37BC4"/>
    <w:rsid w:val="00C37D7B"/>
    <w:rsid w:val="00C37F8A"/>
    <w:rsid w:val="00C4011F"/>
    <w:rsid w:val="00C40539"/>
    <w:rsid w:val="00C40A25"/>
    <w:rsid w:val="00C42E6A"/>
    <w:rsid w:val="00C42E97"/>
    <w:rsid w:val="00C439A7"/>
    <w:rsid w:val="00C44079"/>
    <w:rsid w:val="00C447B1"/>
    <w:rsid w:val="00C44ECE"/>
    <w:rsid w:val="00C45AB8"/>
    <w:rsid w:val="00C5013A"/>
    <w:rsid w:val="00C5114C"/>
    <w:rsid w:val="00C5144D"/>
    <w:rsid w:val="00C51674"/>
    <w:rsid w:val="00C5197F"/>
    <w:rsid w:val="00C53AE8"/>
    <w:rsid w:val="00C53CE7"/>
    <w:rsid w:val="00C540B8"/>
    <w:rsid w:val="00C55321"/>
    <w:rsid w:val="00C562C6"/>
    <w:rsid w:val="00C57468"/>
    <w:rsid w:val="00C605AC"/>
    <w:rsid w:val="00C610D8"/>
    <w:rsid w:val="00C61877"/>
    <w:rsid w:val="00C6229E"/>
    <w:rsid w:val="00C62C44"/>
    <w:rsid w:val="00C63BA3"/>
    <w:rsid w:val="00C6438F"/>
    <w:rsid w:val="00C647C1"/>
    <w:rsid w:val="00C65004"/>
    <w:rsid w:val="00C666BD"/>
    <w:rsid w:val="00C7379F"/>
    <w:rsid w:val="00C74189"/>
    <w:rsid w:val="00C7430B"/>
    <w:rsid w:val="00C74C1D"/>
    <w:rsid w:val="00C75224"/>
    <w:rsid w:val="00C758E4"/>
    <w:rsid w:val="00C76C60"/>
    <w:rsid w:val="00C76CB9"/>
    <w:rsid w:val="00C80063"/>
    <w:rsid w:val="00C80AAE"/>
    <w:rsid w:val="00C8122B"/>
    <w:rsid w:val="00C8171B"/>
    <w:rsid w:val="00C81D6D"/>
    <w:rsid w:val="00C82730"/>
    <w:rsid w:val="00C843A9"/>
    <w:rsid w:val="00C84D76"/>
    <w:rsid w:val="00C90127"/>
    <w:rsid w:val="00C90D22"/>
    <w:rsid w:val="00C90E4B"/>
    <w:rsid w:val="00C913C6"/>
    <w:rsid w:val="00C94A58"/>
    <w:rsid w:val="00C94A84"/>
    <w:rsid w:val="00C95A8C"/>
    <w:rsid w:val="00C96D5C"/>
    <w:rsid w:val="00CA02EE"/>
    <w:rsid w:val="00CA0E00"/>
    <w:rsid w:val="00CA27F0"/>
    <w:rsid w:val="00CA3D6F"/>
    <w:rsid w:val="00CA4988"/>
    <w:rsid w:val="00CA5126"/>
    <w:rsid w:val="00CA570D"/>
    <w:rsid w:val="00CA69ED"/>
    <w:rsid w:val="00CA7C13"/>
    <w:rsid w:val="00CB0AA2"/>
    <w:rsid w:val="00CB1D09"/>
    <w:rsid w:val="00CB2467"/>
    <w:rsid w:val="00CB26C0"/>
    <w:rsid w:val="00CB353C"/>
    <w:rsid w:val="00CB3FD4"/>
    <w:rsid w:val="00CB4B7F"/>
    <w:rsid w:val="00CB6463"/>
    <w:rsid w:val="00CB6DBD"/>
    <w:rsid w:val="00CB708D"/>
    <w:rsid w:val="00CB765A"/>
    <w:rsid w:val="00CC0316"/>
    <w:rsid w:val="00CC07FA"/>
    <w:rsid w:val="00CC0C52"/>
    <w:rsid w:val="00CC1DBB"/>
    <w:rsid w:val="00CC25D1"/>
    <w:rsid w:val="00CC2D55"/>
    <w:rsid w:val="00CC40F5"/>
    <w:rsid w:val="00CC427D"/>
    <w:rsid w:val="00CC4B67"/>
    <w:rsid w:val="00CC4C48"/>
    <w:rsid w:val="00CC4EC3"/>
    <w:rsid w:val="00CC710A"/>
    <w:rsid w:val="00CC7CB1"/>
    <w:rsid w:val="00CD2653"/>
    <w:rsid w:val="00CD3165"/>
    <w:rsid w:val="00CD4B12"/>
    <w:rsid w:val="00CD4C6C"/>
    <w:rsid w:val="00CD59F2"/>
    <w:rsid w:val="00CD6C68"/>
    <w:rsid w:val="00CD6E34"/>
    <w:rsid w:val="00CD71F5"/>
    <w:rsid w:val="00CD7914"/>
    <w:rsid w:val="00CD7DE9"/>
    <w:rsid w:val="00CE0892"/>
    <w:rsid w:val="00CE3B9C"/>
    <w:rsid w:val="00CE3D80"/>
    <w:rsid w:val="00CE4E29"/>
    <w:rsid w:val="00CE57C3"/>
    <w:rsid w:val="00CE5D3D"/>
    <w:rsid w:val="00CE7153"/>
    <w:rsid w:val="00CE7C8F"/>
    <w:rsid w:val="00CF09A6"/>
    <w:rsid w:val="00CF1731"/>
    <w:rsid w:val="00CF1D9E"/>
    <w:rsid w:val="00CF2CD7"/>
    <w:rsid w:val="00CF2D15"/>
    <w:rsid w:val="00CF50CA"/>
    <w:rsid w:val="00CF65B8"/>
    <w:rsid w:val="00D0009F"/>
    <w:rsid w:val="00D00D65"/>
    <w:rsid w:val="00D0100F"/>
    <w:rsid w:val="00D0101C"/>
    <w:rsid w:val="00D02E74"/>
    <w:rsid w:val="00D06352"/>
    <w:rsid w:val="00D067D0"/>
    <w:rsid w:val="00D06ACF"/>
    <w:rsid w:val="00D07162"/>
    <w:rsid w:val="00D105D2"/>
    <w:rsid w:val="00D106A8"/>
    <w:rsid w:val="00D11176"/>
    <w:rsid w:val="00D1139C"/>
    <w:rsid w:val="00D11E4B"/>
    <w:rsid w:val="00D13055"/>
    <w:rsid w:val="00D13EB7"/>
    <w:rsid w:val="00D14364"/>
    <w:rsid w:val="00D14B8E"/>
    <w:rsid w:val="00D14F3B"/>
    <w:rsid w:val="00D154C4"/>
    <w:rsid w:val="00D154DB"/>
    <w:rsid w:val="00D15D39"/>
    <w:rsid w:val="00D164CE"/>
    <w:rsid w:val="00D1671B"/>
    <w:rsid w:val="00D20719"/>
    <w:rsid w:val="00D21D39"/>
    <w:rsid w:val="00D21F46"/>
    <w:rsid w:val="00D23D93"/>
    <w:rsid w:val="00D243C1"/>
    <w:rsid w:val="00D2476A"/>
    <w:rsid w:val="00D24F48"/>
    <w:rsid w:val="00D2673B"/>
    <w:rsid w:val="00D269C9"/>
    <w:rsid w:val="00D26AF2"/>
    <w:rsid w:val="00D271F4"/>
    <w:rsid w:val="00D27C27"/>
    <w:rsid w:val="00D3051D"/>
    <w:rsid w:val="00D321A0"/>
    <w:rsid w:val="00D32A04"/>
    <w:rsid w:val="00D37041"/>
    <w:rsid w:val="00D37F4F"/>
    <w:rsid w:val="00D40BA5"/>
    <w:rsid w:val="00D42039"/>
    <w:rsid w:val="00D42674"/>
    <w:rsid w:val="00D429A8"/>
    <w:rsid w:val="00D42BA8"/>
    <w:rsid w:val="00D43464"/>
    <w:rsid w:val="00D4368A"/>
    <w:rsid w:val="00D43EC3"/>
    <w:rsid w:val="00D43F20"/>
    <w:rsid w:val="00D43F80"/>
    <w:rsid w:val="00D47708"/>
    <w:rsid w:val="00D47762"/>
    <w:rsid w:val="00D47946"/>
    <w:rsid w:val="00D479CB"/>
    <w:rsid w:val="00D50031"/>
    <w:rsid w:val="00D500F9"/>
    <w:rsid w:val="00D50444"/>
    <w:rsid w:val="00D50E78"/>
    <w:rsid w:val="00D50FF4"/>
    <w:rsid w:val="00D51096"/>
    <w:rsid w:val="00D51122"/>
    <w:rsid w:val="00D52C78"/>
    <w:rsid w:val="00D53774"/>
    <w:rsid w:val="00D53875"/>
    <w:rsid w:val="00D539CE"/>
    <w:rsid w:val="00D53A34"/>
    <w:rsid w:val="00D542C2"/>
    <w:rsid w:val="00D56259"/>
    <w:rsid w:val="00D5702B"/>
    <w:rsid w:val="00D5791A"/>
    <w:rsid w:val="00D57E3A"/>
    <w:rsid w:val="00D61930"/>
    <w:rsid w:val="00D61D77"/>
    <w:rsid w:val="00D61FF9"/>
    <w:rsid w:val="00D62359"/>
    <w:rsid w:val="00D63A29"/>
    <w:rsid w:val="00D66120"/>
    <w:rsid w:val="00D6676F"/>
    <w:rsid w:val="00D66BF4"/>
    <w:rsid w:val="00D66E1D"/>
    <w:rsid w:val="00D67849"/>
    <w:rsid w:val="00D7018F"/>
    <w:rsid w:val="00D7315B"/>
    <w:rsid w:val="00D73F10"/>
    <w:rsid w:val="00D75604"/>
    <w:rsid w:val="00D76B19"/>
    <w:rsid w:val="00D77677"/>
    <w:rsid w:val="00D83DD1"/>
    <w:rsid w:val="00D84FAB"/>
    <w:rsid w:val="00D86506"/>
    <w:rsid w:val="00D867EF"/>
    <w:rsid w:val="00D86E73"/>
    <w:rsid w:val="00D874A1"/>
    <w:rsid w:val="00D90A2B"/>
    <w:rsid w:val="00D916EE"/>
    <w:rsid w:val="00D9360A"/>
    <w:rsid w:val="00D936F0"/>
    <w:rsid w:val="00D9447D"/>
    <w:rsid w:val="00D969A5"/>
    <w:rsid w:val="00D97DFE"/>
    <w:rsid w:val="00DA2A94"/>
    <w:rsid w:val="00DA2C93"/>
    <w:rsid w:val="00DA4610"/>
    <w:rsid w:val="00DA7223"/>
    <w:rsid w:val="00DA7EEB"/>
    <w:rsid w:val="00DB00FB"/>
    <w:rsid w:val="00DB0AA2"/>
    <w:rsid w:val="00DB0AA9"/>
    <w:rsid w:val="00DB14DB"/>
    <w:rsid w:val="00DB2CE4"/>
    <w:rsid w:val="00DB4D71"/>
    <w:rsid w:val="00DB4E56"/>
    <w:rsid w:val="00DB5669"/>
    <w:rsid w:val="00DB6145"/>
    <w:rsid w:val="00DB6B90"/>
    <w:rsid w:val="00DB6E84"/>
    <w:rsid w:val="00DB7A64"/>
    <w:rsid w:val="00DC1538"/>
    <w:rsid w:val="00DC225F"/>
    <w:rsid w:val="00DC2CA0"/>
    <w:rsid w:val="00DC4175"/>
    <w:rsid w:val="00DC4EC0"/>
    <w:rsid w:val="00DC5FCA"/>
    <w:rsid w:val="00DC698F"/>
    <w:rsid w:val="00DC7853"/>
    <w:rsid w:val="00DD3A31"/>
    <w:rsid w:val="00DD3A3B"/>
    <w:rsid w:val="00DD43AF"/>
    <w:rsid w:val="00DD5E70"/>
    <w:rsid w:val="00DE0DF7"/>
    <w:rsid w:val="00DE10C3"/>
    <w:rsid w:val="00DE132F"/>
    <w:rsid w:val="00DE1AED"/>
    <w:rsid w:val="00DE42E7"/>
    <w:rsid w:val="00DE63A8"/>
    <w:rsid w:val="00DE6A4B"/>
    <w:rsid w:val="00DE75B6"/>
    <w:rsid w:val="00DF0BF4"/>
    <w:rsid w:val="00DF0EAE"/>
    <w:rsid w:val="00DF125C"/>
    <w:rsid w:val="00DF157F"/>
    <w:rsid w:val="00DF1DFE"/>
    <w:rsid w:val="00DF1F9E"/>
    <w:rsid w:val="00DF370D"/>
    <w:rsid w:val="00DF46C8"/>
    <w:rsid w:val="00DF485D"/>
    <w:rsid w:val="00DF4B73"/>
    <w:rsid w:val="00E00919"/>
    <w:rsid w:val="00E01599"/>
    <w:rsid w:val="00E0167A"/>
    <w:rsid w:val="00E017FF"/>
    <w:rsid w:val="00E0202D"/>
    <w:rsid w:val="00E02D6F"/>
    <w:rsid w:val="00E02F7C"/>
    <w:rsid w:val="00E03FB4"/>
    <w:rsid w:val="00E04D74"/>
    <w:rsid w:val="00E05A95"/>
    <w:rsid w:val="00E07C7C"/>
    <w:rsid w:val="00E102ED"/>
    <w:rsid w:val="00E10BD9"/>
    <w:rsid w:val="00E11476"/>
    <w:rsid w:val="00E115D5"/>
    <w:rsid w:val="00E1204C"/>
    <w:rsid w:val="00E1266A"/>
    <w:rsid w:val="00E14C77"/>
    <w:rsid w:val="00E1544B"/>
    <w:rsid w:val="00E170D4"/>
    <w:rsid w:val="00E17429"/>
    <w:rsid w:val="00E17617"/>
    <w:rsid w:val="00E206C0"/>
    <w:rsid w:val="00E21ADB"/>
    <w:rsid w:val="00E220D3"/>
    <w:rsid w:val="00E22407"/>
    <w:rsid w:val="00E2562C"/>
    <w:rsid w:val="00E30B5C"/>
    <w:rsid w:val="00E32B13"/>
    <w:rsid w:val="00E32D00"/>
    <w:rsid w:val="00E33775"/>
    <w:rsid w:val="00E33D8A"/>
    <w:rsid w:val="00E3480E"/>
    <w:rsid w:val="00E35D7B"/>
    <w:rsid w:val="00E361C8"/>
    <w:rsid w:val="00E3676F"/>
    <w:rsid w:val="00E37F62"/>
    <w:rsid w:val="00E402E1"/>
    <w:rsid w:val="00E41C85"/>
    <w:rsid w:val="00E41CF7"/>
    <w:rsid w:val="00E42D25"/>
    <w:rsid w:val="00E42EA0"/>
    <w:rsid w:val="00E43026"/>
    <w:rsid w:val="00E43138"/>
    <w:rsid w:val="00E43654"/>
    <w:rsid w:val="00E44BC2"/>
    <w:rsid w:val="00E450E4"/>
    <w:rsid w:val="00E45D8C"/>
    <w:rsid w:val="00E46693"/>
    <w:rsid w:val="00E47678"/>
    <w:rsid w:val="00E47BAC"/>
    <w:rsid w:val="00E47F4A"/>
    <w:rsid w:val="00E500A4"/>
    <w:rsid w:val="00E50133"/>
    <w:rsid w:val="00E51041"/>
    <w:rsid w:val="00E51EDD"/>
    <w:rsid w:val="00E52457"/>
    <w:rsid w:val="00E5305C"/>
    <w:rsid w:val="00E541D0"/>
    <w:rsid w:val="00E556CD"/>
    <w:rsid w:val="00E56C15"/>
    <w:rsid w:val="00E56DDD"/>
    <w:rsid w:val="00E60025"/>
    <w:rsid w:val="00E6010C"/>
    <w:rsid w:val="00E60718"/>
    <w:rsid w:val="00E621D5"/>
    <w:rsid w:val="00E627B0"/>
    <w:rsid w:val="00E63431"/>
    <w:rsid w:val="00E6347E"/>
    <w:rsid w:val="00E63D76"/>
    <w:rsid w:val="00E63DCE"/>
    <w:rsid w:val="00E645C9"/>
    <w:rsid w:val="00E64862"/>
    <w:rsid w:val="00E65E87"/>
    <w:rsid w:val="00E666F1"/>
    <w:rsid w:val="00E66898"/>
    <w:rsid w:val="00E673B9"/>
    <w:rsid w:val="00E67410"/>
    <w:rsid w:val="00E67E36"/>
    <w:rsid w:val="00E702DB"/>
    <w:rsid w:val="00E7080A"/>
    <w:rsid w:val="00E7084A"/>
    <w:rsid w:val="00E71473"/>
    <w:rsid w:val="00E71492"/>
    <w:rsid w:val="00E71993"/>
    <w:rsid w:val="00E73FEA"/>
    <w:rsid w:val="00E76036"/>
    <w:rsid w:val="00E761D2"/>
    <w:rsid w:val="00E76A33"/>
    <w:rsid w:val="00E8160D"/>
    <w:rsid w:val="00E82A94"/>
    <w:rsid w:val="00E82C31"/>
    <w:rsid w:val="00E83E97"/>
    <w:rsid w:val="00E84001"/>
    <w:rsid w:val="00E85A07"/>
    <w:rsid w:val="00E85CDD"/>
    <w:rsid w:val="00E85FF4"/>
    <w:rsid w:val="00E86C75"/>
    <w:rsid w:val="00E87198"/>
    <w:rsid w:val="00E90BE8"/>
    <w:rsid w:val="00E9335F"/>
    <w:rsid w:val="00E965E6"/>
    <w:rsid w:val="00EA05C5"/>
    <w:rsid w:val="00EA0800"/>
    <w:rsid w:val="00EA126D"/>
    <w:rsid w:val="00EA131C"/>
    <w:rsid w:val="00EA1BB2"/>
    <w:rsid w:val="00EA3FFE"/>
    <w:rsid w:val="00EA4396"/>
    <w:rsid w:val="00EA4943"/>
    <w:rsid w:val="00EA4CB4"/>
    <w:rsid w:val="00EA5BBE"/>
    <w:rsid w:val="00EA6C56"/>
    <w:rsid w:val="00EA7370"/>
    <w:rsid w:val="00EA7EA2"/>
    <w:rsid w:val="00EB0CD3"/>
    <w:rsid w:val="00EB0E4B"/>
    <w:rsid w:val="00EB2905"/>
    <w:rsid w:val="00EB2AEE"/>
    <w:rsid w:val="00EB3035"/>
    <w:rsid w:val="00EB3B81"/>
    <w:rsid w:val="00EB4931"/>
    <w:rsid w:val="00EB4CB5"/>
    <w:rsid w:val="00EB4DE1"/>
    <w:rsid w:val="00EB60B2"/>
    <w:rsid w:val="00EB67AD"/>
    <w:rsid w:val="00EB6CA7"/>
    <w:rsid w:val="00EB701E"/>
    <w:rsid w:val="00EB7587"/>
    <w:rsid w:val="00EC0207"/>
    <w:rsid w:val="00EC2969"/>
    <w:rsid w:val="00EC2E7E"/>
    <w:rsid w:val="00EC3067"/>
    <w:rsid w:val="00EC3860"/>
    <w:rsid w:val="00EC3B8A"/>
    <w:rsid w:val="00EC4F6E"/>
    <w:rsid w:val="00EC5C1C"/>
    <w:rsid w:val="00EC5E7D"/>
    <w:rsid w:val="00EC6675"/>
    <w:rsid w:val="00ED0197"/>
    <w:rsid w:val="00ED0E43"/>
    <w:rsid w:val="00ED203C"/>
    <w:rsid w:val="00ED25AC"/>
    <w:rsid w:val="00ED318B"/>
    <w:rsid w:val="00ED3885"/>
    <w:rsid w:val="00ED42E3"/>
    <w:rsid w:val="00ED5D79"/>
    <w:rsid w:val="00ED61CA"/>
    <w:rsid w:val="00ED6D3F"/>
    <w:rsid w:val="00ED6DCA"/>
    <w:rsid w:val="00ED720F"/>
    <w:rsid w:val="00ED72AD"/>
    <w:rsid w:val="00ED7A18"/>
    <w:rsid w:val="00ED7E6C"/>
    <w:rsid w:val="00EE05F4"/>
    <w:rsid w:val="00EE105B"/>
    <w:rsid w:val="00EE1100"/>
    <w:rsid w:val="00EE14E6"/>
    <w:rsid w:val="00EE1937"/>
    <w:rsid w:val="00EE23C9"/>
    <w:rsid w:val="00EE4B0A"/>
    <w:rsid w:val="00EE5458"/>
    <w:rsid w:val="00EE6C66"/>
    <w:rsid w:val="00EF04C5"/>
    <w:rsid w:val="00EF0FF2"/>
    <w:rsid w:val="00EF2A04"/>
    <w:rsid w:val="00EF3FC0"/>
    <w:rsid w:val="00EF4050"/>
    <w:rsid w:val="00EF43C9"/>
    <w:rsid w:val="00EF4B57"/>
    <w:rsid w:val="00EF4C45"/>
    <w:rsid w:val="00EF565F"/>
    <w:rsid w:val="00EF5E7D"/>
    <w:rsid w:val="00EF672A"/>
    <w:rsid w:val="00EF6E22"/>
    <w:rsid w:val="00F006E5"/>
    <w:rsid w:val="00F02579"/>
    <w:rsid w:val="00F05BEA"/>
    <w:rsid w:val="00F05F3D"/>
    <w:rsid w:val="00F06C7D"/>
    <w:rsid w:val="00F076BD"/>
    <w:rsid w:val="00F10049"/>
    <w:rsid w:val="00F1105D"/>
    <w:rsid w:val="00F11141"/>
    <w:rsid w:val="00F1152F"/>
    <w:rsid w:val="00F11ECB"/>
    <w:rsid w:val="00F15A58"/>
    <w:rsid w:val="00F161F4"/>
    <w:rsid w:val="00F163D3"/>
    <w:rsid w:val="00F16469"/>
    <w:rsid w:val="00F17134"/>
    <w:rsid w:val="00F17FEE"/>
    <w:rsid w:val="00F216C2"/>
    <w:rsid w:val="00F22169"/>
    <w:rsid w:val="00F232C5"/>
    <w:rsid w:val="00F23C5F"/>
    <w:rsid w:val="00F256C2"/>
    <w:rsid w:val="00F301EE"/>
    <w:rsid w:val="00F31230"/>
    <w:rsid w:val="00F31B21"/>
    <w:rsid w:val="00F32F1A"/>
    <w:rsid w:val="00F3526E"/>
    <w:rsid w:val="00F36F02"/>
    <w:rsid w:val="00F373A6"/>
    <w:rsid w:val="00F37A7B"/>
    <w:rsid w:val="00F37B0E"/>
    <w:rsid w:val="00F37FA5"/>
    <w:rsid w:val="00F37FC3"/>
    <w:rsid w:val="00F40652"/>
    <w:rsid w:val="00F40D3A"/>
    <w:rsid w:val="00F411DC"/>
    <w:rsid w:val="00F41202"/>
    <w:rsid w:val="00F4132A"/>
    <w:rsid w:val="00F4220B"/>
    <w:rsid w:val="00F424E7"/>
    <w:rsid w:val="00F444F5"/>
    <w:rsid w:val="00F44BB4"/>
    <w:rsid w:val="00F4500C"/>
    <w:rsid w:val="00F53313"/>
    <w:rsid w:val="00F54B2D"/>
    <w:rsid w:val="00F55855"/>
    <w:rsid w:val="00F56CEA"/>
    <w:rsid w:val="00F57C75"/>
    <w:rsid w:val="00F611E7"/>
    <w:rsid w:val="00F61713"/>
    <w:rsid w:val="00F62300"/>
    <w:rsid w:val="00F6295D"/>
    <w:rsid w:val="00F63AEA"/>
    <w:rsid w:val="00F63C19"/>
    <w:rsid w:val="00F63D2D"/>
    <w:rsid w:val="00F63E0B"/>
    <w:rsid w:val="00F63EA7"/>
    <w:rsid w:val="00F65FCE"/>
    <w:rsid w:val="00F6711B"/>
    <w:rsid w:val="00F72D17"/>
    <w:rsid w:val="00F73698"/>
    <w:rsid w:val="00F73C02"/>
    <w:rsid w:val="00F73DEA"/>
    <w:rsid w:val="00F7470C"/>
    <w:rsid w:val="00F75094"/>
    <w:rsid w:val="00F75225"/>
    <w:rsid w:val="00F76F76"/>
    <w:rsid w:val="00F77343"/>
    <w:rsid w:val="00F77CC0"/>
    <w:rsid w:val="00F80723"/>
    <w:rsid w:val="00F80E76"/>
    <w:rsid w:val="00F81176"/>
    <w:rsid w:val="00F81886"/>
    <w:rsid w:val="00F81E59"/>
    <w:rsid w:val="00F82825"/>
    <w:rsid w:val="00F82A39"/>
    <w:rsid w:val="00F82BEF"/>
    <w:rsid w:val="00F831A5"/>
    <w:rsid w:val="00F838DF"/>
    <w:rsid w:val="00F83DBE"/>
    <w:rsid w:val="00F85290"/>
    <w:rsid w:val="00F85448"/>
    <w:rsid w:val="00F86529"/>
    <w:rsid w:val="00F86D72"/>
    <w:rsid w:val="00F878D7"/>
    <w:rsid w:val="00F90089"/>
    <w:rsid w:val="00F90C74"/>
    <w:rsid w:val="00F93255"/>
    <w:rsid w:val="00F9526D"/>
    <w:rsid w:val="00F95A42"/>
    <w:rsid w:val="00F95E7D"/>
    <w:rsid w:val="00F96375"/>
    <w:rsid w:val="00F969F2"/>
    <w:rsid w:val="00F96FBB"/>
    <w:rsid w:val="00F97A0E"/>
    <w:rsid w:val="00FA072B"/>
    <w:rsid w:val="00FA1DA6"/>
    <w:rsid w:val="00FA21C0"/>
    <w:rsid w:val="00FA28CB"/>
    <w:rsid w:val="00FA2EF4"/>
    <w:rsid w:val="00FA3620"/>
    <w:rsid w:val="00FA3D17"/>
    <w:rsid w:val="00FA3DD1"/>
    <w:rsid w:val="00FA3EF2"/>
    <w:rsid w:val="00FA3FA7"/>
    <w:rsid w:val="00FA5081"/>
    <w:rsid w:val="00FA576A"/>
    <w:rsid w:val="00FA67D0"/>
    <w:rsid w:val="00FB09EF"/>
    <w:rsid w:val="00FB1ACD"/>
    <w:rsid w:val="00FB504C"/>
    <w:rsid w:val="00FB50AD"/>
    <w:rsid w:val="00FB56E9"/>
    <w:rsid w:val="00FB74F2"/>
    <w:rsid w:val="00FB7560"/>
    <w:rsid w:val="00FC050C"/>
    <w:rsid w:val="00FC0997"/>
    <w:rsid w:val="00FC161E"/>
    <w:rsid w:val="00FC1E07"/>
    <w:rsid w:val="00FC246E"/>
    <w:rsid w:val="00FC3715"/>
    <w:rsid w:val="00FC38C4"/>
    <w:rsid w:val="00FC4158"/>
    <w:rsid w:val="00FC446C"/>
    <w:rsid w:val="00FC599F"/>
    <w:rsid w:val="00FC61BE"/>
    <w:rsid w:val="00FC679A"/>
    <w:rsid w:val="00FC74A1"/>
    <w:rsid w:val="00FD003B"/>
    <w:rsid w:val="00FD0F2F"/>
    <w:rsid w:val="00FD1150"/>
    <w:rsid w:val="00FD1352"/>
    <w:rsid w:val="00FD2683"/>
    <w:rsid w:val="00FD37FB"/>
    <w:rsid w:val="00FD3879"/>
    <w:rsid w:val="00FD3BB9"/>
    <w:rsid w:val="00FD43FE"/>
    <w:rsid w:val="00FD635C"/>
    <w:rsid w:val="00FD6573"/>
    <w:rsid w:val="00FD661B"/>
    <w:rsid w:val="00FD6913"/>
    <w:rsid w:val="00FD6BB1"/>
    <w:rsid w:val="00FD6D7E"/>
    <w:rsid w:val="00FD79D5"/>
    <w:rsid w:val="00FD7A35"/>
    <w:rsid w:val="00FD7C8C"/>
    <w:rsid w:val="00FE0118"/>
    <w:rsid w:val="00FE2B38"/>
    <w:rsid w:val="00FE3048"/>
    <w:rsid w:val="00FE40BA"/>
    <w:rsid w:val="00FE4E97"/>
    <w:rsid w:val="00FE4F9B"/>
    <w:rsid w:val="00FE57E4"/>
    <w:rsid w:val="00FE73F6"/>
    <w:rsid w:val="00FF05D1"/>
    <w:rsid w:val="00FF0F3A"/>
    <w:rsid w:val="00FF1334"/>
    <w:rsid w:val="00FF1A56"/>
    <w:rsid w:val="00FF1CD2"/>
    <w:rsid w:val="00FF42A1"/>
    <w:rsid w:val="00FF687B"/>
    <w:rsid w:val="00FF6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CEB"/>
    <w:rPr>
      <w:rFonts w:ascii="Times New Roman" w:eastAsia="Times New Roman" w:hAnsi="Times New Roman"/>
      <w:sz w:val="24"/>
      <w:szCs w:val="24"/>
    </w:rPr>
  </w:style>
  <w:style w:type="paragraph" w:styleId="1">
    <w:name w:val="heading 1"/>
    <w:basedOn w:val="a"/>
    <w:next w:val="a"/>
    <w:link w:val="10"/>
    <w:qFormat/>
    <w:locked/>
    <w:rsid w:val="00E42E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locked/>
    <w:rsid w:val="00C62C44"/>
    <w:pPr>
      <w:spacing w:before="100" w:beforeAutospacing="1" w:after="100" w:afterAutospacing="1"/>
      <w:outlineLvl w:val="1"/>
    </w:pPr>
    <w:rPr>
      <w:b/>
      <w:bCs/>
      <w:sz w:val="36"/>
      <w:szCs w:val="36"/>
    </w:rPr>
  </w:style>
  <w:style w:type="paragraph" w:styleId="3">
    <w:name w:val="heading 3"/>
    <w:basedOn w:val="a"/>
    <w:next w:val="a"/>
    <w:link w:val="30"/>
    <w:unhideWhenUsed/>
    <w:qFormat/>
    <w:locked/>
    <w:rsid w:val="00DF370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802FD"/>
    <w:rPr>
      <w:rFonts w:ascii="Tahoma" w:hAnsi="Tahoma" w:cs="Tahoma"/>
      <w:sz w:val="16"/>
      <w:szCs w:val="16"/>
    </w:rPr>
  </w:style>
  <w:style w:type="character" w:customStyle="1" w:styleId="a4">
    <w:name w:val="Текст выноски Знак"/>
    <w:link w:val="a3"/>
    <w:uiPriority w:val="99"/>
    <w:semiHidden/>
    <w:locked/>
    <w:rsid w:val="006802FD"/>
    <w:rPr>
      <w:rFonts w:ascii="Tahoma" w:hAnsi="Tahoma" w:cs="Tahoma"/>
      <w:sz w:val="16"/>
      <w:szCs w:val="16"/>
      <w:lang w:eastAsia="ru-RU"/>
    </w:rPr>
  </w:style>
  <w:style w:type="character" w:styleId="a5">
    <w:name w:val="Hyperlink"/>
    <w:uiPriority w:val="99"/>
    <w:rsid w:val="00A51CCC"/>
    <w:rPr>
      <w:rFonts w:cs="Times New Roman"/>
      <w:color w:val="0000FF"/>
      <w:u w:val="single"/>
    </w:rPr>
  </w:style>
  <w:style w:type="paragraph" w:customStyle="1" w:styleId="ConsPlusNormal">
    <w:name w:val="ConsPlusNormal"/>
    <w:link w:val="ConsPlusNormal0"/>
    <w:rsid w:val="00250E8D"/>
    <w:pPr>
      <w:autoSpaceDE w:val="0"/>
      <w:autoSpaceDN w:val="0"/>
      <w:adjustRightInd w:val="0"/>
    </w:pPr>
    <w:rPr>
      <w:rFonts w:ascii="Arial" w:hAnsi="Arial" w:cs="Arial"/>
    </w:rPr>
  </w:style>
  <w:style w:type="paragraph" w:styleId="a6">
    <w:name w:val="header"/>
    <w:basedOn w:val="a"/>
    <w:link w:val="a7"/>
    <w:uiPriority w:val="99"/>
    <w:unhideWhenUsed/>
    <w:rsid w:val="00A60F46"/>
    <w:pPr>
      <w:tabs>
        <w:tab w:val="center" w:pos="4677"/>
        <w:tab w:val="right" w:pos="9355"/>
      </w:tabs>
    </w:pPr>
  </w:style>
  <w:style w:type="character" w:customStyle="1" w:styleId="a7">
    <w:name w:val="Верхний колонтитул Знак"/>
    <w:link w:val="a6"/>
    <w:uiPriority w:val="99"/>
    <w:rsid w:val="00A60F46"/>
    <w:rPr>
      <w:rFonts w:ascii="Times New Roman" w:eastAsia="Times New Roman" w:hAnsi="Times New Roman"/>
      <w:sz w:val="24"/>
      <w:szCs w:val="24"/>
    </w:rPr>
  </w:style>
  <w:style w:type="paragraph" w:styleId="a8">
    <w:name w:val="footer"/>
    <w:basedOn w:val="a"/>
    <w:link w:val="a9"/>
    <w:uiPriority w:val="99"/>
    <w:unhideWhenUsed/>
    <w:rsid w:val="00A60F46"/>
    <w:pPr>
      <w:tabs>
        <w:tab w:val="center" w:pos="4677"/>
        <w:tab w:val="right" w:pos="9355"/>
      </w:tabs>
    </w:pPr>
  </w:style>
  <w:style w:type="character" w:customStyle="1" w:styleId="a9">
    <w:name w:val="Нижний колонтитул Знак"/>
    <w:link w:val="a8"/>
    <w:uiPriority w:val="99"/>
    <w:rsid w:val="00A60F46"/>
    <w:rPr>
      <w:rFonts w:ascii="Times New Roman" w:eastAsia="Times New Roman" w:hAnsi="Times New Roman"/>
      <w:sz w:val="24"/>
      <w:szCs w:val="24"/>
    </w:rPr>
  </w:style>
  <w:style w:type="paragraph" w:customStyle="1" w:styleId="Default">
    <w:name w:val="Default"/>
    <w:rsid w:val="005A759A"/>
    <w:pPr>
      <w:autoSpaceDE w:val="0"/>
      <w:autoSpaceDN w:val="0"/>
      <w:adjustRightInd w:val="0"/>
    </w:pPr>
    <w:rPr>
      <w:rFonts w:ascii="Arial" w:hAnsi="Arial" w:cs="Arial"/>
      <w:color w:val="000000"/>
      <w:sz w:val="24"/>
      <w:szCs w:val="24"/>
    </w:rPr>
  </w:style>
  <w:style w:type="table" w:styleId="aa">
    <w:name w:val="Table Grid"/>
    <w:basedOn w:val="a1"/>
    <w:uiPriority w:val="59"/>
    <w:locked/>
    <w:rsid w:val="00CC0C5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link w:val="ac"/>
    <w:uiPriority w:val="34"/>
    <w:qFormat/>
    <w:rsid w:val="00CC0C52"/>
    <w:pPr>
      <w:widowControl w:val="0"/>
      <w:autoSpaceDE w:val="0"/>
      <w:autoSpaceDN w:val="0"/>
      <w:adjustRightInd w:val="0"/>
      <w:ind w:left="720" w:firstLine="720"/>
      <w:contextualSpacing/>
      <w:jc w:val="both"/>
    </w:pPr>
    <w:rPr>
      <w:rFonts w:ascii="Arial" w:hAnsi="Arial" w:cs="Arial"/>
    </w:rPr>
  </w:style>
  <w:style w:type="character" w:customStyle="1" w:styleId="title14">
    <w:name w:val="title14"/>
    <w:rsid w:val="00FA2EF4"/>
    <w:rPr>
      <w:vanish w:val="0"/>
      <w:webHidden w:val="0"/>
      <w:color w:val="6E94C6"/>
      <w:sz w:val="24"/>
      <w:szCs w:val="24"/>
      <w:specVanish w:val="0"/>
    </w:rPr>
  </w:style>
  <w:style w:type="character" w:customStyle="1" w:styleId="hl1">
    <w:name w:val="hl1"/>
    <w:rsid w:val="00CA27F0"/>
    <w:rPr>
      <w:vanish w:val="0"/>
      <w:webHidden w:val="0"/>
      <w:specVanish w:val="0"/>
    </w:rPr>
  </w:style>
  <w:style w:type="paragraph" w:styleId="ad">
    <w:name w:val="Normal (Web)"/>
    <w:basedOn w:val="a"/>
    <w:link w:val="ae"/>
    <w:uiPriority w:val="99"/>
    <w:unhideWhenUsed/>
    <w:rsid w:val="00DB4D71"/>
    <w:pPr>
      <w:spacing w:before="100" w:beforeAutospacing="1" w:after="100" w:afterAutospacing="1"/>
    </w:pPr>
  </w:style>
  <w:style w:type="character" w:customStyle="1" w:styleId="price">
    <w:name w:val="price"/>
    <w:rsid w:val="006A51E9"/>
  </w:style>
  <w:style w:type="character" w:customStyle="1" w:styleId="label">
    <w:name w:val="label"/>
    <w:rsid w:val="006A51E9"/>
  </w:style>
  <w:style w:type="character" w:customStyle="1" w:styleId="text-block">
    <w:name w:val="text-block"/>
    <w:rsid w:val="006A51E9"/>
  </w:style>
  <w:style w:type="character" w:customStyle="1" w:styleId="textgrey">
    <w:name w:val="text_grey"/>
    <w:rsid w:val="006A51E9"/>
  </w:style>
  <w:style w:type="character" w:customStyle="1" w:styleId="textprime">
    <w:name w:val="text_prime"/>
    <w:rsid w:val="006A51E9"/>
  </w:style>
  <w:style w:type="character" w:customStyle="1" w:styleId="textdark">
    <w:name w:val="text_dark"/>
    <w:rsid w:val="006A51E9"/>
  </w:style>
  <w:style w:type="character" w:customStyle="1" w:styleId="af">
    <w:name w:val="Гипертекстовая ссылка"/>
    <w:uiPriority w:val="99"/>
    <w:rsid w:val="00A827D5"/>
    <w:rPr>
      <w:rFonts w:cs="Times New Roman"/>
      <w:b w:val="0"/>
      <w:color w:val="106BBE"/>
    </w:rPr>
  </w:style>
  <w:style w:type="paragraph" w:customStyle="1" w:styleId="af0">
    <w:name w:val="Нормальный (таблица)"/>
    <w:basedOn w:val="a"/>
    <w:next w:val="a"/>
    <w:uiPriority w:val="99"/>
    <w:rsid w:val="00A827D5"/>
    <w:pPr>
      <w:widowControl w:val="0"/>
      <w:autoSpaceDE w:val="0"/>
      <w:autoSpaceDN w:val="0"/>
      <w:adjustRightInd w:val="0"/>
      <w:jc w:val="both"/>
    </w:pPr>
    <w:rPr>
      <w:rFonts w:ascii="Arial" w:hAnsi="Arial" w:cs="Arial"/>
      <w:sz w:val="26"/>
      <w:szCs w:val="26"/>
    </w:rPr>
  </w:style>
  <w:style w:type="character" w:customStyle="1" w:styleId="ConsPlusNormal0">
    <w:name w:val="ConsPlusNormal Знак"/>
    <w:link w:val="ConsPlusNormal"/>
    <w:locked/>
    <w:rsid w:val="00FF05D1"/>
    <w:rPr>
      <w:rFonts w:ascii="Arial" w:hAnsi="Arial" w:cs="Arial"/>
    </w:rPr>
  </w:style>
  <w:style w:type="character" w:customStyle="1" w:styleId="af1">
    <w:name w:val="Цветовое выделение"/>
    <w:uiPriority w:val="99"/>
    <w:rsid w:val="002E70D8"/>
    <w:rPr>
      <w:b/>
      <w:color w:val="26282F"/>
    </w:rPr>
  </w:style>
  <w:style w:type="character" w:customStyle="1" w:styleId="incut-head-control">
    <w:name w:val="incut-head-control"/>
    <w:rsid w:val="00646C03"/>
    <w:rPr>
      <w:rFonts w:ascii="Helvetica" w:hAnsi="Helvetica" w:cs="Helvetica" w:hint="default"/>
      <w:b/>
      <w:bCs/>
      <w:sz w:val="21"/>
      <w:szCs w:val="21"/>
    </w:rPr>
  </w:style>
  <w:style w:type="character" w:customStyle="1" w:styleId="ae">
    <w:name w:val="Обычный (веб) Знак"/>
    <w:link w:val="ad"/>
    <w:uiPriority w:val="99"/>
    <w:locked/>
    <w:rsid w:val="00ED25AC"/>
    <w:rPr>
      <w:rFonts w:ascii="Times New Roman" w:eastAsia="Times New Roman" w:hAnsi="Times New Roman"/>
      <w:sz w:val="24"/>
      <w:szCs w:val="24"/>
    </w:rPr>
  </w:style>
  <w:style w:type="character" w:styleId="af2">
    <w:name w:val="Emphasis"/>
    <w:uiPriority w:val="20"/>
    <w:qFormat/>
    <w:locked/>
    <w:rsid w:val="00ED25AC"/>
    <w:rPr>
      <w:i/>
      <w:iCs w:val="0"/>
    </w:rPr>
  </w:style>
  <w:style w:type="character" w:customStyle="1" w:styleId="ac">
    <w:name w:val="Абзац списка Знак"/>
    <w:link w:val="ab"/>
    <w:uiPriority w:val="34"/>
    <w:rsid w:val="00CB6DBD"/>
    <w:rPr>
      <w:rFonts w:ascii="Arial" w:eastAsia="Times New Roman" w:hAnsi="Arial" w:cs="Arial"/>
      <w:sz w:val="24"/>
      <w:szCs w:val="24"/>
    </w:rPr>
  </w:style>
  <w:style w:type="paragraph" w:customStyle="1" w:styleId="s1">
    <w:name w:val="s_1"/>
    <w:basedOn w:val="a"/>
    <w:rsid w:val="00ED720F"/>
    <w:pPr>
      <w:spacing w:before="100" w:beforeAutospacing="1" w:after="100" w:afterAutospacing="1"/>
    </w:pPr>
  </w:style>
  <w:style w:type="character" w:customStyle="1" w:styleId="Spanletter">
    <w:name w:val="Span_letter"/>
    <w:rsid w:val="00852E29"/>
  </w:style>
  <w:style w:type="paragraph" w:customStyle="1" w:styleId="newsmaker-header">
    <w:name w:val="newsmaker-header"/>
    <w:basedOn w:val="a"/>
    <w:rsid w:val="00FA3EF2"/>
    <w:pPr>
      <w:spacing w:after="60" w:line="300" w:lineRule="atLeast"/>
    </w:pPr>
    <w:rPr>
      <w:sz w:val="22"/>
      <w:szCs w:val="22"/>
    </w:rPr>
  </w:style>
  <w:style w:type="paragraph" w:customStyle="1" w:styleId="newsmaker-name">
    <w:name w:val="newsmaker-name"/>
    <w:basedOn w:val="a"/>
    <w:rsid w:val="00FA3EF2"/>
    <w:pPr>
      <w:spacing w:after="60" w:line="280" w:lineRule="atLeast"/>
    </w:pPr>
    <w:rPr>
      <w:b/>
      <w:bCs/>
      <w:color w:val="000000"/>
      <w:sz w:val="25"/>
      <w:szCs w:val="25"/>
    </w:rPr>
  </w:style>
  <w:style w:type="paragraph" w:customStyle="1" w:styleId="newsmaker-info">
    <w:name w:val="newsmaker-info"/>
    <w:basedOn w:val="a"/>
    <w:rsid w:val="00FA3EF2"/>
    <w:pPr>
      <w:spacing w:after="60" w:line="300" w:lineRule="atLeast"/>
    </w:pPr>
    <w:rPr>
      <w:sz w:val="22"/>
      <w:szCs w:val="22"/>
    </w:rPr>
  </w:style>
  <w:style w:type="character" w:customStyle="1" w:styleId="Spanlink">
    <w:name w:val="Span_link"/>
    <w:rsid w:val="005832F9"/>
    <w:rPr>
      <w:color w:val="008200"/>
    </w:rPr>
  </w:style>
  <w:style w:type="character" w:customStyle="1" w:styleId="20">
    <w:name w:val="Заголовок 2 Знак"/>
    <w:link w:val="2"/>
    <w:uiPriority w:val="9"/>
    <w:rsid w:val="00C62C44"/>
    <w:rPr>
      <w:rFonts w:ascii="Times New Roman" w:eastAsia="Times New Roman" w:hAnsi="Times New Roman"/>
      <w:b/>
      <w:bCs/>
      <w:sz w:val="36"/>
      <w:szCs w:val="36"/>
    </w:rPr>
  </w:style>
  <w:style w:type="character" w:customStyle="1" w:styleId="30">
    <w:name w:val="Заголовок 3 Знак"/>
    <w:link w:val="3"/>
    <w:rsid w:val="00DF370D"/>
    <w:rPr>
      <w:rFonts w:ascii="Cambria" w:eastAsia="Times New Roman" w:hAnsi="Cambria" w:cs="Times New Roman"/>
      <w:b/>
      <w:bCs/>
      <w:sz w:val="26"/>
      <w:szCs w:val="26"/>
    </w:rPr>
  </w:style>
  <w:style w:type="paragraph" w:customStyle="1" w:styleId="turbo-paragraph">
    <w:name w:val="turbo-paragraph"/>
    <w:basedOn w:val="a"/>
    <w:rsid w:val="00361B15"/>
    <w:pPr>
      <w:spacing w:before="100" w:beforeAutospacing="1" w:after="100" w:afterAutospacing="1"/>
    </w:pPr>
  </w:style>
  <w:style w:type="paragraph" w:customStyle="1" w:styleId="Pa13">
    <w:name w:val="Pa13"/>
    <w:basedOn w:val="Default"/>
    <w:next w:val="Default"/>
    <w:uiPriority w:val="99"/>
    <w:rsid w:val="00293C17"/>
    <w:pPr>
      <w:spacing w:line="201" w:lineRule="atLeast"/>
    </w:pPr>
    <w:rPr>
      <w:rFonts w:ascii="TT Jenevers" w:hAnsi="TT Jenevers" w:cs="Times New Roman"/>
      <w:color w:val="auto"/>
    </w:rPr>
  </w:style>
  <w:style w:type="character" w:customStyle="1" w:styleId="A10">
    <w:name w:val="A10"/>
    <w:uiPriority w:val="99"/>
    <w:rsid w:val="00293C17"/>
    <w:rPr>
      <w:rFonts w:ascii="PT_Russia Text" w:hAnsi="PT_Russia Text" w:cs="PT_Russia Text"/>
      <w:color w:val="000000"/>
      <w:sz w:val="11"/>
      <w:szCs w:val="11"/>
    </w:rPr>
  </w:style>
  <w:style w:type="paragraph" w:customStyle="1" w:styleId="Pa11">
    <w:name w:val="Pa11"/>
    <w:basedOn w:val="Default"/>
    <w:next w:val="Default"/>
    <w:uiPriority w:val="99"/>
    <w:rsid w:val="00293C17"/>
    <w:pPr>
      <w:spacing w:line="201" w:lineRule="atLeast"/>
    </w:pPr>
    <w:rPr>
      <w:rFonts w:ascii="TT Jenevers" w:hAnsi="TT Jenevers" w:cs="Times New Roman"/>
      <w:color w:val="auto"/>
    </w:rPr>
  </w:style>
  <w:style w:type="paragraph" w:customStyle="1" w:styleId="Ol">
    <w:name w:val="Ol"/>
    <w:basedOn w:val="a"/>
    <w:rsid w:val="00B806AF"/>
    <w:pPr>
      <w:spacing w:line="300" w:lineRule="atLeast"/>
    </w:pPr>
    <w:rPr>
      <w:sz w:val="22"/>
      <w:szCs w:val="22"/>
    </w:rPr>
  </w:style>
  <w:style w:type="character" w:customStyle="1" w:styleId="letter">
    <w:name w:val="letter"/>
    <w:rsid w:val="00651737"/>
  </w:style>
  <w:style w:type="character" w:styleId="af3">
    <w:name w:val="Strong"/>
    <w:uiPriority w:val="22"/>
    <w:qFormat/>
    <w:locked/>
    <w:rsid w:val="00093C34"/>
    <w:rPr>
      <w:b/>
      <w:bCs/>
    </w:rPr>
  </w:style>
  <w:style w:type="paragraph" w:customStyle="1" w:styleId="mb-3">
    <w:name w:val="mb-3"/>
    <w:basedOn w:val="a"/>
    <w:rsid w:val="00F97A0E"/>
    <w:pPr>
      <w:spacing w:before="100" w:beforeAutospacing="1" w:after="100" w:afterAutospacing="1"/>
    </w:pPr>
  </w:style>
  <w:style w:type="paragraph" w:styleId="af4">
    <w:name w:val="footnote text"/>
    <w:basedOn w:val="a"/>
    <w:link w:val="af5"/>
    <w:uiPriority w:val="99"/>
    <w:rsid w:val="00116E3F"/>
    <w:rPr>
      <w:sz w:val="20"/>
      <w:szCs w:val="20"/>
    </w:rPr>
  </w:style>
  <w:style w:type="character" w:customStyle="1" w:styleId="af5">
    <w:name w:val="Текст сноски Знак"/>
    <w:basedOn w:val="a0"/>
    <w:link w:val="af4"/>
    <w:uiPriority w:val="99"/>
    <w:rsid w:val="00116E3F"/>
    <w:rPr>
      <w:rFonts w:ascii="Times New Roman" w:eastAsia="Times New Roman" w:hAnsi="Times New Roman"/>
    </w:rPr>
  </w:style>
  <w:style w:type="character" w:styleId="af6">
    <w:name w:val="footnote reference"/>
    <w:uiPriority w:val="99"/>
    <w:rsid w:val="00116E3F"/>
    <w:rPr>
      <w:vertAlign w:val="superscript"/>
    </w:rPr>
  </w:style>
  <w:style w:type="character" w:customStyle="1" w:styleId="10">
    <w:name w:val="Заголовок 1 Знак"/>
    <w:basedOn w:val="a0"/>
    <w:link w:val="1"/>
    <w:rsid w:val="00E42EA0"/>
    <w:rPr>
      <w:rFonts w:asciiTheme="majorHAnsi" w:eastAsiaTheme="majorEastAsia" w:hAnsiTheme="majorHAnsi" w:cstheme="majorBidi"/>
      <w:b/>
      <w:bCs/>
      <w:color w:val="365F91" w:themeColor="accent1" w:themeShade="BF"/>
      <w:sz w:val="28"/>
      <w:szCs w:val="28"/>
    </w:rPr>
  </w:style>
  <w:style w:type="character" w:customStyle="1" w:styleId="mw-headline">
    <w:name w:val="mw-headline"/>
    <w:basedOn w:val="a0"/>
    <w:rsid w:val="00E42EA0"/>
  </w:style>
  <w:style w:type="character" w:customStyle="1" w:styleId="toctoggle">
    <w:name w:val="toctoggle"/>
    <w:basedOn w:val="a0"/>
    <w:rsid w:val="00E42EA0"/>
  </w:style>
  <w:style w:type="character" w:customStyle="1" w:styleId="toctext">
    <w:name w:val="toctext"/>
    <w:basedOn w:val="a0"/>
    <w:rsid w:val="00E42EA0"/>
  </w:style>
  <w:style w:type="paragraph" w:customStyle="1" w:styleId="incut-v4title">
    <w:name w:val="incut-v4title"/>
    <w:basedOn w:val="a"/>
    <w:rsid w:val="000326E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CEB"/>
    <w:rPr>
      <w:rFonts w:ascii="Times New Roman" w:eastAsia="Times New Roman" w:hAnsi="Times New Roman"/>
      <w:sz w:val="24"/>
      <w:szCs w:val="24"/>
    </w:rPr>
  </w:style>
  <w:style w:type="paragraph" w:styleId="1">
    <w:name w:val="heading 1"/>
    <w:basedOn w:val="a"/>
    <w:next w:val="a"/>
    <w:link w:val="10"/>
    <w:qFormat/>
    <w:locked/>
    <w:rsid w:val="00E42E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locked/>
    <w:rsid w:val="00C62C44"/>
    <w:pPr>
      <w:spacing w:before="100" w:beforeAutospacing="1" w:after="100" w:afterAutospacing="1"/>
      <w:outlineLvl w:val="1"/>
    </w:pPr>
    <w:rPr>
      <w:b/>
      <w:bCs/>
      <w:sz w:val="36"/>
      <w:szCs w:val="36"/>
    </w:rPr>
  </w:style>
  <w:style w:type="paragraph" w:styleId="3">
    <w:name w:val="heading 3"/>
    <w:basedOn w:val="a"/>
    <w:next w:val="a"/>
    <w:link w:val="30"/>
    <w:unhideWhenUsed/>
    <w:qFormat/>
    <w:locked/>
    <w:rsid w:val="00DF370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802FD"/>
    <w:rPr>
      <w:rFonts w:ascii="Tahoma" w:hAnsi="Tahoma" w:cs="Tahoma"/>
      <w:sz w:val="16"/>
      <w:szCs w:val="16"/>
    </w:rPr>
  </w:style>
  <w:style w:type="character" w:customStyle="1" w:styleId="a4">
    <w:name w:val="Текст выноски Знак"/>
    <w:link w:val="a3"/>
    <w:uiPriority w:val="99"/>
    <w:semiHidden/>
    <w:locked/>
    <w:rsid w:val="006802FD"/>
    <w:rPr>
      <w:rFonts w:ascii="Tahoma" w:hAnsi="Tahoma" w:cs="Tahoma"/>
      <w:sz w:val="16"/>
      <w:szCs w:val="16"/>
      <w:lang w:eastAsia="ru-RU"/>
    </w:rPr>
  </w:style>
  <w:style w:type="character" w:styleId="a5">
    <w:name w:val="Hyperlink"/>
    <w:uiPriority w:val="99"/>
    <w:rsid w:val="00A51CCC"/>
    <w:rPr>
      <w:rFonts w:cs="Times New Roman"/>
      <w:color w:val="0000FF"/>
      <w:u w:val="single"/>
    </w:rPr>
  </w:style>
  <w:style w:type="paragraph" w:customStyle="1" w:styleId="ConsPlusNormal">
    <w:name w:val="ConsPlusNormal"/>
    <w:link w:val="ConsPlusNormal0"/>
    <w:rsid w:val="00250E8D"/>
    <w:pPr>
      <w:autoSpaceDE w:val="0"/>
      <w:autoSpaceDN w:val="0"/>
      <w:adjustRightInd w:val="0"/>
    </w:pPr>
    <w:rPr>
      <w:rFonts w:ascii="Arial" w:hAnsi="Arial" w:cs="Arial"/>
    </w:rPr>
  </w:style>
  <w:style w:type="paragraph" w:styleId="a6">
    <w:name w:val="header"/>
    <w:basedOn w:val="a"/>
    <w:link w:val="a7"/>
    <w:uiPriority w:val="99"/>
    <w:unhideWhenUsed/>
    <w:rsid w:val="00A60F46"/>
    <w:pPr>
      <w:tabs>
        <w:tab w:val="center" w:pos="4677"/>
        <w:tab w:val="right" w:pos="9355"/>
      </w:tabs>
    </w:pPr>
  </w:style>
  <w:style w:type="character" w:customStyle="1" w:styleId="a7">
    <w:name w:val="Верхний колонтитул Знак"/>
    <w:link w:val="a6"/>
    <w:uiPriority w:val="99"/>
    <w:rsid w:val="00A60F46"/>
    <w:rPr>
      <w:rFonts w:ascii="Times New Roman" w:eastAsia="Times New Roman" w:hAnsi="Times New Roman"/>
      <w:sz w:val="24"/>
      <w:szCs w:val="24"/>
    </w:rPr>
  </w:style>
  <w:style w:type="paragraph" w:styleId="a8">
    <w:name w:val="footer"/>
    <w:basedOn w:val="a"/>
    <w:link w:val="a9"/>
    <w:uiPriority w:val="99"/>
    <w:unhideWhenUsed/>
    <w:rsid w:val="00A60F46"/>
    <w:pPr>
      <w:tabs>
        <w:tab w:val="center" w:pos="4677"/>
        <w:tab w:val="right" w:pos="9355"/>
      </w:tabs>
    </w:pPr>
  </w:style>
  <w:style w:type="character" w:customStyle="1" w:styleId="a9">
    <w:name w:val="Нижний колонтитул Знак"/>
    <w:link w:val="a8"/>
    <w:uiPriority w:val="99"/>
    <w:rsid w:val="00A60F46"/>
    <w:rPr>
      <w:rFonts w:ascii="Times New Roman" w:eastAsia="Times New Roman" w:hAnsi="Times New Roman"/>
      <w:sz w:val="24"/>
      <w:szCs w:val="24"/>
    </w:rPr>
  </w:style>
  <w:style w:type="paragraph" w:customStyle="1" w:styleId="Default">
    <w:name w:val="Default"/>
    <w:rsid w:val="005A759A"/>
    <w:pPr>
      <w:autoSpaceDE w:val="0"/>
      <w:autoSpaceDN w:val="0"/>
      <w:adjustRightInd w:val="0"/>
    </w:pPr>
    <w:rPr>
      <w:rFonts w:ascii="Arial" w:hAnsi="Arial" w:cs="Arial"/>
      <w:color w:val="000000"/>
      <w:sz w:val="24"/>
      <w:szCs w:val="24"/>
    </w:rPr>
  </w:style>
  <w:style w:type="table" w:styleId="aa">
    <w:name w:val="Table Grid"/>
    <w:basedOn w:val="a1"/>
    <w:uiPriority w:val="59"/>
    <w:locked/>
    <w:rsid w:val="00CC0C5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link w:val="ac"/>
    <w:uiPriority w:val="34"/>
    <w:qFormat/>
    <w:rsid w:val="00CC0C52"/>
    <w:pPr>
      <w:widowControl w:val="0"/>
      <w:autoSpaceDE w:val="0"/>
      <w:autoSpaceDN w:val="0"/>
      <w:adjustRightInd w:val="0"/>
      <w:ind w:left="720" w:firstLine="720"/>
      <w:contextualSpacing/>
      <w:jc w:val="both"/>
    </w:pPr>
    <w:rPr>
      <w:rFonts w:ascii="Arial" w:hAnsi="Arial" w:cs="Arial"/>
    </w:rPr>
  </w:style>
  <w:style w:type="character" w:customStyle="1" w:styleId="title14">
    <w:name w:val="title14"/>
    <w:rsid w:val="00FA2EF4"/>
    <w:rPr>
      <w:vanish w:val="0"/>
      <w:webHidden w:val="0"/>
      <w:color w:val="6E94C6"/>
      <w:sz w:val="24"/>
      <w:szCs w:val="24"/>
      <w:specVanish w:val="0"/>
    </w:rPr>
  </w:style>
  <w:style w:type="character" w:customStyle="1" w:styleId="hl1">
    <w:name w:val="hl1"/>
    <w:rsid w:val="00CA27F0"/>
    <w:rPr>
      <w:vanish w:val="0"/>
      <w:webHidden w:val="0"/>
      <w:specVanish w:val="0"/>
    </w:rPr>
  </w:style>
  <w:style w:type="paragraph" w:styleId="ad">
    <w:name w:val="Normal (Web)"/>
    <w:basedOn w:val="a"/>
    <w:link w:val="ae"/>
    <w:uiPriority w:val="99"/>
    <w:unhideWhenUsed/>
    <w:rsid w:val="00DB4D71"/>
    <w:pPr>
      <w:spacing w:before="100" w:beforeAutospacing="1" w:after="100" w:afterAutospacing="1"/>
    </w:pPr>
  </w:style>
  <w:style w:type="character" w:customStyle="1" w:styleId="price">
    <w:name w:val="price"/>
    <w:rsid w:val="006A51E9"/>
  </w:style>
  <w:style w:type="character" w:customStyle="1" w:styleId="label">
    <w:name w:val="label"/>
    <w:rsid w:val="006A51E9"/>
  </w:style>
  <w:style w:type="character" w:customStyle="1" w:styleId="text-block">
    <w:name w:val="text-block"/>
    <w:rsid w:val="006A51E9"/>
  </w:style>
  <w:style w:type="character" w:customStyle="1" w:styleId="textgrey">
    <w:name w:val="text_grey"/>
    <w:rsid w:val="006A51E9"/>
  </w:style>
  <w:style w:type="character" w:customStyle="1" w:styleId="textprime">
    <w:name w:val="text_prime"/>
    <w:rsid w:val="006A51E9"/>
  </w:style>
  <w:style w:type="character" w:customStyle="1" w:styleId="textdark">
    <w:name w:val="text_dark"/>
    <w:rsid w:val="006A51E9"/>
  </w:style>
  <w:style w:type="character" w:customStyle="1" w:styleId="af">
    <w:name w:val="Гипертекстовая ссылка"/>
    <w:uiPriority w:val="99"/>
    <w:rsid w:val="00A827D5"/>
    <w:rPr>
      <w:rFonts w:cs="Times New Roman"/>
      <w:b w:val="0"/>
      <w:color w:val="106BBE"/>
    </w:rPr>
  </w:style>
  <w:style w:type="paragraph" w:customStyle="1" w:styleId="af0">
    <w:name w:val="Нормальный (таблица)"/>
    <w:basedOn w:val="a"/>
    <w:next w:val="a"/>
    <w:uiPriority w:val="99"/>
    <w:rsid w:val="00A827D5"/>
    <w:pPr>
      <w:widowControl w:val="0"/>
      <w:autoSpaceDE w:val="0"/>
      <w:autoSpaceDN w:val="0"/>
      <w:adjustRightInd w:val="0"/>
      <w:jc w:val="both"/>
    </w:pPr>
    <w:rPr>
      <w:rFonts w:ascii="Arial" w:hAnsi="Arial" w:cs="Arial"/>
      <w:sz w:val="26"/>
      <w:szCs w:val="26"/>
    </w:rPr>
  </w:style>
  <w:style w:type="character" w:customStyle="1" w:styleId="ConsPlusNormal0">
    <w:name w:val="ConsPlusNormal Знак"/>
    <w:link w:val="ConsPlusNormal"/>
    <w:locked/>
    <w:rsid w:val="00FF05D1"/>
    <w:rPr>
      <w:rFonts w:ascii="Arial" w:hAnsi="Arial" w:cs="Arial"/>
    </w:rPr>
  </w:style>
  <w:style w:type="character" w:customStyle="1" w:styleId="af1">
    <w:name w:val="Цветовое выделение"/>
    <w:uiPriority w:val="99"/>
    <w:rsid w:val="002E70D8"/>
    <w:rPr>
      <w:b/>
      <w:color w:val="26282F"/>
    </w:rPr>
  </w:style>
  <w:style w:type="character" w:customStyle="1" w:styleId="incut-head-control">
    <w:name w:val="incut-head-control"/>
    <w:rsid w:val="00646C03"/>
    <w:rPr>
      <w:rFonts w:ascii="Helvetica" w:hAnsi="Helvetica" w:cs="Helvetica" w:hint="default"/>
      <w:b/>
      <w:bCs/>
      <w:sz w:val="21"/>
      <w:szCs w:val="21"/>
    </w:rPr>
  </w:style>
  <w:style w:type="character" w:customStyle="1" w:styleId="ae">
    <w:name w:val="Обычный (веб) Знак"/>
    <w:link w:val="ad"/>
    <w:uiPriority w:val="99"/>
    <w:locked/>
    <w:rsid w:val="00ED25AC"/>
    <w:rPr>
      <w:rFonts w:ascii="Times New Roman" w:eastAsia="Times New Roman" w:hAnsi="Times New Roman"/>
      <w:sz w:val="24"/>
      <w:szCs w:val="24"/>
    </w:rPr>
  </w:style>
  <w:style w:type="character" w:styleId="af2">
    <w:name w:val="Emphasis"/>
    <w:uiPriority w:val="20"/>
    <w:qFormat/>
    <w:locked/>
    <w:rsid w:val="00ED25AC"/>
    <w:rPr>
      <w:i/>
      <w:iCs w:val="0"/>
    </w:rPr>
  </w:style>
  <w:style w:type="character" w:customStyle="1" w:styleId="ac">
    <w:name w:val="Абзац списка Знак"/>
    <w:link w:val="ab"/>
    <w:uiPriority w:val="34"/>
    <w:rsid w:val="00CB6DBD"/>
    <w:rPr>
      <w:rFonts w:ascii="Arial" w:eastAsia="Times New Roman" w:hAnsi="Arial" w:cs="Arial"/>
      <w:sz w:val="24"/>
      <w:szCs w:val="24"/>
    </w:rPr>
  </w:style>
  <w:style w:type="paragraph" w:customStyle="1" w:styleId="s1">
    <w:name w:val="s_1"/>
    <w:basedOn w:val="a"/>
    <w:rsid w:val="00ED720F"/>
    <w:pPr>
      <w:spacing w:before="100" w:beforeAutospacing="1" w:after="100" w:afterAutospacing="1"/>
    </w:pPr>
  </w:style>
  <w:style w:type="character" w:customStyle="1" w:styleId="Spanletter">
    <w:name w:val="Span_letter"/>
    <w:rsid w:val="00852E29"/>
  </w:style>
  <w:style w:type="paragraph" w:customStyle="1" w:styleId="newsmaker-header">
    <w:name w:val="newsmaker-header"/>
    <w:basedOn w:val="a"/>
    <w:rsid w:val="00FA3EF2"/>
    <w:pPr>
      <w:spacing w:after="60" w:line="300" w:lineRule="atLeast"/>
    </w:pPr>
    <w:rPr>
      <w:sz w:val="22"/>
      <w:szCs w:val="22"/>
    </w:rPr>
  </w:style>
  <w:style w:type="paragraph" w:customStyle="1" w:styleId="newsmaker-name">
    <w:name w:val="newsmaker-name"/>
    <w:basedOn w:val="a"/>
    <w:rsid w:val="00FA3EF2"/>
    <w:pPr>
      <w:spacing w:after="60" w:line="280" w:lineRule="atLeast"/>
    </w:pPr>
    <w:rPr>
      <w:b/>
      <w:bCs/>
      <w:color w:val="000000"/>
      <w:sz w:val="25"/>
      <w:szCs w:val="25"/>
    </w:rPr>
  </w:style>
  <w:style w:type="paragraph" w:customStyle="1" w:styleId="newsmaker-info">
    <w:name w:val="newsmaker-info"/>
    <w:basedOn w:val="a"/>
    <w:rsid w:val="00FA3EF2"/>
    <w:pPr>
      <w:spacing w:after="60" w:line="300" w:lineRule="atLeast"/>
    </w:pPr>
    <w:rPr>
      <w:sz w:val="22"/>
      <w:szCs w:val="22"/>
    </w:rPr>
  </w:style>
  <w:style w:type="character" w:customStyle="1" w:styleId="Spanlink">
    <w:name w:val="Span_link"/>
    <w:rsid w:val="005832F9"/>
    <w:rPr>
      <w:color w:val="008200"/>
    </w:rPr>
  </w:style>
  <w:style w:type="character" w:customStyle="1" w:styleId="20">
    <w:name w:val="Заголовок 2 Знак"/>
    <w:link w:val="2"/>
    <w:uiPriority w:val="9"/>
    <w:rsid w:val="00C62C44"/>
    <w:rPr>
      <w:rFonts w:ascii="Times New Roman" w:eastAsia="Times New Roman" w:hAnsi="Times New Roman"/>
      <w:b/>
      <w:bCs/>
      <w:sz w:val="36"/>
      <w:szCs w:val="36"/>
    </w:rPr>
  </w:style>
  <w:style w:type="character" w:customStyle="1" w:styleId="30">
    <w:name w:val="Заголовок 3 Знак"/>
    <w:link w:val="3"/>
    <w:rsid w:val="00DF370D"/>
    <w:rPr>
      <w:rFonts w:ascii="Cambria" w:eastAsia="Times New Roman" w:hAnsi="Cambria" w:cs="Times New Roman"/>
      <w:b/>
      <w:bCs/>
      <w:sz w:val="26"/>
      <w:szCs w:val="26"/>
    </w:rPr>
  </w:style>
  <w:style w:type="paragraph" w:customStyle="1" w:styleId="turbo-paragraph">
    <w:name w:val="turbo-paragraph"/>
    <w:basedOn w:val="a"/>
    <w:rsid w:val="00361B15"/>
    <w:pPr>
      <w:spacing w:before="100" w:beforeAutospacing="1" w:after="100" w:afterAutospacing="1"/>
    </w:pPr>
  </w:style>
  <w:style w:type="paragraph" w:customStyle="1" w:styleId="Pa13">
    <w:name w:val="Pa13"/>
    <w:basedOn w:val="Default"/>
    <w:next w:val="Default"/>
    <w:uiPriority w:val="99"/>
    <w:rsid w:val="00293C17"/>
    <w:pPr>
      <w:spacing w:line="201" w:lineRule="atLeast"/>
    </w:pPr>
    <w:rPr>
      <w:rFonts w:ascii="TT Jenevers" w:hAnsi="TT Jenevers" w:cs="Times New Roman"/>
      <w:color w:val="auto"/>
    </w:rPr>
  </w:style>
  <w:style w:type="character" w:customStyle="1" w:styleId="A10">
    <w:name w:val="A10"/>
    <w:uiPriority w:val="99"/>
    <w:rsid w:val="00293C17"/>
    <w:rPr>
      <w:rFonts w:ascii="PT_Russia Text" w:hAnsi="PT_Russia Text" w:cs="PT_Russia Text"/>
      <w:color w:val="000000"/>
      <w:sz w:val="11"/>
      <w:szCs w:val="11"/>
    </w:rPr>
  </w:style>
  <w:style w:type="paragraph" w:customStyle="1" w:styleId="Pa11">
    <w:name w:val="Pa11"/>
    <w:basedOn w:val="Default"/>
    <w:next w:val="Default"/>
    <w:uiPriority w:val="99"/>
    <w:rsid w:val="00293C17"/>
    <w:pPr>
      <w:spacing w:line="201" w:lineRule="atLeast"/>
    </w:pPr>
    <w:rPr>
      <w:rFonts w:ascii="TT Jenevers" w:hAnsi="TT Jenevers" w:cs="Times New Roman"/>
      <w:color w:val="auto"/>
    </w:rPr>
  </w:style>
  <w:style w:type="paragraph" w:customStyle="1" w:styleId="Ol">
    <w:name w:val="Ol"/>
    <w:basedOn w:val="a"/>
    <w:rsid w:val="00B806AF"/>
    <w:pPr>
      <w:spacing w:line="300" w:lineRule="atLeast"/>
    </w:pPr>
    <w:rPr>
      <w:sz w:val="22"/>
      <w:szCs w:val="22"/>
    </w:rPr>
  </w:style>
  <w:style w:type="character" w:customStyle="1" w:styleId="letter">
    <w:name w:val="letter"/>
    <w:rsid w:val="00651737"/>
  </w:style>
  <w:style w:type="character" w:styleId="af3">
    <w:name w:val="Strong"/>
    <w:uiPriority w:val="22"/>
    <w:qFormat/>
    <w:locked/>
    <w:rsid w:val="00093C34"/>
    <w:rPr>
      <w:b/>
      <w:bCs/>
    </w:rPr>
  </w:style>
  <w:style w:type="paragraph" w:customStyle="1" w:styleId="mb-3">
    <w:name w:val="mb-3"/>
    <w:basedOn w:val="a"/>
    <w:rsid w:val="00F97A0E"/>
    <w:pPr>
      <w:spacing w:before="100" w:beforeAutospacing="1" w:after="100" w:afterAutospacing="1"/>
    </w:pPr>
  </w:style>
  <w:style w:type="paragraph" w:styleId="af4">
    <w:name w:val="footnote text"/>
    <w:basedOn w:val="a"/>
    <w:link w:val="af5"/>
    <w:uiPriority w:val="99"/>
    <w:rsid w:val="00116E3F"/>
    <w:rPr>
      <w:sz w:val="20"/>
      <w:szCs w:val="20"/>
    </w:rPr>
  </w:style>
  <w:style w:type="character" w:customStyle="1" w:styleId="af5">
    <w:name w:val="Текст сноски Знак"/>
    <w:basedOn w:val="a0"/>
    <w:link w:val="af4"/>
    <w:uiPriority w:val="99"/>
    <w:rsid w:val="00116E3F"/>
    <w:rPr>
      <w:rFonts w:ascii="Times New Roman" w:eastAsia="Times New Roman" w:hAnsi="Times New Roman"/>
    </w:rPr>
  </w:style>
  <w:style w:type="character" w:styleId="af6">
    <w:name w:val="footnote reference"/>
    <w:uiPriority w:val="99"/>
    <w:rsid w:val="00116E3F"/>
    <w:rPr>
      <w:vertAlign w:val="superscript"/>
    </w:rPr>
  </w:style>
  <w:style w:type="character" w:customStyle="1" w:styleId="10">
    <w:name w:val="Заголовок 1 Знак"/>
    <w:basedOn w:val="a0"/>
    <w:link w:val="1"/>
    <w:rsid w:val="00E42EA0"/>
    <w:rPr>
      <w:rFonts w:asciiTheme="majorHAnsi" w:eastAsiaTheme="majorEastAsia" w:hAnsiTheme="majorHAnsi" w:cstheme="majorBidi"/>
      <w:b/>
      <w:bCs/>
      <w:color w:val="365F91" w:themeColor="accent1" w:themeShade="BF"/>
      <w:sz w:val="28"/>
      <w:szCs w:val="28"/>
    </w:rPr>
  </w:style>
  <w:style w:type="character" w:customStyle="1" w:styleId="mw-headline">
    <w:name w:val="mw-headline"/>
    <w:basedOn w:val="a0"/>
    <w:rsid w:val="00E42EA0"/>
  </w:style>
  <w:style w:type="character" w:customStyle="1" w:styleId="toctoggle">
    <w:name w:val="toctoggle"/>
    <w:basedOn w:val="a0"/>
    <w:rsid w:val="00E42EA0"/>
  </w:style>
  <w:style w:type="character" w:customStyle="1" w:styleId="toctext">
    <w:name w:val="toctext"/>
    <w:basedOn w:val="a0"/>
    <w:rsid w:val="00E42EA0"/>
  </w:style>
  <w:style w:type="paragraph" w:customStyle="1" w:styleId="incut-v4title">
    <w:name w:val="incut-v4title"/>
    <w:basedOn w:val="a"/>
    <w:rsid w:val="000326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1273">
      <w:bodyDiv w:val="1"/>
      <w:marLeft w:val="0"/>
      <w:marRight w:val="0"/>
      <w:marTop w:val="0"/>
      <w:marBottom w:val="0"/>
      <w:divBdr>
        <w:top w:val="none" w:sz="0" w:space="0" w:color="auto"/>
        <w:left w:val="none" w:sz="0" w:space="0" w:color="auto"/>
        <w:bottom w:val="none" w:sz="0" w:space="0" w:color="auto"/>
        <w:right w:val="none" w:sz="0" w:space="0" w:color="auto"/>
      </w:divBdr>
    </w:div>
    <w:div w:id="83649772">
      <w:bodyDiv w:val="1"/>
      <w:marLeft w:val="0"/>
      <w:marRight w:val="0"/>
      <w:marTop w:val="0"/>
      <w:marBottom w:val="0"/>
      <w:divBdr>
        <w:top w:val="none" w:sz="0" w:space="0" w:color="auto"/>
        <w:left w:val="none" w:sz="0" w:space="0" w:color="auto"/>
        <w:bottom w:val="none" w:sz="0" w:space="0" w:color="auto"/>
        <w:right w:val="none" w:sz="0" w:space="0" w:color="auto"/>
      </w:divBdr>
    </w:div>
    <w:div w:id="161705084">
      <w:bodyDiv w:val="1"/>
      <w:marLeft w:val="0"/>
      <w:marRight w:val="0"/>
      <w:marTop w:val="0"/>
      <w:marBottom w:val="0"/>
      <w:divBdr>
        <w:top w:val="none" w:sz="0" w:space="0" w:color="auto"/>
        <w:left w:val="none" w:sz="0" w:space="0" w:color="auto"/>
        <w:bottom w:val="none" w:sz="0" w:space="0" w:color="auto"/>
        <w:right w:val="none" w:sz="0" w:space="0" w:color="auto"/>
      </w:divBdr>
    </w:div>
    <w:div w:id="163399576">
      <w:bodyDiv w:val="1"/>
      <w:marLeft w:val="0"/>
      <w:marRight w:val="0"/>
      <w:marTop w:val="0"/>
      <w:marBottom w:val="0"/>
      <w:divBdr>
        <w:top w:val="none" w:sz="0" w:space="0" w:color="auto"/>
        <w:left w:val="none" w:sz="0" w:space="0" w:color="auto"/>
        <w:bottom w:val="none" w:sz="0" w:space="0" w:color="auto"/>
        <w:right w:val="none" w:sz="0" w:space="0" w:color="auto"/>
      </w:divBdr>
    </w:div>
    <w:div w:id="177282322">
      <w:bodyDiv w:val="1"/>
      <w:marLeft w:val="0"/>
      <w:marRight w:val="0"/>
      <w:marTop w:val="0"/>
      <w:marBottom w:val="0"/>
      <w:divBdr>
        <w:top w:val="none" w:sz="0" w:space="0" w:color="auto"/>
        <w:left w:val="none" w:sz="0" w:space="0" w:color="auto"/>
        <w:bottom w:val="none" w:sz="0" w:space="0" w:color="auto"/>
        <w:right w:val="none" w:sz="0" w:space="0" w:color="auto"/>
      </w:divBdr>
      <w:divsChild>
        <w:div w:id="643970352">
          <w:marLeft w:val="0"/>
          <w:marRight w:val="0"/>
          <w:marTop w:val="0"/>
          <w:marBottom w:val="0"/>
          <w:divBdr>
            <w:top w:val="none" w:sz="0" w:space="0" w:color="auto"/>
            <w:left w:val="none" w:sz="0" w:space="0" w:color="auto"/>
            <w:bottom w:val="none" w:sz="0" w:space="0" w:color="auto"/>
            <w:right w:val="none" w:sz="0" w:space="0" w:color="auto"/>
          </w:divBdr>
          <w:divsChild>
            <w:div w:id="1578785746">
              <w:marLeft w:val="0"/>
              <w:marRight w:val="0"/>
              <w:marTop w:val="0"/>
              <w:marBottom w:val="0"/>
              <w:divBdr>
                <w:top w:val="none" w:sz="0" w:space="0" w:color="auto"/>
                <w:left w:val="none" w:sz="0" w:space="0" w:color="auto"/>
                <w:bottom w:val="none" w:sz="0" w:space="0" w:color="auto"/>
                <w:right w:val="none" w:sz="0" w:space="0" w:color="auto"/>
              </w:divBdr>
              <w:divsChild>
                <w:div w:id="1203443556">
                  <w:marLeft w:val="150"/>
                  <w:marRight w:val="150"/>
                  <w:marTop w:val="300"/>
                  <w:marBottom w:val="1200"/>
                  <w:divBdr>
                    <w:top w:val="none" w:sz="0" w:space="0" w:color="auto"/>
                    <w:left w:val="none" w:sz="0" w:space="0" w:color="auto"/>
                    <w:bottom w:val="none" w:sz="0" w:space="0" w:color="auto"/>
                    <w:right w:val="none" w:sz="0" w:space="0" w:color="auto"/>
                  </w:divBdr>
                  <w:divsChild>
                    <w:div w:id="44839107">
                      <w:marLeft w:val="0"/>
                      <w:marRight w:val="0"/>
                      <w:marTop w:val="0"/>
                      <w:marBottom w:val="0"/>
                      <w:divBdr>
                        <w:top w:val="none" w:sz="0" w:space="0" w:color="auto"/>
                        <w:left w:val="none" w:sz="0" w:space="0" w:color="auto"/>
                        <w:bottom w:val="none" w:sz="0" w:space="0" w:color="auto"/>
                        <w:right w:val="none" w:sz="0" w:space="0" w:color="auto"/>
                      </w:divBdr>
                      <w:divsChild>
                        <w:div w:id="219366161">
                          <w:marLeft w:val="0"/>
                          <w:marRight w:val="0"/>
                          <w:marTop w:val="0"/>
                          <w:marBottom w:val="0"/>
                          <w:divBdr>
                            <w:top w:val="none" w:sz="0" w:space="0" w:color="auto"/>
                            <w:left w:val="none" w:sz="0" w:space="0" w:color="auto"/>
                            <w:bottom w:val="none" w:sz="0" w:space="0" w:color="auto"/>
                            <w:right w:val="none" w:sz="0" w:space="0" w:color="auto"/>
                          </w:divBdr>
                          <w:divsChild>
                            <w:div w:id="1589122256">
                              <w:marLeft w:val="0"/>
                              <w:marRight w:val="0"/>
                              <w:marTop w:val="0"/>
                              <w:marBottom w:val="0"/>
                              <w:divBdr>
                                <w:top w:val="none" w:sz="0" w:space="0" w:color="auto"/>
                                <w:left w:val="none" w:sz="0" w:space="0" w:color="auto"/>
                                <w:bottom w:val="none" w:sz="0" w:space="0" w:color="auto"/>
                                <w:right w:val="none" w:sz="0" w:space="0" w:color="auto"/>
                              </w:divBdr>
                              <w:divsChild>
                                <w:div w:id="445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406237">
      <w:bodyDiv w:val="1"/>
      <w:marLeft w:val="0"/>
      <w:marRight w:val="0"/>
      <w:marTop w:val="0"/>
      <w:marBottom w:val="0"/>
      <w:divBdr>
        <w:top w:val="none" w:sz="0" w:space="0" w:color="auto"/>
        <w:left w:val="none" w:sz="0" w:space="0" w:color="auto"/>
        <w:bottom w:val="none" w:sz="0" w:space="0" w:color="auto"/>
        <w:right w:val="none" w:sz="0" w:space="0" w:color="auto"/>
      </w:divBdr>
    </w:div>
    <w:div w:id="336424878">
      <w:bodyDiv w:val="1"/>
      <w:marLeft w:val="0"/>
      <w:marRight w:val="0"/>
      <w:marTop w:val="0"/>
      <w:marBottom w:val="0"/>
      <w:divBdr>
        <w:top w:val="none" w:sz="0" w:space="0" w:color="auto"/>
        <w:left w:val="none" w:sz="0" w:space="0" w:color="auto"/>
        <w:bottom w:val="none" w:sz="0" w:space="0" w:color="auto"/>
        <w:right w:val="none" w:sz="0" w:space="0" w:color="auto"/>
      </w:divBdr>
    </w:div>
    <w:div w:id="342822950">
      <w:bodyDiv w:val="1"/>
      <w:marLeft w:val="0"/>
      <w:marRight w:val="0"/>
      <w:marTop w:val="0"/>
      <w:marBottom w:val="0"/>
      <w:divBdr>
        <w:top w:val="none" w:sz="0" w:space="0" w:color="auto"/>
        <w:left w:val="none" w:sz="0" w:space="0" w:color="auto"/>
        <w:bottom w:val="none" w:sz="0" w:space="0" w:color="auto"/>
        <w:right w:val="none" w:sz="0" w:space="0" w:color="auto"/>
      </w:divBdr>
    </w:div>
    <w:div w:id="416831718">
      <w:bodyDiv w:val="1"/>
      <w:marLeft w:val="0"/>
      <w:marRight w:val="0"/>
      <w:marTop w:val="0"/>
      <w:marBottom w:val="0"/>
      <w:divBdr>
        <w:top w:val="none" w:sz="0" w:space="0" w:color="auto"/>
        <w:left w:val="none" w:sz="0" w:space="0" w:color="auto"/>
        <w:bottom w:val="none" w:sz="0" w:space="0" w:color="auto"/>
        <w:right w:val="none" w:sz="0" w:space="0" w:color="auto"/>
      </w:divBdr>
    </w:div>
    <w:div w:id="473068084">
      <w:bodyDiv w:val="1"/>
      <w:marLeft w:val="0"/>
      <w:marRight w:val="0"/>
      <w:marTop w:val="0"/>
      <w:marBottom w:val="0"/>
      <w:divBdr>
        <w:top w:val="none" w:sz="0" w:space="0" w:color="auto"/>
        <w:left w:val="none" w:sz="0" w:space="0" w:color="auto"/>
        <w:bottom w:val="none" w:sz="0" w:space="0" w:color="auto"/>
        <w:right w:val="none" w:sz="0" w:space="0" w:color="auto"/>
      </w:divBdr>
    </w:div>
    <w:div w:id="500778980">
      <w:bodyDiv w:val="1"/>
      <w:marLeft w:val="0"/>
      <w:marRight w:val="0"/>
      <w:marTop w:val="0"/>
      <w:marBottom w:val="0"/>
      <w:divBdr>
        <w:top w:val="none" w:sz="0" w:space="0" w:color="auto"/>
        <w:left w:val="none" w:sz="0" w:space="0" w:color="auto"/>
        <w:bottom w:val="none" w:sz="0" w:space="0" w:color="auto"/>
        <w:right w:val="none" w:sz="0" w:space="0" w:color="auto"/>
      </w:divBdr>
      <w:divsChild>
        <w:div w:id="1343435844">
          <w:marLeft w:val="0"/>
          <w:marRight w:val="0"/>
          <w:marTop w:val="0"/>
          <w:marBottom w:val="0"/>
          <w:divBdr>
            <w:top w:val="none" w:sz="0" w:space="0" w:color="auto"/>
            <w:left w:val="none" w:sz="0" w:space="0" w:color="auto"/>
            <w:bottom w:val="none" w:sz="0" w:space="0" w:color="auto"/>
            <w:right w:val="none" w:sz="0" w:space="0" w:color="auto"/>
          </w:divBdr>
          <w:divsChild>
            <w:div w:id="247813868">
              <w:marLeft w:val="0"/>
              <w:marRight w:val="0"/>
              <w:marTop w:val="0"/>
              <w:marBottom w:val="0"/>
              <w:divBdr>
                <w:top w:val="none" w:sz="0" w:space="0" w:color="auto"/>
                <w:left w:val="none" w:sz="0" w:space="0" w:color="auto"/>
                <w:bottom w:val="none" w:sz="0" w:space="0" w:color="auto"/>
                <w:right w:val="none" w:sz="0" w:space="0" w:color="auto"/>
              </w:divBdr>
              <w:divsChild>
                <w:div w:id="42994993">
                  <w:marLeft w:val="150"/>
                  <w:marRight w:val="150"/>
                  <w:marTop w:val="300"/>
                  <w:marBottom w:val="1200"/>
                  <w:divBdr>
                    <w:top w:val="none" w:sz="0" w:space="0" w:color="auto"/>
                    <w:left w:val="none" w:sz="0" w:space="0" w:color="auto"/>
                    <w:bottom w:val="none" w:sz="0" w:space="0" w:color="auto"/>
                    <w:right w:val="none" w:sz="0" w:space="0" w:color="auto"/>
                  </w:divBdr>
                  <w:divsChild>
                    <w:div w:id="1427534903">
                      <w:marLeft w:val="0"/>
                      <w:marRight w:val="0"/>
                      <w:marTop w:val="0"/>
                      <w:marBottom w:val="0"/>
                      <w:divBdr>
                        <w:top w:val="none" w:sz="0" w:space="0" w:color="auto"/>
                        <w:left w:val="none" w:sz="0" w:space="0" w:color="auto"/>
                        <w:bottom w:val="none" w:sz="0" w:space="0" w:color="auto"/>
                        <w:right w:val="none" w:sz="0" w:space="0" w:color="auto"/>
                      </w:divBdr>
                      <w:divsChild>
                        <w:div w:id="821045963">
                          <w:marLeft w:val="0"/>
                          <w:marRight w:val="0"/>
                          <w:marTop w:val="0"/>
                          <w:marBottom w:val="0"/>
                          <w:divBdr>
                            <w:top w:val="none" w:sz="0" w:space="0" w:color="auto"/>
                            <w:left w:val="none" w:sz="0" w:space="0" w:color="auto"/>
                            <w:bottom w:val="none" w:sz="0" w:space="0" w:color="auto"/>
                            <w:right w:val="none" w:sz="0" w:space="0" w:color="auto"/>
                          </w:divBdr>
                          <w:divsChild>
                            <w:div w:id="1577207821">
                              <w:marLeft w:val="0"/>
                              <w:marRight w:val="0"/>
                              <w:marTop w:val="0"/>
                              <w:marBottom w:val="0"/>
                              <w:divBdr>
                                <w:top w:val="none" w:sz="0" w:space="0" w:color="auto"/>
                                <w:left w:val="none" w:sz="0" w:space="0" w:color="auto"/>
                                <w:bottom w:val="none" w:sz="0" w:space="0" w:color="auto"/>
                                <w:right w:val="none" w:sz="0" w:space="0" w:color="auto"/>
                              </w:divBdr>
                              <w:divsChild>
                                <w:div w:id="87315736">
                                  <w:marLeft w:val="0"/>
                                  <w:marRight w:val="0"/>
                                  <w:marTop w:val="0"/>
                                  <w:marBottom w:val="0"/>
                                  <w:divBdr>
                                    <w:top w:val="none" w:sz="0" w:space="0" w:color="auto"/>
                                    <w:left w:val="none" w:sz="0" w:space="0" w:color="auto"/>
                                    <w:bottom w:val="none" w:sz="0" w:space="0" w:color="auto"/>
                                    <w:right w:val="none" w:sz="0" w:space="0" w:color="auto"/>
                                  </w:divBdr>
                                </w:div>
                                <w:div w:id="295573711">
                                  <w:marLeft w:val="0"/>
                                  <w:marRight w:val="0"/>
                                  <w:marTop w:val="0"/>
                                  <w:marBottom w:val="0"/>
                                  <w:divBdr>
                                    <w:top w:val="none" w:sz="0" w:space="0" w:color="auto"/>
                                    <w:left w:val="none" w:sz="0" w:space="0" w:color="auto"/>
                                    <w:bottom w:val="none" w:sz="0" w:space="0" w:color="auto"/>
                                    <w:right w:val="none" w:sz="0" w:space="0" w:color="auto"/>
                                  </w:divBdr>
                                </w:div>
                                <w:div w:id="803499399">
                                  <w:marLeft w:val="0"/>
                                  <w:marRight w:val="0"/>
                                  <w:marTop w:val="0"/>
                                  <w:marBottom w:val="0"/>
                                  <w:divBdr>
                                    <w:top w:val="none" w:sz="0" w:space="0" w:color="auto"/>
                                    <w:left w:val="none" w:sz="0" w:space="0" w:color="auto"/>
                                    <w:bottom w:val="none" w:sz="0" w:space="0" w:color="auto"/>
                                    <w:right w:val="none" w:sz="0" w:space="0" w:color="auto"/>
                                  </w:divBdr>
                                </w:div>
                                <w:div w:id="910770058">
                                  <w:marLeft w:val="0"/>
                                  <w:marRight w:val="0"/>
                                  <w:marTop w:val="0"/>
                                  <w:marBottom w:val="0"/>
                                  <w:divBdr>
                                    <w:top w:val="none" w:sz="0" w:space="0" w:color="auto"/>
                                    <w:left w:val="none" w:sz="0" w:space="0" w:color="auto"/>
                                    <w:bottom w:val="none" w:sz="0" w:space="0" w:color="auto"/>
                                    <w:right w:val="none" w:sz="0" w:space="0" w:color="auto"/>
                                  </w:divBdr>
                                </w:div>
                                <w:div w:id="1201550887">
                                  <w:marLeft w:val="0"/>
                                  <w:marRight w:val="0"/>
                                  <w:marTop w:val="0"/>
                                  <w:marBottom w:val="0"/>
                                  <w:divBdr>
                                    <w:top w:val="none" w:sz="0" w:space="0" w:color="auto"/>
                                    <w:left w:val="none" w:sz="0" w:space="0" w:color="auto"/>
                                    <w:bottom w:val="none" w:sz="0" w:space="0" w:color="auto"/>
                                    <w:right w:val="none" w:sz="0" w:space="0" w:color="auto"/>
                                  </w:divBdr>
                                </w:div>
                                <w:div w:id="1481846178">
                                  <w:marLeft w:val="0"/>
                                  <w:marRight w:val="0"/>
                                  <w:marTop w:val="0"/>
                                  <w:marBottom w:val="0"/>
                                  <w:divBdr>
                                    <w:top w:val="none" w:sz="0" w:space="0" w:color="auto"/>
                                    <w:left w:val="none" w:sz="0" w:space="0" w:color="auto"/>
                                    <w:bottom w:val="none" w:sz="0" w:space="0" w:color="auto"/>
                                    <w:right w:val="none" w:sz="0" w:space="0" w:color="auto"/>
                                  </w:divBdr>
                                </w:div>
                                <w:div w:id="184084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326403">
      <w:bodyDiv w:val="1"/>
      <w:marLeft w:val="0"/>
      <w:marRight w:val="0"/>
      <w:marTop w:val="0"/>
      <w:marBottom w:val="0"/>
      <w:divBdr>
        <w:top w:val="none" w:sz="0" w:space="0" w:color="auto"/>
        <w:left w:val="none" w:sz="0" w:space="0" w:color="auto"/>
        <w:bottom w:val="none" w:sz="0" w:space="0" w:color="auto"/>
        <w:right w:val="none" w:sz="0" w:space="0" w:color="auto"/>
      </w:divBdr>
    </w:div>
    <w:div w:id="582104229">
      <w:bodyDiv w:val="1"/>
      <w:marLeft w:val="0"/>
      <w:marRight w:val="0"/>
      <w:marTop w:val="0"/>
      <w:marBottom w:val="0"/>
      <w:divBdr>
        <w:top w:val="none" w:sz="0" w:space="0" w:color="auto"/>
        <w:left w:val="none" w:sz="0" w:space="0" w:color="auto"/>
        <w:bottom w:val="none" w:sz="0" w:space="0" w:color="auto"/>
        <w:right w:val="none" w:sz="0" w:space="0" w:color="auto"/>
      </w:divBdr>
    </w:div>
    <w:div w:id="676495042">
      <w:bodyDiv w:val="1"/>
      <w:marLeft w:val="0"/>
      <w:marRight w:val="0"/>
      <w:marTop w:val="0"/>
      <w:marBottom w:val="0"/>
      <w:divBdr>
        <w:top w:val="none" w:sz="0" w:space="0" w:color="auto"/>
        <w:left w:val="none" w:sz="0" w:space="0" w:color="auto"/>
        <w:bottom w:val="none" w:sz="0" w:space="0" w:color="auto"/>
        <w:right w:val="none" w:sz="0" w:space="0" w:color="auto"/>
      </w:divBdr>
      <w:divsChild>
        <w:div w:id="821966175">
          <w:marLeft w:val="0"/>
          <w:marRight w:val="0"/>
          <w:marTop w:val="0"/>
          <w:marBottom w:val="0"/>
          <w:divBdr>
            <w:top w:val="none" w:sz="0" w:space="0" w:color="auto"/>
            <w:left w:val="none" w:sz="0" w:space="0" w:color="auto"/>
            <w:bottom w:val="none" w:sz="0" w:space="0" w:color="auto"/>
            <w:right w:val="none" w:sz="0" w:space="0" w:color="auto"/>
          </w:divBdr>
          <w:divsChild>
            <w:div w:id="169879950">
              <w:marLeft w:val="0"/>
              <w:marRight w:val="0"/>
              <w:marTop w:val="0"/>
              <w:marBottom w:val="0"/>
              <w:divBdr>
                <w:top w:val="none" w:sz="0" w:space="0" w:color="auto"/>
                <w:left w:val="none" w:sz="0" w:space="0" w:color="auto"/>
                <w:bottom w:val="none" w:sz="0" w:space="0" w:color="auto"/>
                <w:right w:val="none" w:sz="0" w:space="0" w:color="auto"/>
              </w:divBdr>
              <w:divsChild>
                <w:div w:id="764575349">
                  <w:marLeft w:val="150"/>
                  <w:marRight w:val="150"/>
                  <w:marTop w:val="300"/>
                  <w:marBottom w:val="1200"/>
                  <w:divBdr>
                    <w:top w:val="none" w:sz="0" w:space="0" w:color="auto"/>
                    <w:left w:val="none" w:sz="0" w:space="0" w:color="auto"/>
                    <w:bottom w:val="none" w:sz="0" w:space="0" w:color="auto"/>
                    <w:right w:val="none" w:sz="0" w:space="0" w:color="auto"/>
                  </w:divBdr>
                  <w:divsChild>
                    <w:div w:id="1773428250">
                      <w:marLeft w:val="0"/>
                      <w:marRight w:val="0"/>
                      <w:marTop w:val="0"/>
                      <w:marBottom w:val="0"/>
                      <w:divBdr>
                        <w:top w:val="none" w:sz="0" w:space="0" w:color="auto"/>
                        <w:left w:val="none" w:sz="0" w:space="0" w:color="auto"/>
                        <w:bottom w:val="none" w:sz="0" w:space="0" w:color="auto"/>
                        <w:right w:val="none" w:sz="0" w:space="0" w:color="auto"/>
                      </w:divBdr>
                      <w:divsChild>
                        <w:div w:id="1095396375">
                          <w:marLeft w:val="0"/>
                          <w:marRight w:val="0"/>
                          <w:marTop w:val="0"/>
                          <w:marBottom w:val="0"/>
                          <w:divBdr>
                            <w:top w:val="none" w:sz="0" w:space="0" w:color="auto"/>
                            <w:left w:val="none" w:sz="0" w:space="0" w:color="auto"/>
                            <w:bottom w:val="none" w:sz="0" w:space="0" w:color="auto"/>
                            <w:right w:val="none" w:sz="0" w:space="0" w:color="auto"/>
                          </w:divBdr>
                          <w:divsChild>
                            <w:div w:id="788162062">
                              <w:marLeft w:val="0"/>
                              <w:marRight w:val="0"/>
                              <w:marTop w:val="0"/>
                              <w:marBottom w:val="0"/>
                              <w:divBdr>
                                <w:top w:val="none" w:sz="0" w:space="0" w:color="auto"/>
                                <w:left w:val="none" w:sz="0" w:space="0" w:color="auto"/>
                                <w:bottom w:val="none" w:sz="0" w:space="0" w:color="auto"/>
                                <w:right w:val="none" w:sz="0" w:space="0" w:color="auto"/>
                              </w:divBdr>
                              <w:divsChild>
                                <w:div w:id="3205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281975">
      <w:bodyDiv w:val="1"/>
      <w:marLeft w:val="0"/>
      <w:marRight w:val="0"/>
      <w:marTop w:val="0"/>
      <w:marBottom w:val="0"/>
      <w:divBdr>
        <w:top w:val="none" w:sz="0" w:space="0" w:color="auto"/>
        <w:left w:val="none" w:sz="0" w:space="0" w:color="auto"/>
        <w:bottom w:val="none" w:sz="0" w:space="0" w:color="auto"/>
        <w:right w:val="none" w:sz="0" w:space="0" w:color="auto"/>
      </w:divBdr>
      <w:divsChild>
        <w:div w:id="87543201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37824258">
      <w:bodyDiv w:val="1"/>
      <w:marLeft w:val="0"/>
      <w:marRight w:val="0"/>
      <w:marTop w:val="0"/>
      <w:marBottom w:val="0"/>
      <w:divBdr>
        <w:top w:val="none" w:sz="0" w:space="0" w:color="auto"/>
        <w:left w:val="none" w:sz="0" w:space="0" w:color="auto"/>
        <w:bottom w:val="none" w:sz="0" w:space="0" w:color="auto"/>
        <w:right w:val="none" w:sz="0" w:space="0" w:color="auto"/>
      </w:divBdr>
      <w:divsChild>
        <w:div w:id="872617800">
          <w:marLeft w:val="0"/>
          <w:marRight w:val="0"/>
          <w:marTop w:val="0"/>
          <w:marBottom w:val="0"/>
          <w:divBdr>
            <w:top w:val="none" w:sz="0" w:space="0" w:color="auto"/>
            <w:left w:val="none" w:sz="0" w:space="0" w:color="auto"/>
            <w:bottom w:val="none" w:sz="0" w:space="0" w:color="auto"/>
            <w:right w:val="none" w:sz="0" w:space="0" w:color="auto"/>
          </w:divBdr>
          <w:divsChild>
            <w:div w:id="1204054580">
              <w:marLeft w:val="0"/>
              <w:marRight w:val="0"/>
              <w:marTop w:val="0"/>
              <w:marBottom w:val="0"/>
              <w:divBdr>
                <w:top w:val="none" w:sz="0" w:space="0" w:color="auto"/>
                <w:left w:val="none" w:sz="0" w:space="0" w:color="auto"/>
                <w:bottom w:val="none" w:sz="0" w:space="0" w:color="auto"/>
                <w:right w:val="none" w:sz="0" w:space="0" w:color="auto"/>
              </w:divBdr>
              <w:divsChild>
                <w:div w:id="177818651">
                  <w:marLeft w:val="0"/>
                  <w:marRight w:val="0"/>
                  <w:marTop w:val="0"/>
                  <w:marBottom w:val="0"/>
                  <w:divBdr>
                    <w:top w:val="none" w:sz="0" w:space="0" w:color="auto"/>
                    <w:left w:val="none" w:sz="0" w:space="0" w:color="auto"/>
                    <w:bottom w:val="none" w:sz="0" w:space="0" w:color="auto"/>
                    <w:right w:val="none" w:sz="0" w:space="0" w:color="auto"/>
                  </w:divBdr>
                </w:div>
              </w:divsChild>
            </w:div>
            <w:div w:id="792022433">
              <w:marLeft w:val="0"/>
              <w:marRight w:val="0"/>
              <w:marTop w:val="0"/>
              <w:marBottom w:val="0"/>
              <w:divBdr>
                <w:top w:val="none" w:sz="0" w:space="0" w:color="auto"/>
                <w:left w:val="none" w:sz="0" w:space="0" w:color="auto"/>
                <w:bottom w:val="none" w:sz="0" w:space="0" w:color="auto"/>
                <w:right w:val="none" w:sz="0" w:space="0" w:color="auto"/>
              </w:divBdr>
              <w:divsChild>
                <w:div w:id="319508003">
                  <w:marLeft w:val="0"/>
                  <w:marRight w:val="0"/>
                  <w:marTop w:val="0"/>
                  <w:marBottom w:val="0"/>
                  <w:divBdr>
                    <w:top w:val="none" w:sz="0" w:space="0" w:color="auto"/>
                    <w:left w:val="none" w:sz="0" w:space="0" w:color="auto"/>
                    <w:bottom w:val="none" w:sz="0" w:space="0" w:color="auto"/>
                    <w:right w:val="none" w:sz="0" w:space="0" w:color="auto"/>
                  </w:divBdr>
                </w:div>
              </w:divsChild>
            </w:div>
            <w:div w:id="70190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39711">
      <w:bodyDiv w:val="1"/>
      <w:marLeft w:val="0"/>
      <w:marRight w:val="0"/>
      <w:marTop w:val="0"/>
      <w:marBottom w:val="0"/>
      <w:divBdr>
        <w:top w:val="none" w:sz="0" w:space="0" w:color="auto"/>
        <w:left w:val="none" w:sz="0" w:space="0" w:color="auto"/>
        <w:bottom w:val="none" w:sz="0" w:space="0" w:color="auto"/>
        <w:right w:val="none" w:sz="0" w:space="0" w:color="auto"/>
      </w:divBdr>
    </w:div>
    <w:div w:id="763722498">
      <w:bodyDiv w:val="1"/>
      <w:marLeft w:val="0"/>
      <w:marRight w:val="0"/>
      <w:marTop w:val="0"/>
      <w:marBottom w:val="0"/>
      <w:divBdr>
        <w:top w:val="none" w:sz="0" w:space="0" w:color="auto"/>
        <w:left w:val="none" w:sz="0" w:space="0" w:color="auto"/>
        <w:bottom w:val="none" w:sz="0" w:space="0" w:color="auto"/>
        <w:right w:val="none" w:sz="0" w:space="0" w:color="auto"/>
      </w:divBdr>
    </w:div>
    <w:div w:id="799424634">
      <w:bodyDiv w:val="1"/>
      <w:marLeft w:val="0"/>
      <w:marRight w:val="0"/>
      <w:marTop w:val="0"/>
      <w:marBottom w:val="0"/>
      <w:divBdr>
        <w:top w:val="none" w:sz="0" w:space="0" w:color="auto"/>
        <w:left w:val="none" w:sz="0" w:space="0" w:color="auto"/>
        <w:bottom w:val="none" w:sz="0" w:space="0" w:color="auto"/>
        <w:right w:val="none" w:sz="0" w:space="0" w:color="auto"/>
      </w:divBdr>
    </w:div>
    <w:div w:id="917179065">
      <w:bodyDiv w:val="1"/>
      <w:marLeft w:val="0"/>
      <w:marRight w:val="0"/>
      <w:marTop w:val="0"/>
      <w:marBottom w:val="0"/>
      <w:divBdr>
        <w:top w:val="none" w:sz="0" w:space="0" w:color="auto"/>
        <w:left w:val="none" w:sz="0" w:space="0" w:color="auto"/>
        <w:bottom w:val="none" w:sz="0" w:space="0" w:color="auto"/>
        <w:right w:val="none" w:sz="0" w:space="0" w:color="auto"/>
      </w:divBdr>
      <w:divsChild>
        <w:div w:id="74984178">
          <w:marLeft w:val="0"/>
          <w:marRight w:val="0"/>
          <w:marTop w:val="0"/>
          <w:marBottom w:val="150"/>
          <w:divBdr>
            <w:top w:val="none" w:sz="0" w:space="0" w:color="auto"/>
            <w:left w:val="none" w:sz="0" w:space="0" w:color="auto"/>
            <w:bottom w:val="none" w:sz="0" w:space="0" w:color="auto"/>
            <w:right w:val="none" w:sz="0" w:space="0" w:color="auto"/>
          </w:divBdr>
          <w:divsChild>
            <w:div w:id="295263565">
              <w:marLeft w:val="0"/>
              <w:marRight w:val="45"/>
              <w:marTop w:val="0"/>
              <w:marBottom w:val="75"/>
              <w:divBdr>
                <w:top w:val="single" w:sz="6" w:space="8" w:color="E4E4E4"/>
                <w:left w:val="single" w:sz="6" w:space="11" w:color="E4E4E4"/>
                <w:bottom w:val="single" w:sz="6" w:space="8" w:color="E4E4E4"/>
                <w:right w:val="single" w:sz="6" w:space="11" w:color="E4E4E4"/>
              </w:divBdr>
            </w:div>
            <w:div w:id="945497861">
              <w:marLeft w:val="0"/>
              <w:marRight w:val="0"/>
              <w:marTop w:val="0"/>
              <w:marBottom w:val="0"/>
              <w:divBdr>
                <w:top w:val="none" w:sz="0" w:space="0" w:color="auto"/>
                <w:left w:val="none" w:sz="0" w:space="0" w:color="auto"/>
                <w:bottom w:val="none" w:sz="0" w:space="0" w:color="auto"/>
                <w:right w:val="none" w:sz="0" w:space="0" w:color="auto"/>
              </w:divBdr>
            </w:div>
            <w:div w:id="1723753367">
              <w:marLeft w:val="0"/>
              <w:marRight w:val="0"/>
              <w:marTop w:val="0"/>
              <w:marBottom w:val="0"/>
              <w:divBdr>
                <w:top w:val="none" w:sz="0" w:space="0" w:color="auto"/>
                <w:left w:val="none" w:sz="0" w:space="0" w:color="auto"/>
                <w:bottom w:val="none" w:sz="0" w:space="0" w:color="auto"/>
                <w:right w:val="none" w:sz="0" w:space="0" w:color="auto"/>
              </w:divBdr>
            </w:div>
            <w:div w:id="1779058628">
              <w:marLeft w:val="0"/>
              <w:marRight w:val="45"/>
              <w:marTop w:val="0"/>
              <w:marBottom w:val="75"/>
              <w:divBdr>
                <w:top w:val="single" w:sz="6" w:space="8" w:color="E4E4E4"/>
                <w:left w:val="single" w:sz="6" w:space="11" w:color="E4E4E4"/>
                <w:bottom w:val="single" w:sz="6" w:space="8" w:color="E4E4E4"/>
                <w:right w:val="single" w:sz="6" w:space="11" w:color="E4E4E4"/>
              </w:divBdr>
            </w:div>
          </w:divsChild>
        </w:div>
        <w:div w:id="761149672">
          <w:marLeft w:val="0"/>
          <w:marRight w:val="0"/>
          <w:marTop w:val="0"/>
          <w:marBottom w:val="0"/>
          <w:divBdr>
            <w:top w:val="none" w:sz="0" w:space="0" w:color="auto"/>
            <w:left w:val="none" w:sz="0" w:space="0" w:color="auto"/>
            <w:bottom w:val="none" w:sz="0" w:space="0" w:color="auto"/>
            <w:right w:val="none" w:sz="0" w:space="0" w:color="auto"/>
          </w:divBdr>
          <w:divsChild>
            <w:div w:id="1387341164">
              <w:marLeft w:val="0"/>
              <w:marRight w:val="0"/>
              <w:marTop w:val="0"/>
              <w:marBottom w:val="150"/>
              <w:divBdr>
                <w:top w:val="none" w:sz="0" w:space="0" w:color="auto"/>
                <w:left w:val="none" w:sz="0" w:space="0" w:color="auto"/>
                <w:bottom w:val="none" w:sz="0" w:space="0" w:color="auto"/>
                <w:right w:val="none" w:sz="0" w:space="0" w:color="auto"/>
              </w:divBdr>
              <w:divsChild>
                <w:div w:id="106514240">
                  <w:marLeft w:val="0"/>
                  <w:marRight w:val="0"/>
                  <w:marTop w:val="225"/>
                  <w:marBottom w:val="0"/>
                  <w:divBdr>
                    <w:top w:val="none" w:sz="0" w:space="0" w:color="auto"/>
                    <w:left w:val="none" w:sz="0" w:space="0" w:color="auto"/>
                    <w:bottom w:val="none" w:sz="0" w:space="0" w:color="auto"/>
                    <w:right w:val="none" w:sz="0" w:space="0" w:color="auto"/>
                  </w:divBdr>
                  <w:divsChild>
                    <w:div w:id="1087766985">
                      <w:marLeft w:val="0"/>
                      <w:marRight w:val="0"/>
                      <w:marTop w:val="0"/>
                      <w:marBottom w:val="0"/>
                      <w:divBdr>
                        <w:top w:val="none" w:sz="0" w:space="0" w:color="auto"/>
                        <w:left w:val="none" w:sz="0" w:space="0" w:color="auto"/>
                        <w:bottom w:val="none" w:sz="0" w:space="0" w:color="auto"/>
                        <w:right w:val="none" w:sz="0" w:space="0" w:color="auto"/>
                      </w:divBdr>
                    </w:div>
                  </w:divsChild>
                </w:div>
                <w:div w:id="362219886">
                  <w:marLeft w:val="0"/>
                  <w:marRight w:val="0"/>
                  <w:marTop w:val="0"/>
                  <w:marBottom w:val="0"/>
                  <w:divBdr>
                    <w:top w:val="none" w:sz="0" w:space="0" w:color="auto"/>
                    <w:left w:val="none" w:sz="0" w:space="0" w:color="auto"/>
                    <w:bottom w:val="none" w:sz="0" w:space="0" w:color="auto"/>
                    <w:right w:val="none" w:sz="0" w:space="0" w:color="auto"/>
                  </w:divBdr>
                </w:div>
                <w:div w:id="726152775">
                  <w:marLeft w:val="0"/>
                  <w:marRight w:val="0"/>
                  <w:marTop w:val="120"/>
                  <w:marBottom w:val="120"/>
                  <w:divBdr>
                    <w:top w:val="none" w:sz="0" w:space="0" w:color="auto"/>
                    <w:left w:val="none" w:sz="0" w:space="0" w:color="auto"/>
                    <w:bottom w:val="none" w:sz="0" w:space="0" w:color="auto"/>
                    <w:right w:val="none" w:sz="0" w:space="0" w:color="auto"/>
                  </w:divBdr>
                </w:div>
                <w:div w:id="815802306">
                  <w:marLeft w:val="0"/>
                  <w:marRight w:val="0"/>
                  <w:marTop w:val="0"/>
                  <w:marBottom w:val="0"/>
                  <w:divBdr>
                    <w:top w:val="none" w:sz="0" w:space="0" w:color="auto"/>
                    <w:left w:val="none" w:sz="0" w:space="0" w:color="auto"/>
                    <w:bottom w:val="none" w:sz="0" w:space="0" w:color="auto"/>
                    <w:right w:val="none" w:sz="0" w:space="0" w:color="auto"/>
                  </w:divBdr>
                </w:div>
                <w:div w:id="1475368084">
                  <w:marLeft w:val="0"/>
                  <w:marRight w:val="0"/>
                  <w:marTop w:val="30"/>
                  <w:marBottom w:val="30"/>
                  <w:divBdr>
                    <w:top w:val="none" w:sz="0" w:space="0" w:color="auto"/>
                    <w:left w:val="none" w:sz="0" w:space="0" w:color="auto"/>
                    <w:bottom w:val="none" w:sz="0" w:space="0" w:color="auto"/>
                    <w:right w:val="none" w:sz="0" w:space="0" w:color="auto"/>
                  </w:divBdr>
                </w:div>
                <w:div w:id="1491365033">
                  <w:marLeft w:val="0"/>
                  <w:marRight w:val="0"/>
                  <w:marTop w:val="0"/>
                  <w:marBottom w:val="300"/>
                  <w:divBdr>
                    <w:top w:val="none" w:sz="0" w:space="0" w:color="auto"/>
                    <w:left w:val="none" w:sz="0" w:space="0" w:color="auto"/>
                    <w:bottom w:val="none" w:sz="0" w:space="0" w:color="auto"/>
                    <w:right w:val="none" w:sz="0" w:space="0" w:color="auto"/>
                  </w:divBdr>
                  <w:divsChild>
                    <w:div w:id="35415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97853">
      <w:bodyDiv w:val="1"/>
      <w:marLeft w:val="0"/>
      <w:marRight w:val="0"/>
      <w:marTop w:val="0"/>
      <w:marBottom w:val="0"/>
      <w:divBdr>
        <w:top w:val="none" w:sz="0" w:space="0" w:color="auto"/>
        <w:left w:val="none" w:sz="0" w:space="0" w:color="auto"/>
        <w:bottom w:val="none" w:sz="0" w:space="0" w:color="auto"/>
        <w:right w:val="none" w:sz="0" w:space="0" w:color="auto"/>
      </w:divBdr>
    </w:div>
    <w:div w:id="1033456055">
      <w:bodyDiv w:val="1"/>
      <w:marLeft w:val="0"/>
      <w:marRight w:val="0"/>
      <w:marTop w:val="0"/>
      <w:marBottom w:val="0"/>
      <w:divBdr>
        <w:top w:val="none" w:sz="0" w:space="0" w:color="auto"/>
        <w:left w:val="none" w:sz="0" w:space="0" w:color="auto"/>
        <w:bottom w:val="none" w:sz="0" w:space="0" w:color="auto"/>
        <w:right w:val="none" w:sz="0" w:space="0" w:color="auto"/>
      </w:divBdr>
    </w:div>
    <w:div w:id="1095370693">
      <w:bodyDiv w:val="1"/>
      <w:marLeft w:val="0"/>
      <w:marRight w:val="0"/>
      <w:marTop w:val="0"/>
      <w:marBottom w:val="0"/>
      <w:divBdr>
        <w:top w:val="none" w:sz="0" w:space="0" w:color="auto"/>
        <w:left w:val="none" w:sz="0" w:space="0" w:color="auto"/>
        <w:bottom w:val="none" w:sz="0" w:space="0" w:color="auto"/>
        <w:right w:val="none" w:sz="0" w:space="0" w:color="auto"/>
      </w:divBdr>
    </w:div>
    <w:div w:id="1231424089">
      <w:bodyDiv w:val="1"/>
      <w:marLeft w:val="0"/>
      <w:marRight w:val="0"/>
      <w:marTop w:val="0"/>
      <w:marBottom w:val="0"/>
      <w:divBdr>
        <w:top w:val="none" w:sz="0" w:space="0" w:color="auto"/>
        <w:left w:val="none" w:sz="0" w:space="0" w:color="auto"/>
        <w:bottom w:val="none" w:sz="0" w:space="0" w:color="auto"/>
        <w:right w:val="none" w:sz="0" w:space="0" w:color="auto"/>
      </w:divBdr>
    </w:div>
    <w:div w:id="1247809110">
      <w:bodyDiv w:val="1"/>
      <w:marLeft w:val="0"/>
      <w:marRight w:val="0"/>
      <w:marTop w:val="0"/>
      <w:marBottom w:val="0"/>
      <w:divBdr>
        <w:top w:val="none" w:sz="0" w:space="0" w:color="auto"/>
        <w:left w:val="none" w:sz="0" w:space="0" w:color="auto"/>
        <w:bottom w:val="none" w:sz="0" w:space="0" w:color="auto"/>
        <w:right w:val="none" w:sz="0" w:space="0" w:color="auto"/>
      </w:divBdr>
    </w:div>
    <w:div w:id="1256475564">
      <w:bodyDiv w:val="1"/>
      <w:marLeft w:val="0"/>
      <w:marRight w:val="0"/>
      <w:marTop w:val="0"/>
      <w:marBottom w:val="0"/>
      <w:divBdr>
        <w:top w:val="none" w:sz="0" w:space="0" w:color="auto"/>
        <w:left w:val="none" w:sz="0" w:space="0" w:color="auto"/>
        <w:bottom w:val="none" w:sz="0" w:space="0" w:color="auto"/>
        <w:right w:val="none" w:sz="0" w:space="0" w:color="auto"/>
      </w:divBdr>
      <w:divsChild>
        <w:div w:id="325324766">
          <w:marLeft w:val="0"/>
          <w:marRight w:val="0"/>
          <w:marTop w:val="0"/>
          <w:marBottom w:val="0"/>
          <w:divBdr>
            <w:top w:val="none" w:sz="0" w:space="0" w:color="auto"/>
            <w:left w:val="none" w:sz="0" w:space="0" w:color="auto"/>
            <w:bottom w:val="none" w:sz="0" w:space="0" w:color="auto"/>
            <w:right w:val="none" w:sz="0" w:space="0" w:color="auto"/>
          </w:divBdr>
          <w:divsChild>
            <w:div w:id="13046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4077">
      <w:bodyDiv w:val="1"/>
      <w:marLeft w:val="0"/>
      <w:marRight w:val="0"/>
      <w:marTop w:val="0"/>
      <w:marBottom w:val="0"/>
      <w:divBdr>
        <w:top w:val="none" w:sz="0" w:space="0" w:color="auto"/>
        <w:left w:val="none" w:sz="0" w:space="0" w:color="auto"/>
        <w:bottom w:val="none" w:sz="0" w:space="0" w:color="auto"/>
        <w:right w:val="none" w:sz="0" w:space="0" w:color="auto"/>
      </w:divBdr>
    </w:div>
    <w:div w:id="1389526489">
      <w:bodyDiv w:val="1"/>
      <w:marLeft w:val="0"/>
      <w:marRight w:val="0"/>
      <w:marTop w:val="0"/>
      <w:marBottom w:val="0"/>
      <w:divBdr>
        <w:top w:val="none" w:sz="0" w:space="0" w:color="auto"/>
        <w:left w:val="none" w:sz="0" w:space="0" w:color="auto"/>
        <w:bottom w:val="none" w:sz="0" w:space="0" w:color="auto"/>
        <w:right w:val="none" w:sz="0" w:space="0" w:color="auto"/>
      </w:divBdr>
    </w:div>
    <w:div w:id="1422676192">
      <w:bodyDiv w:val="1"/>
      <w:marLeft w:val="0"/>
      <w:marRight w:val="0"/>
      <w:marTop w:val="0"/>
      <w:marBottom w:val="0"/>
      <w:divBdr>
        <w:top w:val="none" w:sz="0" w:space="0" w:color="auto"/>
        <w:left w:val="none" w:sz="0" w:space="0" w:color="auto"/>
        <w:bottom w:val="none" w:sz="0" w:space="0" w:color="auto"/>
        <w:right w:val="none" w:sz="0" w:space="0" w:color="auto"/>
      </w:divBdr>
    </w:div>
    <w:div w:id="1465193284">
      <w:bodyDiv w:val="1"/>
      <w:marLeft w:val="0"/>
      <w:marRight w:val="0"/>
      <w:marTop w:val="0"/>
      <w:marBottom w:val="0"/>
      <w:divBdr>
        <w:top w:val="none" w:sz="0" w:space="0" w:color="auto"/>
        <w:left w:val="none" w:sz="0" w:space="0" w:color="auto"/>
        <w:bottom w:val="none" w:sz="0" w:space="0" w:color="auto"/>
        <w:right w:val="none" w:sz="0" w:space="0" w:color="auto"/>
      </w:divBdr>
      <w:divsChild>
        <w:div w:id="613362333">
          <w:marLeft w:val="0"/>
          <w:marRight w:val="0"/>
          <w:marTop w:val="0"/>
          <w:marBottom w:val="0"/>
          <w:divBdr>
            <w:top w:val="none" w:sz="0" w:space="0" w:color="auto"/>
            <w:left w:val="none" w:sz="0" w:space="0" w:color="auto"/>
            <w:bottom w:val="none" w:sz="0" w:space="0" w:color="auto"/>
            <w:right w:val="none" w:sz="0" w:space="0" w:color="auto"/>
          </w:divBdr>
          <w:divsChild>
            <w:div w:id="1252277350">
              <w:marLeft w:val="0"/>
              <w:marRight w:val="0"/>
              <w:marTop w:val="0"/>
              <w:marBottom w:val="0"/>
              <w:divBdr>
                <w:top w:val="none" w:sz="0" w:space="0" w:color="auto"/>
                <w:left w:val="none" w:sz="0" w:space="0" w:color="auto"/>
                <w:bottom w:val="none" w:sz="0" w:space="0" w:color="auto"/>
                <w:right w:val="none" w:sz="0" w:space="0" w:color="auto"/>
              </w:divBdr>
              <w:divsChild>
                <w:div w:id="533032236">
                  <w:marLeft w:val="0"/>
                  <w:marRight w:val="0"/>
                  <w:marTop w:val="0"/>
                  <w:marBottom w:val="0"/>
                  <w:divBdr>
                    <w:top w:val="none" w:sz="0" w:space="0" w:color="auto"/>
                    <w:left w:val="none" w:sz="0" w:space="0" w:color="auto"/>
                    <w:bottom w:val="none" w:sz="0" w:space="0" w:color="auto"/>
                    <w:right w:val="none" w:sz="0" w:space="0" w:color="auto"/>
                  </w:divBdr>
                  <w:divsChild>
                    <w:div w:id="292827657">
                      <w:marLeft w:val="0"/>
                      <w:marRight w:val="0"/>
                      <w:marTop w:val="0"/>
                      <w:marBottom w:val="0"/>
                      <w:divBdr>
                        <w:top w:val="none" w:sz="0" w:space="0" w:color="auto"/>
                        <w:left w:val="none" w:sz="0" w:space="0" w:color="auto"/>
                        <w:bottom w:val="none" w:sz="0" w:space="0" w:color="auto"/>
                        <w:right w:val="none" w:sz="0" w:space="0" w:color="auto"/>
                      </w:divBdr>
                      <w:divsChild>
                        <w:div w:id="1543010873">
                          <w:marLeft w:val="0"/>
                          <w:marRight w:val="0"/>
                          <w:marTop w:val="0"/>
                          <w:marBottom w:val="0"/>
                          <w:divBdr>
                            <w:top w:val="none" w:sz="0" w:space="0" w:color="auto"/>
                            <w:left w:val="none" w:sz="0" w:space="0" w:color="auto"/>
                            <w:bottom w:val="none" w:sz="0" w:space="0" w:color="auto"/>
                            <w:right w:val="none" w:sz="0" w:space="0" w:color="auto"/>
                          </w:divBdr>
                          <w:divsChild>
                            <w:div w:id="676083565">
                              <w:marLeft w:val="0"/>
                              <w:marRight w:val="0"/>
                              <w:marTop w:val="0"/>
                              <w:marBottom w:val="0"/>
                              <w:divBdr>
                                <w:top w:val="none" w:sz="0" w:space="0" w:color="auto"/>
                                <w:left w:val="none" w:sz="0" w:space="0" w:color="auto"/>
                                <w:bottom w:val="none" w:sz="0" w:space="0" w:color="auto"/>
                                <w:right w:val="none" w:sz="0" w:space="0" w:color="auto"/>
                              </w:divBdr>
                              <w:divsChild>
                                <w:div w:id="1561751667">
                                  <w:marLeft w:val="0"/>
                                  <w:marRight w:val="0"/>
                                  <w:marTop w:val="0"/>
                                  <w:marBottom w:val="0"/>
                                  <w:divBdr>
                                    <w:top w:val="none" w:sz="0" w:space="0" w:color="auto"/>
                                    <w:left w:val="none" w:sz="0" w:space="0" w:color="auto"/>
                                    <w:bottom w:val="none" w:sz="0" w:space="0" w:color="auto"/>
                                    <w:right w:val="none" w:sz="0" w:space="0" w:color="auto"/>
                                  </w:divBdr>
                                  <w:divsChild>
                                    <w:div w:id="986470448">
                                      <w:marLeft w:val="0"/>
                                      <w:marRight w:val="0"/>
                                      <w:marTop w:val="0"/>
                                      <w:marBottom w:val="0"/>
                                      <w:divBdr>
                                        <w:top w:val="none" w:sz="0" w:space="0" w:color="auto"/>
                                        <w:left w:val="none" w:sz="0" w:space="0" w:color="auto"/>
                                        <w:bottom w:val="none" w:sz="0" w:space="0" w:color="auto"/>
                                        <w:right w:val="none" w:sz="0" w:space="0" w:color="auto"/>
                                      </w:divBdr>
                                      <w:divsChild>
                                        <w:div w:id="406343900">
                                          <w:marLeft w:val="0"/>
                                          <w:marRight w:val="0"/>
                                          <w:marTop w:val="0"/>
                                          <w:marBottom w:val="0"/>
                                          <w:divBdr>
                                            <w:top w:val="none" w:sz="0" w:space="0" w:color="auto"/>
                                            <w:left w:val="none" w:sz="0" w:space="0" w:color="auto"/>
                                            <w:bottom w:val="none" w:sz="0" w:space="0" w:color="auto"/>
                                            <w:right w:val="none" w:sz="0" w:space="0" w:color="auto"/>
                                          </w:divBdr>
                                          <w:divsChild>
                                            <w:div w:id="1288898544">
                                              <w:marLeft w:val="0"/>
                                              <w:marRight w:val="0"/>
                                              <w:marTop w:val="0"/>
                                              <w:marBottom w:val="0"/>
                                              <w:divBdr>
                                                <w:top w:val="none" w:sz="0" w:space="0" w:color="auto"/>
                                                <w:left w:val="none" w:sz="0" w:space="0" w:color="auto"/>
                                                <w:bottom w:val="none" w:sz="0" w:space="0" w:color="auto"/>
                                                <w:right w:val="none" w:sz="0" w:space="0" w:color="auto"/>
                                              </w:divBdr>
                                            </w:div>
                                          </w:divsChild>
                                        </w:div>
                                        <w:div w:id="913127049">
                                          <w:marLeft w:val="0"/>
                                          <w:marRight w:val="0"/>
                                          <w:marTop w:val="0"/>
                                          <w:marBottom w:val="0"/>
                                          <w:divBdr>
                                            <w:top w:val="none" w:sz="0" w:space="0" w:color="auto"/>
                                            <w:left w:val="none" w:sz="0" w:space="0" w:color="auto"/>
                                            <w:bottom w:val="none" w:sz="0" w:space="0" w:color="auto"/>
                                            <w:right w:val="none" w:sz="0" w:space="0" w:color="auto"/>
                                          </w:divBdr>
                                          <w:divsChild>
                                            <w:div w:id="1796681776">
                                              <w:marLeft w:val="0"/>
                                              <w:marRight w:val="0"/>
                                              <w:marTop w:val="0"/>
                                              <w:marBottom w:val="0"/>
                                              <w:divBdr>
                                                <w:top w:val="none" w:sz="0" w:space="0" w:color="auto"/>
                                                <w:left w:val="none" w:sz="0" w:space="0" w:color="auto"/>
                                                <w:bottom w:val="none" w:sz="0" w:space="0" w:color="auto"/>
                                                <w:right w:val="none" w:sz="0" w:space="0" w:color="auto"/>
                                              </w:divBdr>
                                              <w:divsChild>
                                                <w:div w:id="96607921">
                                                  <w:marLeft w:val="0"/>
                                                  <w:marRight w:val="0"/>
                                                  <w:marTop w:val="0"/>
                                                  <w:marBottom w:val="0"/>
                                                  <w:divBdr>
                                                    <w:top w:val="none" w:sz="0" w:space="0" w:color="auto"/>
                                                    <w:left w:val="none" w:sz="0" w:space="0" w:color="auto"/>
                                                    <w:bottom w:val="none" w:sz="0" w:space="0" w:color="auto"/>
                                                    <w:right w:val="none" w:sz="0" w:space="0" w:color="auto"/>
                                                  </w:divBdr>
                                                  <w:divsChild>
                                                    <w:div w:id="1576669822">
                                                      <w:marLeft w:val="0"/>
                                                      <w:marRight w:val="0"/>
                                                      <w:marTop w:val="0"/>
                                                      <w:marBottom w:val="0"/>
                                                      <w:divBdr>
                                                        <w:top w:val="none" w:sz="0" w:space="0" w:color="auto"/>
                                                        <w:left w:val="none" w:sz="0" w:space="0" w:color="auto"/>
                                                        <w:bottom w:val="none" w:sz="0" w:space="0" w:color="auto"/>
                                                        <w:right w:val="none" w:sz="0" w:space="0" w:color="auto"/>
                                                      </w:divBdr>
                                                    </w:div>
                                                  </w:divsChild>
                                                </w:div>
                                                <w:div w:id="597562829">
                                                  <w:marLeft w:val="0"/>
                                                  <w:marRight w:val="0"/>
                                                  <w:marTop w:val="0"/>
                                                  <w:marBottom w:val="0"/>
                                                  <w:divBdr>
                                                    <w:top w:val="none" w:sz="0" w:space="0" w:color="auto"/>
                                                    <w:left w:val="none" w:sz="0" w:space="0" w:color="auto"/>
                                                    <w:bottom w:val="none" w:sz="0" w:space="0" w:color="auto"/>
                                                    <w:right w:val="none" w:sz="0" w:space="0" w:color="auto"/>
                                                  </w:divBdr>
                                                  <w:divsChild>
                                                    <w:div w:id="195704880">
                                                      <w:marLeft w:val="0"/>
                                                      <w:marRight w:val="0"/>
                                                      <w:marTop w:val="0"/>
                                                      <w:marBottom w:val="0"/>
                                                      <w:divBdr>
                                                        <w:top w:val="none" w:sz="0" w:space="0" w:color="auto"/>
                                                        <w:left w:val="none" w:sz="0" w:space="0" w:color="auto"/>
                                                        <w:bottom w:val="none" w:sz="0" w:space="0" w:color="auto"/>
                                                        <w:right w:val="none" w:sz="0" w:space="0" w:color="auto"/>
                                                      </w:divBdr>
                                                    </w:div>
                                                  </w:divsChild>
                                                </w:div>
                                                <w:div w:id="788015496">
                                                  <w:marLeft w:val="0"/>
                                                  <w:marRight w:val="0"/>
                                                  <w:marTop w:val="0"/>
                                                  <w:marBottom w:val="0"/>
                                                  <w:divBdr>
                                                    <w:top w:val="none" w:sz="0" w:space="0" w:color="auto"/>
                                                    <w:left w:val="none" w:sz="0" w:space="0" w:color="auto"/>
                                                    <w:bottom w:val="none" w:sz="0" w:space="0" w:color="auto"/>
                                                    <w:right w:val="none" w:sz="0" w:space="0" w:color="auto"/>
                                                  </w:divBdr>
                                                  <w:divsChild>
                                                    <w:div w:id="19902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05528">
                                          <w:marLeft w:val="0"/>
                                          <w:marRight w:val="0"/>
                                          <w:marTop w:val="0"/>
                                          <w:marBottom w:val="0"/>
                                          <w:divBdr>
                                            <w:top w:val="none" w:sz="0" w:space="0" w:color="auto"/>
                                            <w:left w:val="none" w:sz="0" w:space="0" w:color="auto"/>
                                            <w:bottom w:val="none" w:sz="0" w:space="0" w:color="auto"/>
                                            <w:right w:val="none" w:sz="0" w:space="0" w:color="auto"/>
                                          </w:divBdr>
                                          <w:divsChild>
                                            <w:div w:id="715736425">
                                              <w:marLeft w:val="0"/>
                                              <w:marRight w:val="0"/>
                                              <w:marTop w:val="0"/>
                                              <w:marBottom w:val="0"/>
                                              <w:divBdr>
                                                <w:top w:val="none" w:sz="0" w:space="0" w:color="auto"/>
                                                <w:left w:val="none" w:sz="0" w:space="0" w:color="auto"/>
                                                <w:bottom w:val="none" w:sz="0" w:space="0" w:color="auto"/>
                                                <w:right w:val="none" w:sz="0" w:space="0" w:color="auto"/>
                                              </w:divBdr>
                                              <w:divsChild>
                                                <w:div w:id="329338213">
                                                  <w:marLeft w:val="0"/>
                                                  <w:marRight w:val="0"/>
                                                  <w:marTop w:val="0"/>
                                                  <w:marBottom w:val="0"/>
                                                  <w:divBdr>
                                                    <w:top w:val="none" w:sz="0" w:space="0" w:color="auto"/>
                                                    <w:left w:val="none" w:sz="0" w:space="0" w:color="auto"/>
                                                    <w:bottom w:val="none" w:sz="0" w:space="0" w:color="auto"/>
                                                    <w:right w:val="none" w:sz="0" w:space="0" w:color="auto"/>
                                                  </w:divBdr>
                                                  <w:divsChild>
                                                    <w:div w:id="1409155409">
                                                      <w:marLeft w:val="0"/>
                                                      <w:marRight w:val="0"/>
                                                      <w:marTop w:val="0"/>
                                                      <w:marBottom w:val="0"/>
                                                      <w:divBdr>
                                                        <w:top w:val="none" w:sz="0" w:space="0" w:color="auto"/>
                                                        <w:left w:val="none" w:sz="0" w:space="0" w:color="auto"/>
                                                        <w:bottom w:val="none" w:sz="0" w:space="0" w:color="auto"/>
                                                        <w:right w:val="none" w:sz="0" w:space="0" w:color="auto"/>
                                                      </w:divBdr>
                                                    </w:div>
                                                  </w:divsChild>
                                                </w:div>
                                                <w:div w:id="1668971306">
                                                  <w:marLeft w:val="0"/>
                                                  <w:marRight w:val="0"/>
                                                  <w:marTop w:val="0"/>
                                                  <w:marBottom w:val="0"/>
                                                  <w:divBdr>
                                                    <w:top w:val="none" w:sz="0" w:space="0" w:color="auto"/>
                                                    <w:left w:val="none" w:sz="0" w:space="0" w:color="auto"/>
                                                    <w:bottom w:val="none" w:sz="0" w:space="0" w:color="auto"/>
                                                    <w:right w:val="none" w:sz="0" w:space="0" w:color="auto"/>
                                                  </w:divBdr>
                                                  <w:divsChild>
                                                    <w:div w:id="10531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603587">
                                      <w:marLeft w:val="0"/>
                                      <w:marRight w:val="0"/>
                                      <w:marTop w:val="0"/>
                                      <w:marBottom w:val="0"/>
                                      <w:divBdr>
                                        <w:top w:val="none" w:sz="0" w:space="0" w:color="auto"/>
                                        <w:left w:val="none" w:sz="0" w:space="0" w:color="auto"/>
                                        <w:bottom w:val="none" w:sz="0" w:space="0" w:color="auto"/>
                                        <w:right w:val="none" w:sz="0" w:space="0" w:color="auto"/>
                                      </w:divBdr>
                                      <w:divsChild>
                                        <w:div w:id="86286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980969">
      <w:bodyDiv w:val="1"/>
      <w:marLeft w:val="0"/>
      <w:marRight w:val="0"/>
      <w:marTop w:val="0"/>
      <w:marBottom w:val="0"/>
      <w:divBdr>
        <w:top w:val="none" w:sz="0" w:space="0" w:color="auto"/>
        <w:left w:val="none" w:sz="0" w:space="0" w:color="auto"/>
        <w:bottom w:val="none" w:sz="0" w:space="0" w:color="auto"/>
        <w:right w:val="none" w:sz="0" w:space="0" w:color="auto"/>
      </w:divBdr>
      <w:divsChild>
        <w:div w:id="1762337063">
          <w:blockQuote w:val="1"/>
          <w:marLeft w:val="0"/>
          <w:marRight w:val="0"/>
          <w:marTop w:val="300"/>
          <w:marBottom w:val="300"/>
          <w:divBdr>
            <w:top w:val="none" w:sz="0" w:space="0" w:color="auto"/>
            <w:left w:val="single" w:sz="36" w:space="15" w:color="EEEEEE"/>
            <w:bottom w:val="none" w:sz="0" w:space="0" w:color="auto"/>
            <w:right w:val="none" w:sz="0" w:space="0" w:color="auto"/>
          </w:divBdr>
        </w:div>
      </w:divsChild>
    </w:div>
    <w:div w:id="1527017653">
      <w:marLeft w:val="0"/>
      <w:marRight w:val="0"/>
      <w:marTop w:val="0"/>
      <w:marBottom w:val="0"/>
      <w:divBdr>
        <w:top w:val="none" w:sz="0" w:space="0" w:color="auto"/>
        <w:left w:val="none" w:sz="0" w:space="0" w:color="auto"/>
        <w:bottom w:val="none" w:sz="0" w:space="0" w:color="auto"/>
        <w:right w:val="none" w:sz="0" w:space="0" w:color="auto"/>
      </w:divBdr>
    </w:div>
    <w:div w:id="1527017654">
      <w:marLeft w:val="0"/>
      <w:marRight w:val="0"/>
      <w:marTop w:val="0"/>
      <w:marBottom w:val="0"/>
      <w:divBdr>
        <w:top w:val="none" w:sz="0" w:space="0" w:color="auto"/>
        <w:left w:val="none" w:sz="0" w:space="0" w:color="auto"/>
        <w:bottom w:val="none" w:sz="0" w:space="0" w:color="auto"/>
        <w:right w:val="none" w:sz="0" w:space="0" w:color="auto"/>
      </w:divBdr>
    </w:div>
    <w:div w:id="1601597032">
      <w:bodyDiv w:val="1"/>
      <w:marLeft w:val="0"/>
      <w:marRight w:val="0"/>
      <w:marTop w:val="0"/>
      <w:marBottom w:val="0"/>
      <w:divBdr>
        <w:top w:val="none" w:sz="0" w:space="0" w:color="auto"/>
        <w:left w:val="none" w:sz="0" w:space="0" w:color="auto"/>
        <w:bottom w:val="none" w:sz="0" w:space="0" w:color="auto"/>
        <w:right w:val="none" w:sz="0" w:space="0" w:color="auto"/>
      </w:divBdr>
      <w:divsChild>
        <w:div w:id="1329945565">
          <w:marLeft w:val="0"/>
          <w:marRight w:val="405"/>
          <w:marTop w:val="0"/>
          <w:marBottom w:val="0"/>
          <w:divBdr>
            <w:top w:val="none" w:sz="0" w:space="0" w:color="auto"/>
            <w:left w:val="none" w:sz="0" w:space="0" w:color="auto"/>
            <w:bottom w:val="none" w:sz="0" w:space="0" w:color="auto"/>
            <w:right w:val="none" w:sz="0" w:space="0" w:color="auto"/>
          </w:divBdr>
          <w:divsChild>
            <w:div w:id="198430570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05111617">
      <w:bodyDiv w:val="1"/>
      <w:marLeft w:val="0"/>
      <w:marRight w:val="0"/>
      <w:marTop w:val="0"/>
      <w:marBottom w:val="0"/>
      <w:divBdr>
        <w:top w:val="none" w:sz="0" w:space="0" w:color="auto"/>
        <w:left w:val="none" w:sz="0" w:space="0" w:color="auto"/>
        <w:bottom w:val="none" w:sz="0" w:space="0" w:color="auto"/>
        <w:right w:val="none" w:sz="0" w:space="0" w:color="auto"/>
      </w:divBdr>
    </w:div>
    <w:div w:id="1642270061">
      <w:bodyDiv w:val="1"/>
      <w:marLeft w:val="0"/>
      <w:marRight w:val="0"/>
      <w:marTop w:val="0"/>
      <w:marBottom w:val="0"/>
      <w:divBdr>
        <w:top w:val="none" w:sz="0" w:space="0" w:color="auto"/>
        <w:left w:val="none" w:sz="0" w:space="0" w:color="auto"/>
        <w:bottom w:val="none" w:sz="0" w:space="0" w:color="auto"/>
        <w:right w:val="none" w:sz="0" w:space="0" w:color="auto"/>
      </w:divBdr>
      <w:divsChild>
        <w:div w:id="52560724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02052743">
      <w:bodyDiv w:val="1"/>
      <w:marLeft w:val="0"/>
      <w:marRight w:val="0"/>
      <w:marTop w:val="0"/>
      <w:marBottom w:val="0"/>
      <w:divBdr>
        <w:top w:val="none" w:sz="0" w:space="0" w:color="auto"/>
        <w:left w:val="none" w:sz="0" w:space="0" w:color="auto"/>
        <w:bottom w:val="none" w:sz="0" w:space="0" w:color="auto"/>
        <w:right w:val="none" w:sz="0" w:space="0" w:color="auto"/>
      </w:divBdr>
      <w:divsChild>
        <w:div w:id="247230461">
          <w:marLeft w:val="0"/>
          <w:marRight w:val="0"/>
          <w:marTop w:val="0"/>
          <w:marBottom w:val="0"/>
          <w:divBdr>
            <w:top w:val="none" w:sz="0" w:space="0" w:color="auto"/>
            <w:left w:val="none" w:sz="0" w:space="0" w:color="auto"/>
            <w:bottom w:val="none" w:sz="0" w:space="0" w:color="auto"/>
            <w:right w:val="none" w:sz="0" w:space="0" w:color="auto"/>
          </w:divBdr>
          <w:divsChild>
            <w:div w:id="1481583189">
              <w:marLeft w:val="0"/>
              <w:marRight w:val="0"/>
              <w:marTop w:val="0"/>
              <w:marBottom w:val="0"/>
              <w:divBdr>
                <w:top w:val="none" w:sz="0" w:space="0" w:color="auto"/>
                <w:left w:val="none" w:sz="0" w:space="0" w:color="auto"/>
                <w:bottom w:val="none" w:sz="0" w:space="0" w:color="auto"/>
                <w:right w:val="none" w:sz="0" w:space="0" w:color="auto"/>
              </w:divBdr>
              <w:divsChild>
                <w:div w:id="1585450698">
                  <w:marLeft w:val="150"/>
                  <w:marRight w:val="150"/>
                  <w:marTop w:val="300"/>
                  <w:marBottom w:val="1200"/>
                  <w:divBdr>
                    <w:top w:val="none" w:sz="0" w:space="0" w:color="auto"/>
                    <w:left w:val="none" w:sz="0" w:space="0" w:color="auto"/>
                    <w:bottom w:val="none" w:sz="0" w:space="0" w:color="auto"/>
                    <w:right w:val="none" w:sz="0" w:space="0" w:color="auto"/>
                  </w:divBdr>
                  <w:divsChild>
                    <w:div w:id="804272134">
                      <w:marLeft w:val="0"/>
                      <w:marRight w:val="0"/>
                      <w:marTop w:val="0"/>
                      <w:marBottom w:val="0"/>
                      <w:divBdr>
                        <w:top w:val="none" w:sz="0" w:space="0" w:color="auto"/>
                        <w:left w:val="none" w:sz="0" w:space="0" w:color="auto"/>
                        <w:bottom w:val="none" w:sz="0" w:space="0" w:color="auto"/>
                        <w:right w:val="none" w:sz="0" w:space="0" w:color="auto"/>
                      </w:divBdr>
                      <w:divsChild>
                        <w:div w:id="348412392">
                          <w:marLeft w:val="0"/>
                          <w:marRight w:val="0"/>
                          <w:marTop w:val="0"/>
                          <w:marBottom w:val="0"/>
                          <w:divBdr>
                            <w:top w:val="none" w:sz="0" w:space="0" w:color="auto"/>
                            <w:left w:val="none" w:sz="0" w:space="0" w:color="auto"/>
                            <w:bottom w:val="none" w:sz="0" w:space="0" w:color="auto"/>
                            <w:right w:val="none" w:sz="0" w:space="0" w:color="auto"/>
                          </w:divBdr>
                          <w:divsChild>
                            <w:div w:id="924535674">
                              <w:marLeft w:val="0"/>
                              <w:marRight w:val="0"/>
                              <w:marTop w:val="0"/>
                              <w:marBottom w:val="0"/>
                              <w:divBdr>
                                <w:top w:val="none" w:sz="0" w:space="0" w:color="auto"/>
                                <w:left w:val="none" w:sz="0" w:space="0" w:color="auto"/>
                                <w:bottom w:val="none" w:sz="0" w:space="0" w:color="auto"/>
                                <w:right w:val="none" w:sz="0" w:space="0" w:color="auto"/>
                              </w:divBdr>
                              <w:divsChild>
                                <w:div w:id="307591793">
                                  <w:marLeft w:val="0"/>
                                  <w:marRight w:val="0"/>
                                  <w:marTop w:val="0"/>
                                  <w:marBottom w:val="0"/>
                                  <w:divBdr>
                                    <w:top w:val="none" w:sz="0" w:space="0" w:color="auto"/>
                                    <w:left w:val="none" w:sz="0" w:space="0" w:color="auto"/>
                                    <w:bottom w:val="none" w:sz="0" w:space="0" w:color="auto"/>
                                    <w:right w:val="none" w:sz="0" w:space="0" w:color="auto"/>
                                  </w:divBdr>
                                </w:div>
                                <w:div w:id="414281814">
                                  <w:marLeft w:val="0"/>
                                  <w:marRight w:val="0"/>
                                  <w:marTop w:val="0"/>
                                  <w:marBottom w:val="0"/>
                                  <w:divBdr>
                                    <w:top w:val="none" w:sz="0" w:space="0" w:color="auto"/>
                                    <w:left w:val="none" w:sz="0" w:space="0" w:color="auto"/>
                                    <w:bottom w:val="none" w:sz="0" w:space="0" w:color="auto"/>
                                    <w:right w:val="none" w:sz="0" w:space="0" w:color="auto"/>
                                  </w:divBdr>
                                </w:div>
                                <w:div w:id="19077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873932">
      <w:bodyDiv w:val="1"/>
      <w:marLeft w:val="0"/>
      <w:marRight w:val="0"/>
      <w:marTop w:val="0"/>
      <w:marBottom w:val="0"/>
      <w:divBdr>
        <w:top w:val="none" w:sz="0" w:space="0" w:color="auto"/>
        <w:left w:val="none" w:sz="0" w:space="0" w:color="auto"/>
        <w:bottom w:val="none" w:sz="0" w:space="0" w:color="auto"/>
        <w:right w:val="none" w:sz="0" w:space="0" w:color="auto"/>
      </w:divBdr>
    </w:div>
    <w:div w:id="1883245118">
      <w:bodyDiv w:val="1"/>
      <w:marLeft w:val="0"/>
      <w:marRight w:val="0"/>
      <w:marTop w:val="0"/>
      <w:marBottom w:val="0"/>
      <w:divBdr>
        <w:top w:val="none" w:sz="0" w:space="0" w:color="auto"/>
        <w:left w:val="none" w:sz="0" w:space="0" w:color="auto"/>
        <w:bottom w:val="none" w:sz="0" w:space="0" w:color="auto"/>
        <w:right w:val="none" w:sz="0" w:space="0" w:color="auto"/>
      </w:divBdr>
    </w:div>
    <w:div w:id="1900479061">
      <w:bodyDiv w:val="1"/>
      <w:marLeft w:val="0"/>
      <w:marRight w:val="0"/>
      <w:marTop w:val="0"/>
      <w:marBottom w:val="0"/>
      <w:divBdr>
        <w:top w:val="none" w:sz="0" w:space="0" w:color="auto"/>
        <w:left w:val="none" w:sz="0" w:space="0" w:color="auto"/>
        <w:bottom w:val="none" w:sz="0" w:space="0" w:color="auto"/>
        <w:right w:val="none" w:sz="0" w:space="0" w:color="auto"/>
      </w:divBdr>
    </w:div>
    <w:div w:id="1901557690">
      <w:bodyDiv w:val="1"/>
      <w:marLeft w:val="0"/>
      <w:marRight w:val="0"/>
      <w:marTop w:val="0"/>
      <w:marBottom w:val="0"/>
      <w:divBdr>
        <w:top w:val="none" w:sz="0" w:space="0" w:color="auto"/>
        <w:left w:val="none" w:sz="0" w:space="0" w:color="auto"/>
        <w:bottom w:val="none" w:sz="0" w:space="0" w:color="auto"/>
        <w:right w:val="none" w:sz="0" w:space="0" w:color="auto"/>
      </w:divBdr>
    </w:div>
    <w:div w:id="1909879338">
      <w:bodyDiv w:val="1"/>
      <w:marLeft w:val="0"/>
      <w:marRight w:val="0"/>
      <w:marTop w:val="0"/>
      <w:marBottom w:val="0"/>
      <w:divBdr>
        <w:top w:val="none" w:sz="0" w:space="0" w:color="auto"/>
        <w:left w:val="none" w:sz="0" w:space="0" w:color="auto"/>
        <w:bottom w:val="none" w:sz="0" w:space="0" w:color="auto"/>
        <w:right w:val="none" w:sz="0" w:space="0" w:color="auto"/>
      </w:divBdr>
      <w:divsChild>
        <w:div w:id="2077586933">
          <w:marLeft w:val="0"/>
          <w:marRight w:val="0"/>
          <w:marTop w:val="0"/>
          <w:marBottom w:val="0"/>
          <w:divBdr>
            <w:top w:val="none" w:sz="0" w:space="0" w:color="auto"/>
            <w:left w:val="none" w:sz="0" w:space="0" w:color="auto"/>
            <w:bottom w:val="none" w:sz="0" w:space="0" w:color="auto"/>
            <w:right w:val="none" w:sz="0" w:space="0" w:color="auto"/>
          </w:divBdr>
        </w:div>
      </w:divsChild>
    </w:div>
    <w:div w:id="1918395828">
      <w:bodyDiv w:val="1"/>
      <w:marLeft w:val="0"/>
      <w:marRight w:val="0"/>
      <w:marTop w:val="0"/>
      <w:marBottom w:val="0"/>
      <w:divBdr>
        <w:top w:val="none" w:sz="0" w:space="0" w:color="auto"/>
        <w:left w:val="none" w:sz="0" w:space="0" w:color="auto"/>
        <w:bottom w:val="none" w:sz="0" w:space="0" w:color="auto"/>
        <w:right w:val="none" w:sz="0" w:space="0" w:color="auto"/>
      </w:divBdr>
    </w:div>
    <w:div w:id="1938636205">
      <w:bodyDiv w:val="1"/>
      <w:marLeft w:val="0"/>
      <w:marRight w:val="0"/>
      <w:marTop w:val="0"/>
      <w:marBottom w:val="0"/>
      <w:divBdr>
        <w:top w:val="none" w:sz="0" w:space="0" w:color="auto"/>
        <w:left w:val="none" w:sz="0" w:space="0" w:color="auto"/>
        <w:bottom w:val="none" w:sz="0" w:space="0" w:color="auto"/>
        <w:right w:val="none" w:sz="0" w:space="0" w:color="auto"/>
      </w:divBdr>
      <w:divsChild>
        <w:div w:id="450907348">
          <w:marLeft w:val="0"/>
          <w:marRight w:val="0"/>
          <w:marTop w:val="0"/>
          <w:marBottom w:val="0"/>
          <w:divBdr>
            <w:top w:val="none" w:sz="0" w:space="0" w:color="auto"/>
            <w:left w:val="none" w:sz="0" w:space="0" w:color="auto"/>
            <w:bottom w:val="none" w:sz="0" w:space="0" w:color="auto"/>
            <w:right w:val="none" w:sz="0" w:space="0" w:color="auto"/>
          </w:divBdr>
        </w:div>
        <w:div w:id="2018262975">
          <w:marLeft w:val="0"/>
          <w:marRight w:val="0"/>
          <w:marTop w:val="0"/>
          <w:marBottom w:val="105"/>
          <w:divBdr>
            <w:top w:val="none" w:sz="0" w:space="0" w:color="auto"/>
            <w:left w:val="none" w:sz="0" w:space="0" w:color="auto"/>
            <w:bottom w:val="none" w:sz="0" w:space="0" w:color="auto"/>
            <w:right w:val="none" w:sz="0" w:space="0" w:color="auto"/>
          </w:divBdr>
          <w:divsChild>
            <w:div w:id="1693653370">
              <w:marLeft w:val="0"/>
              <w:marRight w:val="0"/>
              <w:marTop w:val="0"/>
              <w:marBottom w:val="0"/>
              <w:divBdr>
                <w:top w:val="none" w:sz="0" w:space="0" w:color="auto"/>
                <w:left w:val="none" w:sz="0" w:space="0" w:color="auto"/>
                <w:bottom w:val="none" w:sz="0" w:space="0" w:color="auto"/>
                <w:right w:val="none" w:sz="0" w:space="0" w:color="auto"/>
              </w:divBdr>
              <w:divsChild>
                <w:div w:id="13824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2309">
      <w:bodyDiv w:val="1"/>
      <w:marLeft w:val="0"/>
      <w:marRight w:val="0"/>
      <w:marTop w:val="0"/>
      <w:marBottom w:val="0"/>
      <w:divBdr>
        <w:top w:val="none" w:sz="0" w:space="0" w:color="auto"/>
        <w:left w:val="none" w:sz="0" w:space="0" w:color="auto"/>
        <w:bottom w:val="none" w:sz="0" w:space="0" w:color="auto"/>
        <w:right w:val="none" w:sz="0" w:space="0" w:color="auto"/>
      </w:divBdr>
    </w:div>
    <w:div w:id="2043089283">
      <w:bodyDiv w:val="1"/>
      <w:marLeft w:val="0"/>
      <w:marRight w:val="0"/>
      <w:marTop w:val="0"/>
      <w:marBottom w:val="0"/>
      <w:divBdr>
        <w:top w:val="none" w:sz="0" w:space="0" w:color="auto"/>
        <w:left w:val="none" w:sz="0" w:space="0" w:color="auto"/>
        <w:bottom w:val="none" w:sz="0" w:space="0" w:color="auto"/>
        <w:right w:val="none" w:sz="0" w:space="0" w:color="auto"/>
      </w:divBdr>
    </w:div>
    <w:div w:id="205523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0AB63CD764F1DEE023940E857A2FC970F8E76205BD9919A2B33F66E4AECC2E51B4322DF5C2C17BFC8EC2DC86290492CEE6443F0B988IEH9L" TargetMode="External"/><Relationship Id="rId117" Type="http://schemas.openxmlformats.org/officeDocument/2006/relationships/hyperlink" Target="consultantplus://offline/ref=6CB19E8A491530F8348675951632DEC506B52581670B61DB6A805F2945D59E2A7E91549005A0A63E4E0BFDD59442C229D0D4311E279AI8m7M" TargetMode="External"/><Relationship Id="rId21" Type="http://schemas.openxmlformats.org/officeDocument/2006/relationships/hyperlink" Target="consultantplus://offline/ref=69AC3B982612BFFE05580E615739B63A86D1593E0C8E43204A1C7B50E6ACC680CFC22556511C30F9D09DD8B96D9F1AF77BC2D50A1BEE4AF8YBM" TargetMode="External"/><Relationship Id="rId42" Type="http://schemas.openxmlformats.org/officeDocument/2006/relationships/hyperlink" Target="consultantplus://offline/ref=50582159214E7EDC253277A3D0400B6C65828E98D2F2216440BB96DEED33B5FCE1DF04692622FF384257A9328F9EC82C2A284DD426EAsFd0N" TargetMode="External"/><Relationship Id="rId47" Type="http://schemas.openxmlformats.org/officeDocument/2006/relationships/hyperlink" Target="consultantplus://offline/ref=D2AB8A7FB00A17ECA1F36E40EA35E198884226E7CE6BDB919346377688D52676064D47140056453649258A8FB3FCE303318D42FBBD65QEnCN" TargetMode="External"/><Relationship Id="rId63" Type="http://schemas.openxmlformats.org/officeDocument/2006/relationships/hyperlink" Target="consultantplus://offline/ref=EBB13CFD45F15D475B3EAB4382F6D71AD972249B2AA1DD12A338DDA98ADF5532A224BEA78712BBE7B5CDE2B556W6zDI" TargetMode="External"/><Relationship Id="rId68" Type="http://schemas.openxmlformats.org/officeDocument/2006/relationships/hyperlink" Target="consultantplus://offline/ref=0978B3653DE4A48BEA9BB34A20AAA5A30AB50E298BA84F5B94CB2AD48CA00C16E63C5D793114862537356E7EFB6570EF338464A7EDC0xB20I" TargetMode="External"/><Relationship Id="rId84" Type="http://schemas.openxmlformats.org/officeDocument/2006/relationships/hyperlink" Target="https://vip.1gzakaz.ru/" TargetMode="External"/><Relationship Id="rId89" Type="http://schemas.openxmlformats.org/officeDocument/2006/relationships/hyperlink" Target="consultantplus://offline/ref=122B058E9611A3A896E553F27C3F8AAB0F327BEDBAAB9DB1ACB83CB7A5B41F12FCCB122051F687467D05E2954868F82D3069622049JD36I" TargetMode="External"/><Relationship Id="rId112" Type="http://schemas.openxmlformats.org/officeDocument/2006/relationships/hyperlink" Target="consultantplus://offline/ref=A18D47F19034F3C95E17EFD648B909A7A74928D386D94843B47EC4AAFDDBF6C923E9989976CB674B076E879B0E3F84EBDA3F8A3058973Fk0M" TargetMode="External"/><Relationship Id="rId16" Type="http://schemas.openxmlformats.org/officeDocument/2006/relationships/hyperlink" Target="http://ivo.garant.ru/document/redirect/403480268/1027" TargetMode="External"/><Relationship Id="rId107" Type="http://schemas.openxmlformats.org/officeDocument/2006/relationships/hyperlink" Target="http://ivo.garant.ru/document/redirect/403480268/4010" TargetMode="External"/><Relationship Id="rId11" Type="http://schemas.openxmlformats.org/officeDocument/2006/relationships/hyperlink" Target="file:///C:\Users\KSO\AppData\Roaming\Downloads\1004778" TargetMode="External"/><Relationship Id="rId32" Type="http://schemas.openxmlformats.org/officeDocument/2006/relationships/hyperlink" Target="https://e.goszakupkiru.ru/npd-doc?npmid=99&amp;npid=578325958&amp;anchor=ZAP20CK3FE" TargetMode="External"/><Relationship Id="rId37" Type="http://schemas.openxmlformats.org/officeDocument/2006/relationships/hyperlink" Target="consultantplus://offline/ref=95591E4B58243B629154A6B500F97B6136F0D11686BC646D26098C6FD3A6A12106A668A2DA0922C53EC11E32913A83F8943CB0C5CD3D306CE0Y5I" TargetMode="External"/><Relationship Id="rId53" Type="http://schemas.openxmlformats.org/officeDocument/2006/relationships/chart" Target="charts/chart2.xml"/><Relationship Id="rId58" Type="http://schemas.openxmlformats.org/officeDocument/2006/relationships/hyperlink" Target="http://vip.1gzakaz.ru/" TargetMode="External"/><Relationship Id="rId74" Type="http://schemas.openxmlformats.org/officeDocument/2006/relationships/hyperlink" Target="consultantplus://offline/ref=0EC1AEC23565BDE97A20C743AB23D41ABBC8BA46CCEEAEB468F023BF61EC5CCED5E99826DF78DC0603C6662A87E146AD2A61EC0B1A1BD34DI" TargetMode="External"/><Relationship Id="rId79" Type="http://schemas.openxmlformats.org/officeDocument/2006/relationships/hyperlink" Target="consultantplus://offline/ref=0EC1AEC23565BDE97A20C743AB23D41ABBC8BA46CCEEAEB468F023BF61EC5CCED5E99826DF78D30603C6662A87E146AD2A61EC0B1A1BD34DI" TargetMode="External"/><Relationship Id="rId102" Type="http://schemas.openxmlformats.org/officeDocument/2006/relationships/hyperlink" Target="http://ivo.garant.ru/document/redirect/70353464/1036" TargetMode="External"/><Relationship Id="rId123" Type="http://schemas.openxmlformats.org/officeDocument/2006/relationships/hyperlink" Target="http://ivo.garant.ru/document/redirect/70353464/9315" TargetMode="External"/><Relationship Id="rId128" Type="http://schemas.openxmlformats.org/officeDocument/2006/relationships/hyperlink" Target="consultantplus://offline/ref=EAA390271FD7DDB2CF6F41758FCEDF5C41A4831046C61FA61D1AF4E14873A23F3064D34FACE4809788ABB80B69122F4271141D45E5AEg2p4G" TargetMode="External"/><Relationship Id="rId5" Type="http://schemas.openxmlformats.org/officeDocument/2006/relationships/settings" Target="settings.xml"/><Relationship Id="rId90" Type="http://schemas.openxmlformats.org/officeDocument/2006/relationships/hyperlink" Target="consultantplus://offline/ref=122B058E9611A3A896E553F27C3F8AAB0F327BEDBAAB9DB1ACB83CB7A5B41F12FCCB122159FE8A197810F3CD456DE33334737E224BD7J938I" TargetMode="External"/><Relationship Id="rId95" Type="http://schemas.openxmlformats.org/officeDocument/2006/relationships/hyperlink" Target="http://ivo.garant.ru/document/redirect/70353464/2412" TargetMode="External"/><Relationship Id="rId19" Type="http://schemas.openxmlformats.org/officeDocument/2006/relationships/hyperlink" Target="https://zakupki.gov.ru/epz/main/public/news/news_preview.html?newsId=31771" TargetMode="External"/><Relationship Id="rId14" Type="http://schemas.openxmlformats.org/officeDocument/2006/relationships/hyperlink" Target="consultantplus://offline/ref=DC65711AA9173CE8A9FA0990AE66E920F97A5F6807F80895DF374480800BD8454029BD561CCDBB9683FF77554A5A4705E5619C09BC3C9FB7j21AL" TargetMode="External"/><Relationship Id="rId22" Type="http://schemas.openxmlformats.org/officeDocument/2006/relationships/hyperlink" Target="consultantplus://offline/ref=D3375AFC5B511921A404BEBCB58310F74C0C2C4A686DA950100940BE87466C4F4ACBD0464132F09DD2187C623A94675A0E72907B62FA9A0EB7WAM" TargetMode="External"/><Relationship Id="rId27" Type="http://schemas.openxmlformats.org/officeDocument/2006/relationships/hyperlink" Target="consultantplus://offline/ref=50AB63CD764F1DEE023940E857A2FC970F8F77225CD8919A2B33F66E4AECC2E51B4322DF5F2A10B79AB63DCC2BC54332E87B5CF3A78BE09AI0H4L" TargetMode="External"/><Relationship Id="rId30" Type="http://schemas.openxmlformats.org/officeDocument/2006/relationships/hyperlink" Target="https://e.goszakupkiru.ru/npd-doc?npmid=99&amp;npid=578325958&amp;anchor=ZAP1UVK3AE" TargetMode="External"/><Relationship Id="rId35" Type="http://schemas.openxmlformats.org/officeDocument/2006/relationships/hyperlink" Target="https://e.goszakupkiru.ru/npd-doc?npmid=99&amp;npid=578309075&amp;anchor=XA00MFA2O3" TargetMode="External"/><Relationship Id="rId43" Type="http://schemas.openxmlformats.org/officeDocument/2006/relationships/hyperlink" Target="consultantplus://offline/ref=50582159214E7EDC253277A3D0400B6C65828E98D2F2216440BB96DEED33B5FCE1DF04652826F2384257A9328F9EC82C2A284DD426EAsFd0N" TargetMode="External"/><Relationship Id="rId48" Type="http://schemas.openxmlformats.org/officeDocument/2006/relationships/hyperlink" Target="consultantplus://offline/ref=50582159214E7EDC253277A3D0400B6C65878C9CD4F2216440BB96DEED33B5FCE1DF046F2E25F7384257A9328F9EC82C2A284DD426EAsFd0N" TargetMode="External"/><Relationship Id="rId56" Type="http://schemas.openxmlformats.org/officeDocument/2006/relationships/hyperlink" Target="consultantplus://offline/ref=F8512DEC0FF9350024604F070AB6E14F245ED4B627984096E951312B6863BB945409C353654FCE5E2B281BF826012B5AEDFBAC223C6143A0sD3DH" TargetMode="External"/><Relationship Id="rId64" Type="http://schemas.openxmlformats.org/officeDocument/2006/relationships/hyperlink" Target="consultantplus://offline/ref=EBB13CFD45F15D475B3EAB4382F6D71AD977239B25A4DD12A338DDA98ADF5532B024E6AE8E10A0ECE582A4E0596E3B608E070B2591BCWDzBI" TargetMode="External"/><Relationship Id="rId69" Type="http://schemas.openxmlformats.org/officeDocument/2006/relationships/hyperlink" Target="consultantplus://offline/ref=0978B3653DE4A48BEA9BB15B20DEF0F003B70D2281AE4F5B94CB2AD48CA00C16E63C5D79321C862C626F7E7AB23079F1379E7AA1F3C0B355x42CI" TargetMode="External"/><Relationship Id="rId77" Type="http://schemas.openxmlformats.org/officeDocument/2006/relationships/hyperlink" Target="consultantplus://offline/ref=0EC1AEC23565BDE97A20C743AB23D41ABBC8BA46CCEEAEB468F023BF61EC5CCED5E99826DF7AD90603C6662A87E146AD2A61EC0B1A1BD34DI" TargetMode="External"/><Relationship Id="rId100" Type="http://schemas.openxmlformats.org/officeDocument/2006/relationships/hyperlink" Target="consultantplus://offline/ref=758684A92560C26F8B6A504ED35D18FCE736B8C143791C3284BCE79AE8C9B65C120ACA3BFC4539C17D57814F513FB70C46C937F22A9C86CFO5MBJ" TargetMode="External"/><Relationship Id="rId105" Type="http://schemas.openxmlformats.org/officeDocument/2006/relationships/hyperlink" Target="http://ivo.garant.ru/document/redirect/70353464/1031" TargetMode="External"/><Relationship Id="rId113" Type="http://schemas.openxmlformats.org/officeDocument/2006/relationships/hyperlink" Target="consultantplus://offline/ref=6FBFB367DE6D319674558C90B2F0B00E63F620F355B600C6791619AE6EF0A9B5991006BB5BB532D8FB0EEB5AB8DF3EE1D129E923FDC9TFk9N" TargetMode="External"/><Relationship Id="rId118" Type="http://schemas.openxmlformats.org/officeDocument/2006/relationships/chart" Target="charts/chart5.xml"/><Relationship Id="rId126" Type="http://schemas.openxmlformats.org/officeDocument/2006/relationships/hyperlink" Target="consultantplus://offline/ref=EAA390271FD7DDB2CF6F41758FCEDF5C41A4831046C61FA61D1AF4E14873A23F3064D34FACE4809788ABB80B69122F4271141D45E5AEg2p4G" TargetMode="External"/><Relationship Id="rId8" Type="http://schemas.openxmlformats.org/officeDocument/2006/relationships/endnotes" Target="endnotes.xml"/><Relationship Id="rId51" Type="http://schemas.openxmlformats.org/officeDocument/2006/relationships/hyperlink" Target="consultantplus://offline/ref=310739C35B9243241F791EE952B560EF7AB83E359BDF032B9E7E8CFEACD17B4C41815326545CB4CECD30687E703F585E7BF45A8B61E5E5g2M" TargetMode="External"/><Relationship Id="rId72" Type="http://schemas.openxmlformats.org/officeDocument/2006/relationships/hyperlink" Target="consultantplus://offline/ref=0978B3653DE4A48BEA9BB34A20AAA5A30AB50E298BA84F5B94CB2AD48CA00C16E63C5D793B18812537356E7EFB6570EF338464A7EDC0xB20I" TargetMode="External"/><Relationship Id="rId80" Type="http://schemas.openxmlformats.org/officeDocument/2006/relationships/hyperlink" Target="consultantplus://offline/ref=0EC1AEC23565BDE97A20C743AB23D41ABCCEB841C2E6AEB468F023BF61EC5CCED5E99826D67CDA0D539C762ECEB44FB32E7BF20D041B3E8ED642I" TargetMode="External"/><Relationship Id="rId85" Type="http://schemas.openxmlformats.org/officeDocument/2006/relationships/hyperlink" Target="https://vip.1gzakaz.ru/" TargetMode="External"/><Relationship Id="rId93" Type="http://schemas.openxmlformats.org/officeDocument/2006/relationships/hyperlink" Target="consultantplus://offline/ref=2AD52C8AA9680871242E1DA3B20B001AE69CC2C0BB4545711308AA4A7DDECFC38614EC29E030CD23E518A51F797FE3B755A811C4DAA8CF8AhE78I" TargetMode="External"/><Relationship Id="rId98" Type="http://schemas.openxmlformats.org/officeDocument/2006/relationships/hyperlink" Target="http://ivo.garant.ru/document/redirect/71990264/2000" TargetMode="External"/><Relationship Id="rId121" Type="http://schemas.openxmlformats.org/officeDocument/2006/relationships/hyperlink" Target="http://ivo.garant.ru/document/redirect/70353464/931" TargetMode="External"/><Relationship Id="rId3" Type="http://schemas.openxmlformats.org/officeDocument/2006/relationships/styles" Target="styles.xml"/><Relationship Id="rId12" Type="http://schemas.openxmlformats.org/officeDocument/2006/relationships/hyperlink" Target="file:///C:\Users\KSO\AppData\Roaming\Downloads\1004986" TargetMode="External"/><Relationship Id="rId17" Type="http://schemas.openxmlformats.org/officeDocument/2006/relationships/hyperlink" Target="http://ivo.garant.ru/document/redirect/990941/1829" TargetMode="External"/><Relationship Id="rId25" Type="http://schemas.openxmlformats.org/officeDocument/2006/relationships/hyperlink" Target="consultantplus://offline/ref=164078B0EADD78A262B496B817722352A049E8A8012871C9D76D814C93A9C8359A68D2F8CA1EDD90CF7254A5755EFB36CE3B8066B8B0a9V4M" TargetMode="External"/><Relationship Id="rId33" Type="http://schemas.openxmlformats.org/officeDocument/2006/relationships/hyperlink" Target="https://e.goszakupkiru.ru/npd-doc?npmid=97&amp;npid=268450" TargetMode="External"/><Relationship Id="rId38" Type="http://schemas.openxmlformats.org/officeDocument/2006/relationships/hyperlink" Target="consultantplus://offline/ref=95591E4B58243B629154A6B500F97B6136F2D1148EBB646D26098C6FD3A6A12106A668A2D90F26C66E9B0E36D86C8EE59421AEC4D33DE3Y3I" TargetMode="External"/><Relationship Id="rId46" Type="http://schemas.openxmlformats.org/officeDocument/2006/relationships/hyperlink" Target="consultantplus://offline/ref=50582159214E7EDC253277A3D0400B6C65878C9CD4F2216440BB96DEED33B5FCE1DF046F2E25F4384257A9328F9EC82C2A284DD426EAsFd0N" TargetMode="External"/><Relationship Id="rId59" Type="http://schemas.openxmlformats.org/officeDocument/2006/relationships/hyperlink" Target="consultantplus://offline/ref=EBB13CFD45F15D475B3EAB4382F6D71AD972249B2AA1DD12A338DDA98ADF5532B024E6AB8717A7E2B6D8B4E4103B327E8A1D15238FBCD849W4z1I" TargetMode="External"/><Relationship Id="rId67" Type="http://schemas.openxmlformats.org/officeDocument/2006/relationships/hyperlink" Target="consultantplus://offline/ref=0978B3653DE4A48BEA9BB34A20AAA5A30AB50E298BA84F5B94CB2AD48CA00C16F43C05753218982E677A282BF4x626I" TargetMode="External"/><Relationship Id="rId103" Type="http://schemas.openxmlformats.org/officeDocument/2006/relationships/hyperlink" Target="http://ivo.garant.ru/document/redirect/70353464/15" TargetMode="External"/><Relationship Id="rId108" Type="http://schemas.openxmlformats.org/officeDocument/2006/relationships/hyperlink" Target="http://ivo.garant.ru/document/redirect/403480268/0" TargetMode="External"/><Relationship Id="rId116" Type="http://schemas.openxmlformats.org/officeDocument/2006/relationships/hyperlink" Target="consultantplus://offline/ref=A85FB8ACCB572B0D143BE3B1EC20428743214DEAF8ADD2AF7FCCBED647F37FBFEDB9F7132E8C7656C29E742A3DE575355D025B833E69D0o3M" TargetMode="External"/><Relationship Id="rId124" Type="http://schemas.openxmlformats.org/officeDocument/2006/relationships/hyperlink" Target="https://goscontract.info/connect/X9Dcp7Kp" TargetMode="External"/><Relationship Id="rId129" Type="http://schemas.openxmlformats.org/officeDocument/2006/relationships/hyperlink" Target="consultantplus://offline/ref=EAA390271FD7DDB2CF6F41758FCEDF5C41A4831046C61FA61D1AF4E14873A23F3064D34FACE4819788ABB80B69122F4271141D45E5AEg2p4G" TargetMode="External"/><Relationship Id="rId20" Type="http://schemas.openxmlformats.org/officeDocument/2006/relationships/hyperlink" Target="consultantplus://offline/ref=71E04EF700D2BB3D3A509482C70C9608AB491ECAAF071AEAD3C15350EA589C59E3FB8D08CD1FF006B6D97BB94FDAC5EFDE4B69EAEB03BC46t9R3M" TargetMode="External"/><Relationship Id="rId41" Type="http://schemas.openxmlformats.org/officeDocument/2006/relationships/hyperlink" Target="consultantplus://offline/ref=50582159214E7EDC253277A3D0400B6C65828E98D2F2216440BB96DEED33B5FCE1DF04692622F1384257A9328F9EC82C2A284DD426EAsFd0N" TargetMode="External"/><Relationship Id="rId54" Type="http://schemas.openxmlformats.org/officeDocument/2006/relationships/chart" Target="charts/chart3.xml"/><Relationship Id="rId62" Type="http://schemas.openxmlformats.org/officeDocument/2006/relationships/hyperlink" Target="consultantplus://offline/ref=EBB13CFD45F15D475B3EAB4382F6D71AD972249B2AA1DD12A338DDA98ADF5532B024E6AB8E12ACECE582A4E0596E3B608E070B2591BCWDzBI" TargetMode="External"/><Relationship Id="rId70" Type="http://schemas.openxmlformats.org/officeDocument/2006/relationships/hyperlink" Target="consultantplus://offline/ref=0978B3653DE4A48BEA9BB34A20AAA5A30AB50E298BA84F5B94CB2AD48CA00C16E63C5D7931188F2537356E7EFB6570EF338464A7EDC0xB20I" TargetMode="External"/><Relationship Id="rId75" Type="http://schemas.openxmlformats.org/officeDocument/2006/relationships/hyperlink" Target="consultantplus://offline/ref=0EC1AEC23565BDE97A20C743AB23D41ABBC8BA46CCEEAEB468F023BF61EC5CCED5E99826DF78DD0603C6662A87E146AD2A61EC0B1A1BD34DI" TargetMode="External"/><Relationship Id="rId83" Type="http://schemas.openxmlformats.org/officeDocument/2006/relationships/hyperlink" Target="https://vip.1gzakaz.ru/" TargetMode="External"/><Relationship Id="rId88" Type="http://schemas.openxmlformats.org/officeDocument/2006/relationships/chart" Target="charts/chart4.xml"/><Relationship Id="rId91" Type="http://schemas.openxmlformats.org/officeDocument/2006/relationships/hyperlink" Target="consultantplus://offline/ref=2AD52C8AA9680871242E1DA3B20B001AE699C7C2B14C45711308AA4A7DDECFC38614EC2CE031C677B257A4433D2FF0B754A813C0C6hA79I" TargetMode="External"/><Relationship Id="rId96" Type="http://schemas.openxmlformats.org/officeDocument/2006/relationships/hyperlink" Target="http://ivo.garant.ru/document/redirect/71990264/0" TargetMode="External"/><Relationship Id="rId111" Type="http://schemas.openxmlformats.org/officeDocument/2006/relationships/hyperlink" Target="http://ivo.garant.ru/document/redirect/70353464/1111"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DC65711AA9173CE8A9FA0990AE66E920F97A5F6807F80895DF374480800BD8454029BD561CCDBA9183FF77554A5A4705E5619C09BC3C9FB7j21AL" TargetMode="External"/><Relationship Id="rId23" Type="http://schemas.openxmlformats.org/officeDocument/2006/relationships/hyperlink" Target="consultantplus://offline/ref=D3375AFC5B511921A404BEBCB58310F74C0C2C4A686DA950100940BE87466C4F4ACBD0464132F09DD1187C623A94675A0E72907B62FA9A0EB7WAM" TargetMode="External"/><Relationship Id="rId28" Type="http://schemas.openxmlformats.org/officeDocument/2006/relationships/hyperlink" Target="consultantplus://offline/ref=50AB63CD764F1DEE023940E857A2FC970F8F77225CD8919A2B33F66E4AECC2E51B4322DF5F2A10B69EB63DCC2BC54332E87B5CF3A78BE09AI0H4L" TargetMode="External"/><Relationship Id="rId36" Type="http://schemas.openxmlformats.org/officeDocument/2006/relationships/hyperlink" Target="consultantplus://offline/ref=95591E4B58243B629154A6B500F97B6136F2D1148EBB646D26098C6FD3A6A12106A668A2DA0923C53EC11E32913A83F8943CB0C5CD3D306CE0Y5I" TargetMode="External"/><Relationship Id="rId49" Type="http://schemas.openxmlformats.org/officeDocument/2006/relationships/hyperlink" Target="consultantplus://offline/ref=310739C35B9243241F791EE952B560EF7AB83E359BDF032B9E7E8CFEACD17B4C4181532A5A58BECECD30687E703F585E7BF45A8B61E5E5g2M" TargetMode="External"/><Relationship Id="rId57" Type="http://schemas.openxmlformats.org/officeDocument/2006/relationships/hyperlink" Target="consultantplus://offline/ref=5BF7BF8241BCC6889EB1DC8A4AFEB79C6D8BF727F4CCA42FE9901EF727460ECE7EE7FDC69CC96DF645A8183DC023D79AB7868EED832Fl0zBH" TargetMode="External"/><Relationship Id="rId106" Type="http://schemas.openxmlformats.org/officeDocument/2006/relationships/hyperlink" Target="http://ivo.garant.ru/document/redirect/70353464/1032" TargetMode="External"/><Relationship Id="rId114" Type="http://schemas.openxmlformats.org/officeDocument/2006/relationships/hyperlink" Target="consultantplus://offline/ref=20BDCF1DC04EB47C69DA86303D3E3664269536AD28CD3F7E101160AB4661F51576096EAC92141A3A9F5F5ED7381D354A5B36C9BF3B5D5AjBM" TargetMode="External"/><Relationship Id="rId119" Type="http://schemas.openxmlformats.org/officeDocument/2006/relationships/chart" Target="charts/chart6.xml"/><Relationship Id="rId127" Type="http://schemas.openxmlformats.org/officeDocument/2006/relationships/hyperlink" Target="consultantplus://offline/ref=EAA390271FD7DDB2CF6F41758FCEDF5C41A4831046C61FA61D1AF4E14873A23F3064D34FACE4819788ABB80B69122F4271141D45E5AEg2p4G" TargetMode="External"/><Relationship Id="rId10" Type="http://schemas.openxmlformats.org/officeDocument/2006/relationships/hyperlink" Target="file:///C:\Users\KSO\AppData\Roaming\Downloads\1004777" TargetMode="External"/><Relationship Id="rId31" Type="http://schemas.openxmlformats.org/officeDocument/2006/relationships/hyperlink" Target="https://e.goszakupkiru.ru/npd-doc?npmid=99&amp;npid=578325958&amp;anchor=ZAP1VIK3D5" TargetMode="External"/><Relationship Id="rId44" Type="http://schemas.openxmlformats.org/officeDocument/2006/relationships/hyperlink" Target="consultantplus://offline/ref=50582159214E7EDC253277A3D0400B6C65878C9CD4F2216440BB96DEED33B5FCF3DF5C602C24E8331518EF6780s9dEN" TargetMode="External"/><Relationship Id="rId52" Type="http://schemas.openxmlformats.org/officeDocument/2006/relationships/chart" Target="charts/chart1.xml"/><Relationship Id="rId60" Type="http://schemas.openxmlformats.org/officeDocument/2006/relationships/hyperlink" Target="consultantplus://offline/ref=EBB13CFD45F15D475B3EAB4382F6D71AD97025992BA9DD12A338DDA98ADF5532A224BEA78712BBE7B5CDE2B556W6zDI" TargetMode="External"/><Relationship Id="rId65" Type="http://schemas.openxmlformats.org/officeDocument/2006/relationships/hyperlink" Target="consultantplus://offline/ref=EBB13CFD45F15D475B3EAB4382F6D71AD977239B25A4DD12A338DDA98ADF5532B024E6AE8E10A2ECE582A4E0596E3B608E070B2591BCWDzBI" TargetMode="External"/><Relationship Id="rId73" Type="http://schemas.openxmlformats.org/officeDocument/2006/relationships/hyperlink" Target="consultantplus://offline/ref=0EC1AEC23565BDE97A20C743AB23D41ABBC8BA46CCEEAEB468F023BF61EC5CCED5E99826D578DE0603C6662A87E146AD2A61EC0B1A1BD34DI" TargetMode="External"/><Relationship Id="rId78" Type="http://schemas.openxmlformats.org/officeDocument/2006/relationships/hyperlink" Target="consultantplus://offline/ref=0EC1AEC23565BDE97A20C743AB23D41ABBC8BA46CCEEAEB468F023BF61EC5CCED5E99826DF7BDA0603C6662A87E146AD2A61EC0B1A1BD34DI" TargetMode="External"/><Relationship Id="rId81" Type="http://schemas.openxmlformats.org/officeDocument/2006/relationships/hyperlink" Target="https://vip.1gzakaz.ru/" TargetMode="External"/><Relationship Id="rId86" Type="http://schemas.openxmlformats.org/officeDocument/2006/relationships/hyperlink" Target="https://vip.1gzakaz.ru/" TargetMode="External"/><Relationship Id="rId94" Type="http://schemas.openxmlformats.org/officeDocument/2006/relationships/hyperlink" Target="consultantplus://offline/ref=2AD52C8AA9680871242E1DA3B20B001AE199C2C6BF4845711308AA4A7DDECFC38614EC29E030CD20EA18A51F797FE3B755A811C4DAA8CF8AhE78I" TargetMode="External"/><Relationship Id="rId99" Type="http://schemas.openxmlformats.org/officeDocument/2006/relationships/hyperlink" Target="http://ivo.garant.ru/document/redirect/70353464/2413" TargetMode="External"/><Relationship Id="rId101" Type="http://schemas.openxmlformats.org/officeDocument/2006/relationships/hyperlink" Target="consultantplus://offline/ref=E99509AF9CA529E104A4D7A444BFDFFC2BC6982A345FF6B4AFDEDCFC6C032D372B2D0062554A247A14CBCFCE1EBE0EF8936EEA950C0DC93231S9J" TargetMode="External"/><Relationship Id="rId122" Type="http://schemas.openxmlformats.org/officeDocument/2006/relationships/hyperlink" Target="http://ivo.garant.ru/document/redirect/70353464/9314" TargetMode="External"/><Relationship Id="rId13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 Id="rId13" Type="http://schemas.openxmlformats.org/officeDocument/2006/relationships/hyperlink" Target="http://zakupki.gov.ru/epz/main/public/home.html" TargetMode="External"/><Relationship Id="rId18" Type="http://schemas.openxmlformats.org/officeDocument/2006/relationships/hyperlink" Target="http://ivo.garant.ru/document/redirect/990941/1829" TargetMode="External"/><Relationship Id="rId39" Type="http://schemas.openxmlformats.org/officeDocument/2006/relationships/hyperlink" Target="http://ivo.garant.ru/document/redirect/70353464/241" TargetMode="External"/><Relationship Id="rId109" Type="http://schemas.openxmlformats.org/officeDocument/2006/relationships/hyperlink" Target="http://ivo.garant.ru/document/redirect/70353464/93012" TargetMode="External"/><Relationship Id="rId34" Type="http://schemas.openxmlformats.org/officeDocument/2006/relationships/hyperlink" Target="consultantplus://offline/ref=50AB63CD764F1DEE023940E857A2FC970F8F77225CD8919A2B33F66E4AECC2E51B4322DF5F2A10BC95B63DCC2BC54332E87B5CF3A78BE09AI0H4L" TargetMode="External"/><Relationship Id="rId50" Type="http://schemas.openxmlformats.org/officeDocument/2006/relationships/hyperlink" Target="consultantplus://offline/ref=310739C35B9243241F791EE952B560EF7AB83E359BDF032B9E7E8CFEACD17B4C41815326545CBACECD30687E703F585E7BF45A8B61E5E5g2M" TargetMode="External"/><Relationship Id="rId55" Type="http://schemas.openxmlformats.org/officeDocument/2006/relationships/hyperlink" Target="consultantplus://offline/ref=F8512DEC0FF9350024604F070AB6E14F245ED4B627984096E951312B6863BB945409C3556C44990A697642A9664A265EF7E7AC24s231H" TargetMode="External"/><Relationship Id="rId76" Type="http://schemas.openxmlformats.org/officeDocument/2006/relationships/hyperlink" Target="consultantplus://offline/ref=0EC1AEC23565BDE97A20C743AB23D41ABBC8BA46CCEEAEB468F023BF61EC5CCED5E99826DF78D30603C6662A87E146AD2A61EC0B1A1BD34DI" TargetMode="External"/><Relationship Id="rId97" Type="http://schemas.openxmlformats.org/officeDocument/2006/relationships/hyperlink" Target="http://ivo.garant.ru/document/redirect/71990264/1000" TargetMode="External"/><Relationship Id="rId104" Type="http://schemas.openxmlformats.org/officeDocument/2006/relationships/hyperlink" Target="https://vip.1gzakaz.ru/" TargetMode="External"/><Relationship Id="rId120" Type="http://schemas.openxmlformats.org/officeDocument/2006/relationships/hyperlink" Target="garantF1://70253464.93" TargetMode="External"/><Relationship Id="rId125" Type="http://schemas.openxmlformats.org/officeDocument/2006/relationships/hyperlink" Target="https://goscontract.info/connect/Hf8dVh6k" TargetMode="External"/><Relationship Id="rId7" Type="http://schemas.openxmlformats.org/officeDocument/2006/relationships/footnotes" Target="footnotes.xml"/><Relationship Id="rId71" Type="http://schemas.openxmlformats.org/officeDocument/2006/relationships/hyperlink" Target="consultantplus://offline/ref=0978B3653DE4A48BEA9BB34A20AAA5A30AB50E298BA84F5B94CB2AD48CA00C16E63C5D793B18802537356E7EFB6570EF338464A7EDC0xB20I" TargetMode="External"/><Relationship Id="rId92" Type="http://schemas.openxmlformats.org/officeDocument/2006/relationships/hyperlink" Target="consultantplus://offline/ref=2AD52C8AA9680871242E1DA3B20B001AE69CC2C0BB4545711308AA4A7DDECFC38614EC29E030CD22E718A51F797FE3B755A811C4DAA8CF8AhE78I" TargetMode="External"/><Relationship Id="rId2" Type="http://schemas.openxmlformats.org/officeDocument/2006/relationships/numbering" Target="numbering.xml"/><Relationship Id="rId29" Type="http://schemas.openxmlformats.org/officeDocument/2006/relationships/hyperlink" Target="https://e.goszakupkiru.ru/npd-doc?npmid=99&amp;npid=578325958&amp;anchor=XA00MD82NS" TargetMode="External"/><Relationship Id="rId24" Type="http://schemas.openxmlformats.org/officeDocument/2006/relationships/hyperlink" Target="https://vip.gosfinansy.ru/" TargetMode="External"/><Relationship Id="rId40" Type="http://schemas.openxmlformats.org/officeDocument/2006/relationships/hyperlink" Target="consultantplus://offline/ref=50582159214E7EDC253277A3D0400B6C65828E98D2F2216440BB96DEED33B5FCE1DF04652826F5384257A9328F9EC82C2A284DD426EAsFd0N" TargetMode="External"/><Relationship Id="rId45" Type="http://schemas.openxmlformats.org/officeDocument/2006/relationships/hyperlink" Target="consultantplus://offline/ref=50582159214E7EDC253277A3D0400B6C65878C9CD4F2216440BB96DEED33B5FCE1DF046F2E25F7384257A9328F9EC82C2A284DD426EAsFd0N" TargetMode="External"/><Relationship Id="rId66" Type="http://schemas.openxmlformats.org/officeDocument/2006/relationships/hyperlink" Target="consultantplus://offline/ref=BFEFF0417D70D745EEBA2C6C3BA48F24CE933ED5C6BE436035999494C00187E45AD476F3A81E041F3A01EFC3ABYE2BI" TargetMode="External"/><Relationship Id="rId87" Type="http://schemas.openxmlformats.org/officeDocument/2006/relationships/hyperlink" Target="consultantplus://offline/ref=EEE55F3E6D8BB49EA1AF3CAE02684F117491EEEB901FECEA77E89D23770CC3B445D6A4AA64790B5183128579BF3D9681C803A57716XFm8J" TargetMode="External"/><Relationship Id="rId110" Type="http://schemas.openxmlformats.org/officeDocument/2006/relationships/hyperlink" Target="http://ivo.garant.ru/document/redirect/70353464/931" TargetMode="External"/><Relationship Id="rId115" Type="http://schemas.openxmlformats.org/officeDocument/2006/relationships/hyperlink" Target="consultantplus://offline/ref=A85FB8ACCB572B0D143BE3B1EC20428743244AEAF7A8D2AF7FCCBED647F37FBFEDB9F714288B7D56C29E742A3DE575355D025B833E69D0o3M" TargetMode="External"/><Relationship Id="rId131" Type="http://schemas.openxmlformats.org/officeDocument/2006/relationships/fontTable" Target="fontTable.xml"/><Relationship Id="rId61" Type="http://schemas.openxmlformats.org/officeDocument/2006/relationships/hyperlink" Target="consultantplus://offline/ref=EBB13CFD45F15D475B3EAB4382F6D71AD972249B2AA1DD12A338DDA98ADF5532B024E6AB8110ACECE582A4E0596E3B608E070B2591BCWDzBI" TargetMode="External"/><Relationship Id="rId82" Type="http://schemas.openxmlformats.org/officeDocument/2006/relationships/hyperlink" Target="https://vip.1gzakaz.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200"/>
      <c:rAngAx val="0"/>
      <c:perspective val="30"/>
    </c:view3D>
    <c:floor>
      <c:thickness val="0"/>
    </c:floor>
    <c:sideWall>
      <c:thickness val="0"/>
    </c:sideWall>
    <c:backWall>
      <c:thickness val="0"/>
    </c:backWall>
    <c:plotArea>
      <c:layout>
        <c:manualLayout>
          <c:layoutTarget val="inner"/>
          <c:xMode val="edge"/>
          <c:yMode val="edge"/>
          <c:x val="0"/>
          <c:y val="5.5888805752476137E-2"/>
          <c:w val="1"/>
          <c:h val="0.68314334441239521"/>
        </c:manualLayout>
      </c:layout>
      <c:pie3DChart>
        <c:varyColors val="1"/>
        <c:ser>
          <c:idx val="0"/>
          <c:order val="0"/>
          <c:explosion val="35"/>
          <c:dPt>
            <c:idx val="0"/>
            <c:bubble3D val="0"/>
            <c:spPr>
              <a:solidFill>
                <a:srgbClr val="7030A0"/>
              </a:solidFill>
              <a:ln w="25389">
                <a:solidFill>
                  <a:srgbClr val="7030A0"/>
                </a:solidFill>
              </a:ln>
              <a:effectLst/>
              <a:sp3d contourW="25400">
                <a:contourClr>
                  <a:srgbClr val="7030A0"/>
                </a:contourClr>
              </a:sp3d>
            </c:spPr>
          </c:dPt>
          <c:dPt>
            <c:idx val="1"/>
            <c:bubble3D val="0"/>
            <c:spPr>
              <a:solidFill>
                <a:schemeClr val="accent2">
                  <a:lumMod val="75000"/>
                </a:schemeClr>
              </a:solidFill>
              <a:ln w="25389">
                <a:solidFill>
                  <a:schemeClr val="accent6">
                    <a:lumMod val="50000"/>
                  </a:schemeClr>
                </a:solidFill>
              </a:ln>
              <a:effectLst/>
              <a:sp3d contourW="25400">
                <a:contourClr>
                  <a:schemeClr val="accent6">
                    <a:lumMod val="50000"/>
                  </a:schemeClr>
                </a:contourClr>
              </a:sp3d>
            </c:spPr>
          </c:dPt>
          <c:dPt>
            <c:idx val="2"/>
            <c:bubble3D val="0"/>
            <c:spPr>
              <a:solidFill>
                <a:srgbClr val="92D050"/>
              </a:solidFill>
              <a:ln w="25389">
                <a:solidFill>
                  <a:srgbClr val="92D050"/>
                </a:solidFill>
              </a:ln>
              <a:effectLst/>
              <a:sp3d contourW="25400">
                <a:contourClr>
                  <a:srgbClr val="92D050"/>
                </a:contourClr>
              </a:sp3d>
            </c:spPr>
          </c:dPt>
          <c:dPt>
            <c:idx val="3"/>
            <c:bubble3D val="0"/>
            <c:spPr>
              <a:solidFill>
                <a:srgbClr val="FFFF00"/>
              </a:solidFill>
              <a:ln w="25389">
                <a:solidFill>
                  <a:srgbClr val="FFFF00"/>
                </a:solidFill>
                <a:prstDash val="solid"/>
              </a:ln>
            </c:spPr>
          </c:dPt>
          <c:dLbls>
            <c:dLbl>
              <c:idx val="1"/>
              <c:layout>
                <c:manualLayout>
                  <c:x val="0.20638833891935676"/>
                  <c:y val="2.2455464173348341E-2"/>
                </c:manualLayout>
              </c:layout>
              <c:dLblPos val="bestFit"/>
              <c:showLegendKey val="0"/>
              <c:showVal val="1"/>
              <c:showCatName val="0"/>
              <c:showSerName val="0"/>
              <c:showPercent val="0"/>
              <c:showBubbleSize val="0"/>
            </c:dLbl>
            <c:dLbl>
              <c:idx val="2"/>
              <c:layout>
                <c:manualLayout>
                  <c:x val="-0.13115751723260857"/>
                  <c:y val="2.2538982407305404E-3"/>
                </c:manualLayout>
              </c:layout>
              <c:dLblPos val="bestFit"/>
              <c:showLegendKey val="0"/>
              <c:showVal val="1"/>
              <c:showCatName val="0"/>
              <c:showSerName val="0"/>
              <c:showPercent val="0"/>
              <c:showBubbleSize val="0"/>
            </c:dLbl>
            <c:dLbl>
              <c:idx val="3"/>
              <c:layout>
                <c:manualLayout>
                  <c:x val="-4.9201277130113671E-2"/>
                  <c:y val="-3.5930580225903723E-2"/>
                </c:manualLayout>
              </c:layout>
              <c:dLblPos val="bestFit"/>
              <c:showLegendKey val="0"/>
              <c:showVal val="1"/>
              <c:showCatName val="0"/>
              <c:showSerName val="0"/>
              <c:showPercent val="0"/>
              <c:showBubbleSize val="0"/>
            </c:dLbl>
            <c:spPr>
              <a:noFill/>
              <a:ln w="25389">
                <a:noFill/>
              </a:ln>
            </c:spPr>
            <c:txPr>
              <a:bodyPr/>
              <a:lstStyle/>
              <a:p>
                <a:pPr>
                  <a:defRPr sz="1199" b="1" i="0" u="none" strike="noStrike" baseline="0">
                    <a:solidFill>
                      <a:srgbClr val="333333"/>
                    </a:solidFill>
                    <a:latin typeface="Times New Roman"/>
                    <a:ea typeface="Times New Roman"/>
                    <a:cs typeface="Times New Roman"/>
                  </a:defRPr>
                </a:pPr>
                <a:endParaRPr lang="ru-RU"/>
              </a:p>
            </c:txPr>
            <c:dLblPos val="outEnd"/>
            <c:showLegendKey val="0"/>
            <c:showVal val="1"/>
            <c:showCatName val="0"/>
            <c:showSerName val="0"/>
            <c:showPercent val="0"/>
            <c:showBubbleSize val="0"/>
            <c:showLeaderLines val="1"/>
            <c:leaderLines>
              <c:spPr>
                <a:ln w="9521" cap="flat" cmpd="sng" algn="ctr">
                  <a:solidFill>
                    <a:schemeClr val="tx1">
                      <a:lumMod val="35000"/>
                      <a:lumOff val="65000"/>
                    </a:schemeClr>
                  </a:solidFill>
                  <a:round/>
                </a:ln>
                <a:effectLst/>
              </c:spPr>
            </c:leaderLines>
          </c:dLbls>
          <c:cat>
            <c:strRef>
              <c:f>Лист1!$B$18:$B$21</c:f>
              <c:strCache>
                <c:ptCount val="3"/>
                <c:pt idx="0">
                  <c:v>Электронный аукцион - 159 ед.</c:v>
                </c:pt>
                <c:pt idx="1">
                  <c:v>Электронный конкурс - 14 ед.</c:v>
                </c:pt>
                <c:pt idx="2">
                  <c:v>Запрос котировок в электронной форме - 0ед.</c:v>
                </c:pt>
              </c:strCache>
            </c:strRef>
          </c:cat>
          <c:val>
            <c:numRef>
              <c:f>Лист1!$C$18:$C$21</c:f>
              <c:numCache>
                <c:formatCode>0.0%</c:formatCode>
                <c:ptCount val="4"/>
                <c:pt idx="0">
                  <c:v>0.95199999999999996</c:v>
                </c:pt>
                <c:pt idx="1">
                  <c:v>4.8000000000000001E-2</c:v>
                </c:pt>
                <c:pt idx="2">
                  <c:v>0</c:v>
                </c:pt>
              </c:numCache>
            </c:numRef>
          </c:val>
        </c:ser>
        <c:dLbls>
          <c:showLegendKey val="0"/>
          <c:showVal val="0"/>
          <c:showCatName val="0"/>
          <c:showSerName val="0"/>
          <c:showPercent val="0"/>
          <c:showBubbleSize val="0"/>
          <c:showLeaderLines val="1"/>
        </c:dLbls>
      </c:pie3DChart>
      <c:spPr>
        <a:noFill/>
        <a:ln w="25389">
          <a:noFill/>
        </a:ln>
      </c:spPr>
    </c:plotArea>
    <c:legend>
      <c:legendPos val="b"/>
      <c:legendEntry>
        <c:idx val="2"/>
        <c:txPr>
          <a:bodyPr/>
          <a:lstStyle/>
          <a:p>
            <a:pPr>
              <a:defRPr sz="845" b="1" i="0" u="none" strike="noStrike" baseline="0">
                <a:solidFill>
                  <a:srgbClr val="000000"/>
                </a:solidFill>
                <a:latin typeface="Times New Roman"/>
                <a:ea typeface="Times New Roman"/>
                <a:cs typeface="Times New Roman"/>
              </a:defRPr>
            </a:pPr>
            <a:endParaRPr lang="ru-RU"/>
          </a:p>
        </c:txPr>
      </c:legendEntry>
      <c:layout>
        <c:manualLayout>
          <c:xMode val="edge"/>
          <c:yMode val="edge"/>
          <c:x val="9.048147457710376E-2"/>
          <c:y val="0.82883471425836386"/>
          <c:w val="0.85653499521140164"/>
          <c:h val="0.16364131039440932"/>
        </c:manualLayout>
      </c:layout>
      <c:overlay val="0"/>
      <c:spPr>
        <a:noFill/>
        <a:ln w="25389">
          <a:noFill/>
        </a:ln>
      </c:spPr>
      <c:txPr>
        <a:bodyPr/>
        <a:lstStyle/>
        <a:p>
          <a:pPr>
            <a:defRPr sz="845"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chemeClr val="bg1"/>
    </a:solidFill>
    <a:ln>
      <a:noFill/>
    </a:ln>
    <a:effectLst/>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150"/>
      <c:rAngAx val="0"/>
      <c:perspective val="30"/>
    </c:view3D>
    <c:floor>
      <c:thickness val="0"/>
    </c:floor>
    <c:sideWall>
      <c:thickness val="0"/>
    </c:sideWall>
    <c:backWall>
      <c:thickness val="0"/>
    </c:backWall>
    <c:plotArea>
      <c:layout>
        <c:manualLayout>
          <c:layoutTarget val="inner"/>
          <c:xMode val="edge"/>
          <c:yMode val="edge"/>
          <c:x val="3.9829605295806307E-2"/>
          <c:y val="8.1271985380310843E-2"/>
          <c:w val="0.960170385097599"/>
          <c:h val="0.68480085503115795"/>
        </c:manualLayout>
      </c:layout>
      <c:pie3DChart>
        <c:varyColors val="1"/>
        <c:ser>
          <c:idx val="0"/>
          <c:order val="0"/>
          <c:explosion val="25"/>
          <c:dPt>
            <c:idx val="0"/>
            <c:bubble3D val="0"/>
            <c:spPr>
              <a:solidFill>
                <a:srgbClr val="7030A0"/>
              </a:solidFill>
              <a:ln w="25272">
                <a:solidFill>
                  <a:srgbClr val="7030A0"/>
                </a:solidFill>
              </a:ln>
              <a:effectLst/>
              <a:sp3d contourW="25400">
                <a:contourClr>
                  <a:srgbClr val="7030A0"/>
                </a:contourClr>
              </a:sp3d>
            </c:spPr>
          </c:dPt>
          <c:dPt>
            <c:idx val="1"/>
            <c:bubble3D val="0"/>
            <c:spPr>
              <a:solidFill>
                <a:schemeClr val="accent2">
                  <a:lumMod val="75000"/>
                </a:schemeClr>
              </a:solidFill>
              <a:ln w="25272">
                <a:solidFill>
                  <a:schemeClr val="accent6">
                    <a:lumMod val="50000"/>
                  </a:schemeClr>
                </a:solidFill>
              </a:ln>
              <a:effectLst/>
              <a:sp3d contourW="25400">
                <a:contourClr>
                  <a:schemeClr val="accent6">
                    <a:lumMod val="50000"/>
                  </a:schemeClr>
                </a:contourClr>
              </a:sp3d>
            </c:spPr>
          </c:dPt>
          <c:dPt>
            <c:idx val="2"/>
            <c:bubble3D val="0"/>
            <c:spPr>
              <a:solidFill>
                <a:srgbClr val="92D050"/>
              </a:solidFill>
              <a:ln w="25272">
                <a:solidFill>
                  <a:srgbClr val="92D050"/>
                </a:solidFill>
              </a:ln>
              <a:effectLst/>
              <a:sp3d contourW="25400">
                <a:contourClr>
                  <a:srgbClr val="92D050"/>
                </a:contourClr>
              </a:sp3d>
            </c:spPr>
          </c:dPt>
          <c:dLbls>
            <c:dLbl>
              <c:idx val="0"/>
              <c:layout>
                <c:manualLayout>
                  <c:x val="-2.6447107087356148E-2"/>
                  <c:y val="-6.4600970540565308E-2"/>
                </c:manualLayout>
              </c:layout>
              <c:dLblPos val="bestFit"/>
              <c:showLegendKey val="0"/>
              <c:showVal val="1"/>
              <c:showCatName val="0"/>
              <c:showSerName val="0"/>
              <c:showPercent val="0"/>
              <c:showBubbleSize val="0"/>
            </c:dLbl>
            <c:dLbl>
              <c:idx val="1"/>
              <c:layout>
                <c:manualLayout>
                  <c:x val="4.4515441212959986E-2"/>
                  <c:y val="-3.3751747081754421E-2"/>
                </c:manualLayout>
              </c:layout>
              <c:dLblPos val="bestFit"/>
              <c:showLegendKey val="0"/>
              <c:showVal val="1"/>
              <c:showCatName val="0"/>
              <c:showSerName val="0"/>
              <c:showPercent val="0"/>
              <c:showBubbleSize val="0"/>
            </c:dLbl>
            <c:dLbl>
              <c:idx val="2"/>
              <c:layout>
                <c:manualLayout>
                  <c:x val="-0.11948881588741891"/>
                  <c:y val="2.7732193875790873E-2"/>
                </c:manualLayout>
              </c:layout>
              <c:dLblPos val="bestFit"/>
              <c:showLegendKey val="0"/>
              <c:showVal val="1"/>
              <c:showCatName val="0"/>
              <c:showSerName val="0"/>
              <c:showPercent val="0"/>
              <c:showBubbleSize val="0"/>
            </c:dLbl>
            <c:dLbl>
              <c:idx val="3"/>
              <c:layout>
                <c:manualLayout>
                  <c:x val="3.0457933461498939E-2"/>
                  <c:y val="2.7732193875790873E-2"/>
                </c:manualLayout>
              </c:layout>
              <c:dLblPos val="bestFit"/>
              <c:showLegendKey val="0"/>
              <c:showVal val="1"/>
              <c:showCatName val="0"/>
              <c:showSerName val="0"/>
              <c:showPercent val="0"/>
              <c:showBubbleSize val="0"/>
            </c:dLbl>
            <c:spPr>
              <a:noFill/>
              <a:ln w="25272">
                <a:noFill/>
              </a:ln>
            </c:spPr>
            <c:txPr>
              <a:bodyPr/>
              <a:lstStyle/>
              <a:p>
                <a:pPr>
                  <a:defRPr sz="1194" b="1" i="0" u="none" strike="noStrike" baseline="0">
                    <a:solidFill>
                      <a:srgbClr val="333333"/>
                    </a:solidFill>
                    <a:latin typeface="Times New Roman"/>
                    <a:ea typeface="Times New Roman"/>
                    <a:cs typeface="Times New Roman"/>
                  </a:defRPr>
                </a:pPr>
                <a:endParaRPr lang="ru-RU"/>
              </a:p>
            </c:txPr>
            <c:dLblPos val="outEnd"/>
            <c:showLegendKey val="0"/>
            <c:showVal val="1"/>
            <c:showCatName val="0"/>
            <c:showSerName val="0"/>
            <c:showPercent val="0"/>
            <c:showBubbleSize val="0"/>
            <c:showLeaderLines val="1"/>
            <c:leaderLines>
              <c:spPr>
                <a:ln w="9477" cap="flat" cmpd="sng" algn="ctr">
                  <a:solidFill>
                    <a:schemeClr val="tx1">
                      <a:lumMod val="35000"/>
                      <a:lumOff val="65000"/>
                    </a:schemeClr>
                  </a:solidFill>
                  <a:round/>
                </a:ln>
                <a:effectLst/>
              </c:spPr>
            </c:leaderLines>
          </c:dLbls>
          <c:cat>
            <c:strRef>
              <c:f>Лист1!$B$18:$B$20</c:f>
              <c:strCache>
                <c:ptCount val="3"/>
                <c:pt idx="0">
                  <c:v>Электронный аукцион</c:v>
                </c:pt>
                <c:pt idx="1">
                  <c:v>Электронный конкурс </c:v>
                </c:pt>
                <c:pt idx="2">
                  <c:v>Электронный запрос котировок</c:v>
                </c:pt>
              </c:strCache>
            </c:strRef>
          </c:cat>
          <c:val>
            <c:numRef>
              <c:f>Лист1!$C$18:$C$20</c:f>
              <c:numCache>
                <c:formatCode>0.0%</c:formatCode>
                <c:ptCount val="3"/>
                <c:pt idx="0">
                  <c:v>0.82199999999999995</c:v>
                </c:pt>
                <c:pt idx="1">
                  <c:v>0.187</c:v>
                </c:pt>
                <c:pt idx="2">
                  <c:v>0</c:v>
                </c:pt>
              </c:numCache>
            </c:numRef>
          </c:val>
        </c:ser>
        <c:dLbls>
          <c:showLegendKey val="0"/>
          <c:showVal val="0"/>
          <c:showCatName val="0"/>
          <c:showSerName val="0"/>
          <c:showPercent val="0"/>
          <c:showBubbleSize val="0"/>
          <c:showLeaderLines val="1"/>
        </c:dLbls>
      </c:pie3DChart>
      <c:spPr>
        <a:noFill/>
        <a:ln w="25272">
          <a:noFill/>
        </a:ln>
      </c:spPr>
    </c:plotArea>
    <c:legend>
      <c:legendPos val="b"/>
      <c:legendEntry>
        <c:idx val="2"/>
        <c:txPr>
          <a:bodyPr/>
          <a:lstStyle/>
          <a:p>
            <a:pPr>
              <a:defRPr sz="915" b="1" i="0" u="none" strike="noStrike" baseline="0">
                <a:solidFill>
                  <a:srgbClr val="000000"/>
                </a:solidFill>
                <a:latin typeface="Times New Roman"/>
                <a:ea typeface="Times New Roman"/>
                <a:cs typeface="Times New Roman"/>
              </a:defRPr>
            </a:pPr>
            <a:endParaRPr lang="ru-RU"/>
          </a:p>
        </c:txPr>
      </c:legendEntry>
      <c:layout>
        <c:manualLayout>
          <c:xMode val="edge"/>
          <c:yMode val="edge"/>
          <c:x val="4.237652053788498E-2"/>
          <c:y val="0.78969637218214528"/>
          <c:w val="0.91970572099989745"/>
          <c:h val="0.13965705472114098"/>
        </c:manualLayout>
      </c:layout>
      <c:overlay val="0"/>
      <c:spPr>
        <a:noFill/>
        <a:ln w="25272">
          <a:noFill/>
        </a:ln>
      </c:spPr>
      <c:txPr>
        <a:bodyPr/>
        <a:lstStyle/>
        <a:p>
          <a:pPr>
            <a:defRPr sz="915"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chemeClr val="bg1"/>
    </a:solidFill>
    <a:ln>
      <a:noFill/>
    </a:ln>
    <a:effectLst/>
  </c:spPr>
  <c:txPr>
    <a:bodyPr/>
    <a:lstStyle/>
    <a:p>
      <a:pPr>
        <a:defRPr sz="995" b="0"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630978419364247"/>
          <c:y val="4.4057617797775277E-2"/>
          <c:w val="0.7007514946048411"/>
          <c:h val="0.80413042119735034"/>
        </c:manualLayout>
      </c:layout>
      <c:barChart>
        <c:barDir val="col"/>
        <c:grouping val="stacked"/>
        <c:varyColors val="0"/>
        <c:ser>
          <c:idx val="0"/>
          <c:order val="0"/>
          <c:tx>
            <c:strRef>
              <c:f>Лист1!$B$1</c:f>
              <c:strCache>
                <c:ptCount val="1"/>
                <c:pt idx="0">
                  <c:v>Состоялось</c:v>
                </c:pt>
              </c:strCache>
            </c:strRef>
          </c:tx>
          <c:invertIfNegative val="0"/>
          <c:dLbls>
            <c:dLbl>
              <c:idx val="2"/>
              <c:delete val="1"/>
            </c:dLbl>
            <c:txPr>
              <a:bodyPr/>
              <a:lstStyle/>
              <a:p>
                <a:pPr>
                  <a:defRPr sz="1100" b="1"/>
                </a:pPr>
                <a:endParaRPr lang="ru-RU"/>
              </a:p>
            </c:txPr>
            <c:showLegendKey val="0"/>
            <c:showVal val="1"/>
            <c:showCatName val="0"/>
            <c:showSerName val="0"/>
            <c:showPercent val="0"/>
            <c:showBubbleSize val="0"/>
            <c:showLeaderLines val="0"/>
          </c:dLbls>
          <c:cat>
            <c:strRef>
              <c:f>Лист1!$A$2:$A$4</c:f>
              <c:strCache>
                <c:ptCount val="3"/>
                <c:pt idx="0">
                  <c:v>Электронный аукцион</c:v>
                </c:pt>
                <c:pt idx="1">
                  <c:v>Конкурс</c:v>
                </c:pt>
                <c:pt idx="2">
                  <c:v>Запрос котировок</c:v>
                </c:pt>
              </c:strCache>
            </c:strRef>
          </c:cat>
          <c:val>
            <c:numRef>
              <c:f>Лист1!$B$2:$B$4</c:f>
              <c:numCache>
                <c:formatCode>0.0%</c:formatCode>
                <c:ptCount val="3"/>
                <c:pt idx="0">
                  <c:v>0.29599999999999999</c:v>
                </c:pt>
                <c:pt idx="1">
                  <c:v>0.125</c:v>
                </c:pt>
                <c:pt idx="2">
                  <c:v>0</c:v>
                </c:pt>
              </c:numCache>
            </c:numRef>
          </c:val>
        </c:ser>
        <c:ser>
          <c:idx val="1"/>
          <c:order val="1"/>
          <c:tx>
            <c:strRef>
              <c:f>Лист1!$C$1</c:f>
              <c:strCache>
                <c:ptCount val="1"/>
                <c:pt idx="0">
                  <c:v>Не состоялось</c:v>
                </c:pt>
              </c:strCache>
            </c:strRef>
          </c:tx>
          <c:invertIfNegative val="0"/>
          <c:dLbls>
            <c:dLbl>
              <c:idx val="2"/>
              <c:layout>
                <c:manualLayout>
                  <c:x val="-2.1305675546770798E-3"/>
                  <c:y val="-5.0189379281863754E-2"/>
                </c:manualLayout>
              </c:layout>
              <c:showLegendKey val="0"/>
              <c:showVal val="1"/>
              <c:showCatName val="0"/>
              <c:showSerName val="0"/>
              <c:showPercent val="0"/>
              <c:showBubbleSize val="0"/>
            </c:dLbl>
            <c:txPr>
              <a:bodyPr/>
              <a:lstStyle/>
              <a:p>
                <a:pPr>
                  <a:defRPr sz="1100" b="1"/>
                </a:pPr>
                <a:endParaRPr lang="ru-RU"/>
              </a:p>
            </c:txPr>
            <c:showLegendKey val="0"/>
            <c:showVal val="1"/>
            <c:showCatName val="0"/>
            <c:showSerName val="0"/>
            <c:showPercent val="0"/>
            <c:showBubbleSize val="0"/>
            <c:showLeaderLines val="0"/>
          </c:dLbls>
          <c:cat>
            <c:strRef>
              <c:f>Лист1!$A$2:$A$4</c:f>
              <c:strCache>
                <c:ptCount val="3"/>
                <c:pt idx="0">
                  <c:v>Электронный аукцион</c:v>
                </c:pt>
                <c:pt idx="1">
                  <c:v>Конкурс</c:v>
                </c:pt>
                <c:pt idx="2">
                  <c:v>Запрос котировок</c:v>
                </c:pt>
              </c:strCache>
            </c:strRef>
          </c:cat>
          <c:val>
            <c:numRef>
              <c:f>Лист1!$C$2:$C$4</c:f>
              <c:numCache>
                <c:formatCode>0.0%</c:formatCode>
                <c:ptCount val="3"/>
                <c:pt idx="0">
                  <c:v>0.70399999999999996</c:v>
                </c:pt>
                <c:pt idx="1">
                  <c:v>0.875</c:v>
                </c:pt>
                <c:pt idx="2">
                  <c:v>0</c:v>
                </c:pt>
              </c:numCache>
            </c:numRef>
          </c:val>
        </c:ser>
        <c:dLbls>
          <c:showLegendKey val="0"/>
          <c:showVal val="0"/>
          <c:showCatName val="0"/>
          <c:showSerName val="0"/>
          <c:showPercent val="0"/>
          <c:showBubbleSize val="0"/>
        </c:dLbls>
        <c:gapWidth val="150"/>
        <c:overlap val="100"/>
        <c:axId val="141436032"/>
        <c:axId val="141437568"/>
      </c:barChart>
      <c:catAx>
        <c:axId val="141436032"/>
        <c:scaling>
          <c:orientation val="minMax"/>
        </c:scaling>
        <c:delete val="0"/>
        <c:axPos val="b"/>
        <c:majorTickMark val="out"/>
        <c:minorTickMark val="none"/>
        <c:tickLblPos val="nextTo"/>
        <c:txPr>
          <a:bodyPr/>
          <a:lstStyle/>
          <a:p>
            <a:pPr>
              <a:defRPr b="1"/>
            </a:pPr>
            <a:endParaRPr lang="ru-RU"/>
          </a:p>
        </c:txPr>
        <c:crossAx val="141437568"/>
        <c:crosses val="autoZero"/>
        <c:auto val="1"/>
        <c:lblAlgn val="ctr"/>
        <c:lblOffset val="100"/>
        <c:noMultiLvlLbl val="0"/>
      </c:catAx>
      <c:valAx>
        <c:axId val="141437568"/>
        <c:scaling>
          <c:orientation val="minMax"/>
          <c:max val="1"/>
        </c:scaling>
        <c:delete val="0"/>
        <c:axPos val="l"/>
        <c:majorGridlines/>
        <c:numFmt formatCode="0.0%" sourceLinked="1"/>
        <c:majorTickMark val="out"/>
        <c:minorTickMark val="none"/>
        <c:tickLblPos val="nextTo"/>
        <c:txPr>
          <a:bodyPr/>
          <a:lstStyle/>
          <a:p>
            <a:pPr>
              <a:defRPr b="1"/>
            </a:pPr>
            <a:endParaRPr lang="ru-RU"/>
          </a:p>
        </c:txPr>
        <c:crossAx val="141436032"/>
        <c:crosses val="autoZero"/>
        <c:crossBetween val="between"/>
      </c:valAx>
    </c:plotArea>
    <c:legend>
      <c:legendPos val="r"/>
      <c:layout>
        <c:manualLayout>
          <c:xMode val="edge"/>
          <c:yMode val="edge"/>
          <c:x val="0.82789461213181681"/>
          <c:y val="0.32109955005624297"/>
          <c:w val="0.15821649897929427"/>
          <c:h val="0.31018185226846645"/>
        </c:manualLayout>
      </c:layout>
      <c:overlay val="0"/>
      <c:txPr>
        <a:bodyPr/>
        <a:lstStyle/>
        <a:p>
          <a:pPr>
            <a:defRPr b="1"/>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230"/>
      <c:rAngAx val="0"/>
      <c:perspective val="30"/>
    </c:view3D>
    <c:floor>
      <c:thickness val="0"/>
    </c:floor>
    <c:sideWall>
      <c:thickness val="0"/>
    </c:sideWall>
    <c:backWall>
      <c:thickness val="0"/>
    </c:backWall>
    <c:plotArea>
      <c:layout>
        <c:manualLayout>
          <c:layoutTarget val="inner"/>
          <c:xMode val="edge"/>
          <c:yMode val="edge"/>
          <c:x val="0"/>
          <c:y val="2.4125524263064371E-2"/>
          <c:w val="1"/>
          <c:h val="0.71758912104518724"/>
        </c:manualLayout>
      </c:layout>
      <c:pie3DChart>
        <c:varyColors val="1"/>
        <c:ser>
          <c:idx val="0"/>
          <c:order val="0"/>
          <c:explosion val="24"/>
          <c:dPt>
            <c:idx val="0"/>
            <c:bubble3D val="0"/>
            <c:spPr>
              <a:solidFill>
                <a:srgbClr val="7030A0"/>
              </a:solidFill>
              <a:ln w="25263">
                <a:solidFill>
                  <a:srgbClr val="7030A0"/>
                </a:solidFill>
              </a:ln>
              <a:effectLst/>
              <a:sp3d contourW="25400">
                <a:contourClr>
                  <a:srgbClr val="7030A0"/>
                </a:contourClr>
              </a:sp3d>
            </c:spPr>
          </c:dPt>
          <c:dPt>
            <c:idx val="1"/>
            <c:bubble3D val="0"/>
            <c:spPr>
              <a:solidFill>
                <a:schemeClr val="accent2">
                  <a:lumMod val="75000"/>
                </a:schemeClr>
              </a:solidFill>
              <a:ln w="25263">
                <a:solidFill>
                  <a:schemeClr val="accent6">
                    <a:lumMod val="50000"/>
                  </a:schemeClr>
                </a:solidFill>
              </a:ln>
              <a:effectLst/>
              <a:sp3d contourW="25400">
                <a:contourClr>
                  <a:schemeClr val="accent6">
                    <a:lumMod val="50000"/>
                  </a:schemeClr>
                </a:contourClr>
              </a:sp3d>
            </c:spPr>
          </c:dPt>
          <c:dPt>
            <c:idx val="2"/>
            <c:bubble3D val="0"/>
            <c:spPr>
              <a:solidFill>
                <a:srgbClr val="92D050"/>
              </a:solidFill>
              <a:ln w="25263">
                <a:solidFill>
                  <a:srgbClr val="92D050"/>
                </a:solidFill>
              </a:ln>
              <a:effectLst/>
              <a:sp3d contourW="25400">
                <a:contourClr>
                  <a:srgbClr val="92D050"/>
                </a:contourClr>
              </a:sp3d>
            </c:spPr>
          </c:dPt>
          <c:dPt>
            <c:idx val="3"/>
            <c:bubble3D val="0"/>
            <c:spPr>
              <a:solidFill>
                <a:srgbClr val="FFFF00"/>
              </a:solidFill>
              <a:ln w="25263">
                <a:solidFill>
                  <a:srgbClr val="FFFF00"/>
                </a:solidFill>
                <a:prstDash val="solid"/>
              </a:ln>
            </c:spPr>
          </c:dPt>
          <c:dPt>
            <c:idx val="4"/>
            <c:bubble3D val="0"/>
            <c:spPr>
              <a:solidFill>
                <a:srgbClr val="0070C0"/>
              </a:solidFill>
              <a:ln w="25263">
                <a:solidFill>
                  <a:srgbClr val="0070C0"/>
                </a:solidFill>
              </a:ln>
              <a:effectLst/>
              <a:sp3d contourW="25400">
                <a:contourClr>
                  <a:srgbClr val="0070C0"/>
                </a:contourClr>
              </a:sp3d>
            </c:spPr>
          </c:dPt>
          <c:dPt>
            <c:idx val="5"/>
            <c:bubble3D val="0"/>
          </c:dPt>
          <c:dLbls>
            <c:dLbl>
              <c:idx val="1"/>
              <c:layout>
                <c:manualLayout>
                  <c:x val="-1.4912564891392829E-3"/>
                  <c:y val="1.5715771615802582E-2"/>
                </c:manualLayout>
              </c:layout>
              <c:dLblPos val="bestFit"/>
              <c:showLegendKey val="0"/>
              <c:showVal val="1"/>
              <c:showCatName val="0"/>
              <c:showSerName val="0"/>
              <c:showPercent val="0"/>
              <c:showBubbleSize val="0"/>
            </c:dLbl>
            <c:dLbl>
              <c:idx val="2"/>
              <c:layout>
                <c:manualLayout>
                  <c:x val="-0.10308839017738103"/>
                  <c:y val="2.7316080537285934E-2"/>
                </c:manualLayout>
              </c:layout>
              <c:dLblPos val="bestFit"/>
              <c:showLegendKey val="0"/>
              <c:showVal val="1"/>
              <c:showCatName val="0"/>
              <c:showSerName val="0"/>
              <c:showPercent val="0"/>
              <c:showBubbleSize val="0"/>
            </c:dLbl>
            <c:dLbl>
              <c:idx val="3"/>
              <c:layout>
                <c:manualLayout>
                  <c:x val="-4.2883105419991033E-2"/>
                  <c:y val="7.3947231213459766E-2"/>
                </c:manualLayout>
              </c:layout>
              <c:dLblPos val="bestFit"/>
              <c:showLegendKey val="0"/>
              <c:showVal val="1"/>
              <c:showCatName val="0"/>
              <c:showSerName val="0"/>
              <c:showPercent val="0"/>
              <c:showBubbleSize val="0"/>
            </c:dLbl>
            <c:dLbl>
              <c:idx val="4"/>
              <c:layout>
                <c:manualLayout>
                  <c:x val="9.3714873525783445E-3"/>
                  <c:y val="-1.4217135679091912E-2"/>
                </c:manualLayout>
              </c:layout>
              <c:dLblPos val="bestFit"/>
              <c:showLegendKey val="0"/>
              <c:showVal val="1"/>
              <c:showCatName val="0"/>
              <c:showSerName val="0"/>
              <c:showPercent val="0"/>
              <c:showBubbleSize val="0"/>
            </c:dLbl>
            <c:dLbl>
              <c:idx val="6"/>
              <c:layout>
                <c:manualLayout>
                  <c:x val="1.3631687196786643E-2"/>
                  <c:y val="-0.26217654702953919"/>
                </c:manualLayout>
              </c:layout>
              <c:dLblPos val="bestFit"/>
              <c:showLegendKey val="0"/>
              <c:showVal val="1"/>
              <c:showCatName val="0"/>
              <c:showSerName val="0"/>
              <c:showPercent val="0"/>
              <c:showBubbleSize val="0"/>
            </c:dLbl>
            <c:spPr>
              <a:noFill/>
              <a:ln w="25263">
                <a:noFill/>
              </a:ln>
            </c:spPr>
            <c:txPr>
              <a:bodyPr/>
              <a:lstStyle/>
              <a:p>
                <a:pPr>
                  <a:defRPr sz="1094" b="1" i="0" u="none" strike="noStrike" baseline="0">
                    <a:solidFill>
                      <a:srgbClr val="333333"/>
                    </a:solidFill>
                    <a:latin typeface="Times New Roman"/>
                    <a:ea typeface="Times New Roman"/>
                    <a:cs typeface="Times New Roman"/>
                  </a:defRPr>
                </a:pPr>
                <a:endParaRPr lang="ru-RU"/>
              </a:p>
            </c:txPr>
            <c:dLblPos val="outEnd"/>
            <c:showLegendKey val="0"/>
            <c:showVal val="1"/>
            <c:showCatName val="0"/>
            <c:showSerName val="0"/>
            <c:showPercent val="0"/>
            <c:showBubbleSize val="0"/>
            <c:showLeaderLines val="1"/>
            <c:leaderLines>
              <c:spPr>
                <a:ln w="9474" cap="flat" cmpd="sng" algn="ctr">
                  <a:solidFill>
                    <a:schemeClr val="tx1">
                      <a:lumMod val="35000"/>
                      <a:lumOff val="65000"/>
                    </a:schemeClr>
                  </a:solidFill>
                  <a:round/>
                </a:ln>
                <a:effectLst/>
              </c:spPr>
            </c:leaderLines>
          </c:dLbls>
          <c:cat>
            <c:strRef>
              <c:f>Лист1!$B$18:$B$24</c:f>
              <c:strCache>
                <c:ptCount val="7"/>
                <c:pt idx="0">
                  <c:v>Пункт 1 часть 1 статья 93 - 84,0 тыс. руб./2 ед</c:v>
                </c:pt>
                <c:pt idx="1">
                  <c:v>Пункт 2 часть 1 статья 93 - 312 424,6 тыс. руб./15 ед</c:v>
                </c:pt>
                <c:pt idx="2">
                  <c:v>Пункт 6 часть 1 статья 93 - 6 180,4 тыс. руб./7 ед</c:v>
                </c:pt>
                <c:pt idx="3">
                  <c:v>Пункт 8 часть 1 статья 93 - 9 244,1 тыс. руб. /31 ед</c:v>
                </c:pt>
                <c:pt idx="4">
                  <c:v>Пункт 22 часть 1 статья 93 - 2 078,7 тыс. руб./17 ед</c:v>
                </c:pt>
                <c:pt idx="5">
                  <c:v>Пункт 23 часть 1 статья 93 - 126,3 тыс. руб./2 ед</c:v>
                </c:pt>
                <c:pt idx="6">
                  <c:v>Пункт 29 часть 1 статья 93 - 26 325,2 тыс. руб./13 ед</c:v>
                </c:pt>
              </c:strCache>
            </c:strRef>
          </c:cat>
          <c:val>
            <c:numRef>
              <c:f>Лист1!$C$18:$C$24</c:f>
              <c:numCache>
                <c:formatCode>0.0%</c:formatCode>
                <c:ptCount val="7"/>
                <c:pt idx="0">
                  <c:v>1.0999999999999999E-2</c:v>
                </c:pt>
                <c:pt idx="1">
                  <c:v>0.08</c:v>
                </c:pt>
                <c:pt idx="2">
                  <c:v>3.6999999999999998E-2</c:v>
                </c:pt>
                <c:pt idx="3">
                  <c:v>0.16500000000000001</c:v>
                </c:pt>
                <c:pt idx="4">
                  <c:v>0.09</c:v>
                </c:pt>
                <c:pt idx="5">
                  <c:v>1.0999999999999999E-2</c:v>
                </c:pt>
                <c:pt idx="6">
                  <c:v>0.14000000000000001</c:v>
                </c:pt>
              </c:numCache>
            </c:numRef>
          </c:val>
        </c:ser>
        <c:dLbls>
          <c:showLegendKey val="0"/>
          <c:showVal val="0"/>
          <c:showCatName val="0"/>
          <c:showSerName val="0"/>
          <c:showPercent val="0"/>
          <c:showBubbleSize val="0"/>
          <c:showLeaderLines val="1"/>
        </c:dLbls>
      </c:pie3DChart>
      <c:spPr>
        <a:noFill/>
        <a:ln w="25263">
          <a:noFill/>
        </a:ln>
      </c:spPr>
    </c:plotArea>
    <c:legend>
      <c:legendPos val="b"/>
      <c:legendEntry>
        <c:idx val="2"/>
        <c:txPr>
          <a:bodyPr/>
          <a:lstStyle/>
          <a:p>
            <a:pPr>
              <a:defRPr sz="840" b="1" i="0" u="none" strike="noStrike" baseline="0">
                <a:solidFill>
                  <a:srgbClr val="000000"/>
                </a:solidFill>
                <a:latin typeface="Times New Roman"/>
                <a:ea typeface="Times New Roman"/>
                <a:cs typeface="Times New Roman"/>
              </a:defRPr>
            </a:pPr>
            <a:endParaRPr lang="ru-RU"/>
          </a:p>
        </c:txPr>
      </c:legendEntry>
      <c:layout>
        <c:manualLayout>
          <c:xMode val="edge"/>
          <c:yMode val="edge"/>
          <c:x val="5.0651856965412072E-2"/>
          <c:y val="0.77979746494458613"/>
          <c:w val="0.91444364645847653"/>
          <c:h val="0.2196748862604774"/>
        </c:manualLayout>
      </c:layout>
      <c:overlay val="0"/>
      <c:spPr>
        <a:noFill/>
        <a:ln w="25263">
          <a:noFill/>
        </a:ln>
      </c:spPr>
      <c:txPr>
        <a:bodyPr/>
        <a:lstStyle/>
        <a:p>
          <a:pPr>
            <a:defRPr sz="84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chemeClr val="bg1"/>
    </a:solidFill>
    <a:ln>
      <a:noFill/>
    </a:ln>
    <a:effectLst/>
  </c:spPr>
  <c:txPr>
    <a:bodyPr/>
    <a:lstStyle/>
    <a:p>
      <a:pPr>
        <a:defRPr sz="995" b="0" i="0" u="none" strike="noStrike" baseline="0">
          <a:solidFill>
            <a:srgbClr val="000000"/>
          </a:solidFill>
          <a:latin typeface="Calibri"/>
          <a:ea typeface="Calibri"/>
          <a:cs typeface="Calibri"/>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180"/>
      <c:rAngAx val="0"/>
      <c:perspective val="30"/>
    </c:view3D>
    <c:floor>
      <c:thickness val="0"/>
    </c:floor>
    <c:sideWall>
      <c:thickness val="0"/>
    </c:sideWall>
    <c:backWall>
      <c:thickness val="0"/>
    </c:backWall>
    <c:plotArea>
      <c:layout>
        <c:manualLayout>
          <c:layoutTarget val="inner"/>
          <c:xMode val="edge"/>
          <c:yMode val="edge"/>
          <c:x val="1.641463080317257E-2"/>
          <c:y val="6.2099082867729104E-2"/>
          <c:w val="0.98358533998104103"/>
          <c:h val="0.62094083665409328"/>
        </c:manualLayout>
      </c:layout>
      <c:pie3DChart>
        <c:varyColors val="1"/>
        <c:ser>
          <c:idx val="0"/>
          <c:order val="0"/>
          <c:explosion val="25"/>
          <c:dPt>
            <c:idx val="0"/>
            <c:bubble3D val="0"/>
            <c:spPr>
              <a:solidFill>
                <a:srgbClr val="7030A0"/>
              </a:solidFill>
              <a:ln w="25263">
                <a:solidFill>
                  <a:srgbClr val="7030A0"/>
                </a:solidFill>
              </a:ln>
              <a:effectLst/>
              <a:sp3d contourW="25400">
                <a:contourClr>
                  <a:srgbClr val="7030A0"/>
                </a:contourClr>
              </a:sp3d>
            </c:spPr>
          </c:dPt>
          <c:dPt>
            <c:idx val="1"/>
            <c:bubble3D val="0"/>
            <c:spPr>
              <a:solidFill>
                <a:schemeClr val="accent2">
                  <a:lumMod val="75000"/>
                </a:schemeClr>
              </a:solidFill>
              <a:ln w="25263">
                <a:solidFill>
                  <a:schemeClr val="accent6">
                    <a:lumMod val="50000"/>
                  </a:schemeClr>
                </a:solidFill>
              </a:ln>
              <a:effectLst/>
              <a:sp3d contourW="25400">
                <a:contourClr>
                  <a:schemeClr val="accent6">
                    <a:lumMod val="50000"/>
                  </a:schemeClr>
                </a:contourClr>
              </a:sp3d>
            </c:spPr>
          </c:dPt>
          <c:dPt>
            <c:idx val="2"/>
            <c:bubble3D val="0"/>
            <c:spPr>
              <a:solidFill>
                <a:srgbClr val="92D050"/>
              </a:solidFill>
              <a:ln w="25263">
                <a:solidFill>
                  <a:srgbClr val="92D050"/>
                </a:solidFill>
              </a:ln>
              <a:effectLst/>
              <a:sp3d contourW="25400">
                <a:contourClr>
                  <a:srgbClr val="92D050"/>
                </a:contourClr>
              </a:sp3d>
            </c:spPr>
          </c:dPt>
          <c:dPt>
            <c:idx val="3"/>
            <c:bubble3D val="0"/>
            <c:spPr>
              <a:solidFill>
                <a:srgbClr val="FFFF00"/>
              </a:solidFill>
              <a:ln w="25263">
                <a:solidFill>
                  <a:srgbClr val="FFFF00"/>
                </a:solidFill>
                <a:prstDash val="solid"/>
              </a:ln>
            </c:spPr>
          </c:dPt>
          <c:dPt>
            <c:idx val="4"/>
            <c:bubble3D val="0"/>
            <c:explosion val="20"/>
            <c:spPr>
              <a:solidFill>
                <a:srgbClr val="0070C0"/>
              </a:solidFill>
              <a:ln w="25263">
                <a:solidFill>
                  <a:srgbClr val="0070C0"/>
                </a:solidFill>
              </a:ln>
              <a:effectLst/>
              <a:sp3d contourW="25400">
                <a:contourClr>
                  <a:srgbClr val="0070C0"/>
                </a:contourClr>
              </a:sp3d>
            </c:spPr>
          </c:dPt>
          <c:dLbls>
            <c:dLbl>
              <c:idx val="1"/>
              <c:layout>
                <c:manualLayout>
                  <c:x val="3.6385626494646888E-3"/>
                  <c:y val="-0.13396747153499072"/>
                </c:manualLayout>
              </c:layout>
              <c:dLblPos val="bestFit"/>
              <c:showLegendKey val="0"/>
              <c:showVal val="1"/>
              <c:showCatName val="0"/>
              <c:showSerName val="0"/>
              <c:showPercent val="0"/>
              <c:showBubbleSize val="0"/>
            </c:dLbl>
            <c:dLbl>
              <c:idx val="2"/>
              <c:delete val="1"/>
            </c:dLbl>
            <c:spPr>
              <a:noFill/>
              <a:ln w="25263">
                <a:noFill/>
              </a:ln>
            </c:spPr>
            <c:txPr>
              <a:bodyPr/>
              <a:lstStyle/>
              <a:p>
                <a:pPr>
                  <a:defRPr sz="1094" b="1" i="0" u="none" strike="noStrike" baseline="0">
                    <a:solidFill>
                      <a:srgbClr val="333333"/>
                    </a:solidFill>
                    <a:latin typeface="Times New Roman"/>
                    <a:ea typeface="Times New Roman"/>
                    <a:cs typeface="Times New Roman"/>
                  </a:defRPr>
                </a:pPr>
                <a:endParaRPr lang="ru-RU"/>
              </a:p>
            </c:txPr>
            <c:dLblPos val="outEnd"/>
            <c:showLegendKey val="0"/>
            <c:showVal val="1"/>
            <c:showCatName val="0"/>
            <c:showSerName val="0"/>
            <c:showPercent val="0"/>
            <c:showBubbleSize val="0"/>
            <c:showLeaderLines val="1"/>
            <c:leaderLines>
              <c:spPr>
                <a:ln w="9474" cap="flat" cmpd="sng" algn="ctr">
                  <a:solidFill>
                    <a:schemeClr val="tx1">
                      <a:lumMod val="35000"/>
                      <a:lumOff val="65000"/>
                    </a:schemeClr>
                  </a:solidFill>
                  <a:round/>
                </a:ln>
                <a:effectLst/>
              </c:spPr>
            </c:leaderLines>
          </c:dLbls>
          <c:cat>
            <c:strRef>
              <c:f>Лист1!$B$18:$B$22</c:f>
              <c:strCache>
                <c:ptCount val="5"/>
                <c:pt idx="0">
                  <c:v>Электронный аукцион - 46 шт</c:v>
                </c:pt>
                <c:pt idx="1">
                  <c:v>Электронный конкурс - 1 шт</c:v>
                </c:pt>
                <c:pt idx="2">
                  <c:v>Электронный запрос котировок - 0 шт</c:v>
                </c:pt>
                <c:pt idx="3">
                  <c:v>Несостоявщиеся конкурентные закупки (Пункт 25 ч.1 ст. 93) - 101шт</c:v>
                </c:pt>
                <c:pt idx="4">
                  <c:v>Закупки у единственного поставщика - 87 шт</c:v>
                </c:pt>
              </c:strCache>
            </c:strRef>
          </c:cat>
          <c:val>
            <c:numRef>
              <c:f>Лист1!$C$18:$C$22</c:f>
              <c:numCache>
                <c:formatCode>0.0%</c:formatCode>
                <c:ptCount val="5"/>
                <c:pt idx="0">
                  <c:v>0.13900000000000001</c:v>
                </c:pt>
                <c:pt idx="1">
                  <c:v>2.0000000000000001E-4</c:v>
                </c:pt>
                <c:pt idx="2">
                  <c:v>0</c:v>
                </c:pt>
                <c:pt idx="3">
                  <c:v>0.47299999999999998</c:v>
                </c:pt>
                <c:pt idx="4">
                  <c:v>0.38800000000000001</c:v>
                </c:pt>
              </c:numCache>
            </c:numRef>
          </c:val>
        </c:ser>
        <c:dLbls>
          <c:showLegendKey val="0"/>
          <c:showVal val="0"/>
          <c:showCatName val="0"/>
          <c:showSerName val="0"/>
          <c:showPercent val="0"/>
          <c:showBubbleSize val="0"/>
          <c:showLeaderLines val="1"/>
        </c:dLbls>
      </c:pie3DChart>
      <c:spPr>
        <a:noFill/>
        <a:ln w="25263">
          <a:noFill/>
        </a:ln>
      </c:spPr>
    </c:plotArea>
    <c:legend>
      <c:legendPos val="b"/>
      <c:legendEntry>
        <c:idx val="2"/>
        <c:txPr>
          <a:bodyPr/>
          <a:lstStyle/>
          <a:p>
            <a:pPr>
              <a:defRPr sz="915" b="1" i="0" u="none" strike="noStrike" baseline="0">
                <a:solidFill>
                  <a:srgbClr val="000000"/>
                </a:solidFill>
                <a:latin typeface="Times New Roman"/>
                <a:ea typeface="Times New Roman"/>
                <a:cs typeface="Times New Roman"/>
              </a:defRPr>
            </a:pPr>
            <a:endParaRPr lang="ru-RU"/>
          </a:p>
        </c:txPr>
      </c:legendEntry>
      <c:layout>
        <c:manualLayout>
          <c:xMode val="edge"/>
          <c:yMode val="edge"/>
          <c:x val="3.0494645325574277E-2"/>
          <c:y val="0.70367494014038301"/>
          <c:w val="0.92904150119424256"/>
          <c:h val="0.28151355002405543"/>
        </c:manualLayout>
      </c:layout>
      <c:overlay val="0"/>
      <c:spPr>
        <a:noFill/>
        <a:ln w="25263">
          <a:noFill/>
        </a:ln>
      </c:spPr>
      <c:txPr>
        <a:bodyPr/>
        <a:lstStyle/>
        <a:p>
          <a:pPr>
            <a:defRPr sz="915"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chemeClr val="bg1"/>
    </a:solidFill>
    <a:ln>
      <a:noFill/>
    </a:ln>
    <a:effectLst/>
  </c:spPr>
  <c:txPr>
    <a:bodyPr/>
    <a:lstStyle/>
    <a:p>
      <a:pPr>
        <a:defRPr sz="995" b="0"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150"/>
      <c:rAngAx val="0"/>
      <c:perspective val="30"/>
    </c:view3D>
    <c:floor>
      <c:thickness val="0"/>
    </c:floor>
    <c:sideWall>
      <c:thickness val="0"/>
    </c:sideWall>
    <c:backWall>
      <c:thickness val="0"/>
    </c:backWall>
    <c:plotArea>
      <c:layout>
        <c:manualLayout>
          <c:layoutTarget val="inner"/>
          <c:xMode val="edge"/>
          <c:yMode val="edge"/>
          <c:x val="1.641463080317257E-2"/>
          <c:y val="6.2099082867729104E-2"/>
          <c:w val="0.98358548612906971"/>
          <c:h val="0.67998576279433698"/>
        </c:manualLayout>
      </c:layout>
      <c:pie3DChart>
        <c:varyColors val="1"/>
        <c:ser>
          <c:idx val="0"/>
          <c:order val="0"/>
          <c:explosion val="25"/>
          <c:dPt>
            <c:idx val="0"/>
            <c:bubble3D val="0"/>
            <c:spPr>
              <a:solidFill>
                <a:srgbClr val="7030A0"/>
              </a:solidFill>
              <a:ln w="25263">
                <a:solidFill>
                  <a:srgbClr val="7030A0"/>
                </a:solidFill>
              </a:ln>
              <a:effectLst/>
              <a:sp3d contourW="25400">
                <a:contourClr>
                  <a:srgbClr val="7030A0"/>
                </a:contourClr>
              </a:sp3d>
            </c:spPr>
          </c:dPt>
          <c:dPt>
            <c:idx val="1"/>
            <c:bubble3D val="0"/>
            <c:spPr>
              <a:solidFill>
                <a:schemeClr val="accent2">
                  <a:lumMod val="75000"/>
                </a:schemeClr>
              </a:solidFill>
              <a:ln w="25263">
                <a:solidFill>
                  <a:schemeClr val="accent6">
                    <a:lumMod val="50000"/>
                  </a:schemeClr>
                </a:solidFill>
              </a:ln>
              <a:effectLst/>
              <a:sp3d contourW="25400">
                <a:contourClr>
                  <a:schemeClr val="accent6">
                    <a:lumMod val="50000"/>
                  </a:schemeClr>
                </a:contourClr>
              </a:sp3d>
            </c:spPr>
          </c:dPt>
          <c:dLbls>
            <c:dLbl>
              <c:idx val="0"/>
              <c:layout>
                <c:manualLayout>
                  <c:x val="-1.8743343668614732E-2"/>
                  <c:y val="-3.6974792362521824E-2"/>
                </c:manualLayout>
              </c:layout>
              <c:dLblPos val="bestFit"/>
              <c:showLegendKey val="0"/>
              <c:showVal val="1"/>
              <c:showCatName val="0"/>
              <c:showSerName val="0"/>
              <c:showPercent val="0"/>
              <c:showBubbleSize val="0"/>
            </c:dLbl>
            <c:dLbl>
              <c:idx val="1"/>
              <c:layout>
                <c:manualLayout>
                  <c:x val="1.8218078277099935E-2"/>
                  <c:y val="-8.8640871513792872E-3"/>
                </c:manualLayout>
              </c:layout>
              <c:dLblPos val="bestFit"/>
              <c:showLegendKey val="0"/>
              <c:showVal val="1"/>
              <c:showCatName val="0"/>
              <c:showSerName val="0"/>
              <c:showPercent val="0"/>
              <c:showBubbleSize val="0"/>
            </c:dLbl>
            <c:dLbl>
              <c:idx val="2"/>
              <c:layout>
                <c:manualLayout>
                  <c:x val="-1.8346221099541378E-3"/>
                  <c:y val="-0.16211073532083695"/>
                </c:manualLayout>
              </c:layout>
              <c:dLblPos val="bestFit"/>
              <c:showLegendKey val="0"/>
              <c:showVal val="1"/>
              <c:showCatName val="0"/>
              <c:showSerName val="0"/>
              <c:showPercent val="0"/>
              <c:showBubbleSize val="0"/>
            </c:dLbl>
            <c:spPr>
              <a:noFill/>
              <a:ln w="25263">
                <a:noFill/>
              </a:ln>
            </c:spPr>
            <c:txPr>
              <a:bodyPr/>
              <a:lstStyle/>
              <a:p>
                <a:pPr>
                  <a:defRPr sz="1094" b="1" i="0" u="none" strike="noStrike" baseline="0">
                    <a:solidFill>
                      <a:srgbClr val="333333"/>
                    </a:solidFill>
                    <a:latin typeface="Times New Roman"/>
                    <a:ea typeface="Times New Roman"/>
                    <a:cs typeface="Times New Roman"/>
                  </a:defRPr>
                </a:pPr>
                <a:endParaRPr lang="ru-RU"/>
              </a:p>
            </c:txPr>
            <c:dLblPos val="outEnd"/>
            <c:showLegendKey val="0"/>
            <c:showVal val="1"/>
            <c:showCatName val="0"/>
            <c:showSerName val="0"/>
            <c:showPercent val="0"/>
            <c:showBubbleSize val="0"/>
            <c:showLeaderLines val="1"/>
            <c:leaderLines>
              <c:spPr>
                <a:ln w="9474" cap="flat" cmpd="sng" algn="ctr">
                  <a:solidFill>
                    <a:schemeClr val="tx1">
                      <a:lumMod val="35000"/>
                      <a:lumOff val="65000"/>
                    </a:schemeClr>
                  </a:solidFill>
                  <a:round/>
                </a:ln>
                <a:effectLst/>
              </c:spPr>
            </c:leaderLines>
          </c:dLbls>
          <c:cat>
            <c:strRef>
              <c:f>Лист1!$B$18:$B$19</c:f>
              <c:strCache>
                <c:ptCount val="2"/>
                <c:pt idx="0">
                  <c:v>Электронный аукцион - 1 ед</c:v>
                </c:pt>
                <c:pt idx="1">
                  <c:v>Закупки у единственного поставщика - 2 ед</c:v>
                </c:pt>
              </c:strCache>
            </c:strRef>
          </c:cat>
          <c:val>
            <c:numRef>
              <c:f>Лист1!$C$18:$C$19</c:f>
              <c:numCache>
                <c:formatCode>0.0%</c:formatCode>
                <c:ptCount val="2"/>
                <c:pt idx="0">
                  <c:v>0.999</c:v>
                </c:pt>
                <c:pt idx="1">
                  <c:v>1E-3</c:v>
                </c:pt>
              </c:numCache>
            </c:numRef>
          </c:val>
        </c:ser>
        <c:dLbls>
          <c:showLegendKey val="0"/>
          <c:showVal val="0"/>
          <c:showCatName val="0"/>
          <c:showSerName val="0"/>
          <c:showPercent val="0"/>
          <c:showBubbleSize val="0"/>
          <c:showLeaderLines val="1"/>
        </c:dLbls>
      </c:pie3DChart>
      <c:spPr>
        <a:noFill/>
        <a:ln w="25263">
          <a:noFill/>
        </a:ln>
      </c:spPr>
    </c:plotArea>
    <c:legend>
      <c:legendPos val="b"/>
      <c:layout>
        <c:manualLayout>
          <c:xMode val="edge"/>
          <c:yMode val="edge"/>
          <c:x val="3.0494645325574277E-2"/>
          <c:y val="0.70367494014038301"/>
          <c:w val="0.92904150119424256"/>
          <c:h val="0.1643366933652303"/>
        </c:manualLayout>
      </c:layout>
      <c:overlay val="0"/>
      <c:spPr>
        <a:noFill/>
        <a:ln w="25263">
          <a:noFill/>
        </a:ln>
      </c:spPr>
      <c:txPr>
        <a:bodyPr/>
        <a:lstStyle/>
        <a:p>
          <a:pPr>
            <a:defRPr sz="100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chemeClr val="bg1"/>
    </a:solidFill>
    <a:ln>
      <a:noFill/>
    </a:ln>
    <a:effectLst/>
  </c:spPr>
  <c:txPr>
    <a:bodyPr/>
    <a:lstStyle/>
    <a:p>
      <a:pPr>
        <a:defRPr sz="995" b="0"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01B55-396F-45AE-A8FD-A58405117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66</Pages>
  <Words>32351</Words>
  <Characters>184404</Characters>
  <Application>Microsoft Office Word</Application>
  <DocSecurity>0</DocSecurity>
  <Lines>1536</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dc:creator>
  <cp:lastModifiedBy>1</cp:lastModifiedBy>
  <cp:revision>7</cp:revision>
  <cp:lastPrinted>2023-04-14T08:17:00Z</cp:lastPrinted>
  <dcterms:created xsi:type="dcterms:W3CDTF">2023-04-12T07:13:00Z</dcterms:created>
  <dcterms:modified xsi:type="dcterms:W3CDTF">2023-04-14T08:17:00Z</dcterms:modified>
</cp:coreProperties>
</file>