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Приложение 1</w:t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к решению Совета депутатов</w:t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муниципального образования</w:t>
      </w:r>
    </w:p>
    <w:p w:rsidR="001F0E28" w:rsidRDefault="001F0E28" w:rsidP="001F0E28">
      <w:pPr>
        <w:ind w:firstLine="426"/>
        <w:jc w:val="right"/>
      </w:pPr>
      <w:r>
        <w:t>Приозерский муниципальный</w:t>
      </w:r>
      <w:r w:rsidRPr="00617154">
        <w:t xml:space="preserve"> район</w:t>
      </w:r>
    </w:p>
    <w:p w:rsidR="001F0E28" w:rsidRDefault="001F0E28" w:rsidP="001F0E28">
      <w:pPr>
        <w:ind w:firstLine="426"/>
        <w:jc w:val="right"/>
      </w:pPr>
      <w:bookmarkStart w:id="0" w:name="_GoBack"/>
      <w:bookmarkEnd w:id="0"/>
      <w:r>
        <w:t>Ленинградской области</w:t>
      </w:r>
    </w:p>
    <w:p w:rsidR="001F0E28" w:rsidRPr="000A6FAB" w:rsidRDefault="005D1E05" w:rsidP="001F0E28">
      <w:pPr>
        <w:ind w:firstLine="426"/>
        <w:jc w:val="right"/>
        <w:rPr>
          <w:rFonts w:cs="Times New Roman,Bold"/>
          <w:bCs/>
        </w:rPr>
      </w:pPr>
      <w:r>
        <w:t>от 16.02</w:t>
      </w:r>
      <w:r w:rsidR="00431678">
        <w:t>.2021 г. № 82</w:t>
      </w:r>
    </w:p>
    <w:p w:rsidR="005D1E05" w:rsidRPr="000A6FAB" w:rsidRDefault="005D1E05" w:rsidP="001F0E28">
      <w:pPr>
        <w:ind w:firstLine="709"/>
        <w:jc w:val="center"/>
      </w:pPr>
    </w:p>
    <w:p w:rsidR="001F0E28" w:rsidRPr="000A6FAB" w:rsidRDefault="001F0E28" w:rsidP="005D1E05">
      <w:pPr>
        <w:ind w:firstLine="709"/>
        <w:jc w:val="center"/>
        <w:rPr>
          <w:b/>
        </w:rPr>
      </w:pPr>
      <w:r w:rsidRPr="000A6FAB">
        <w:rPr>
          <w:b/>
        </w:rPr>
        <w:t>ОТЧЕТ</w:t>
      </w:r>
    </w:p>
    <w:p w:rsidR="001F0E28" w:rsidRDefault="001F0E28" w:rsidP="001F0E28">
      <w:pPr>
        <w:ind w:firstLine="709"/>
        <w:jc w:val="center"/>
        <w:rPr>
          <w:b/>
        </w:rPr>
      </w:pPr>
      <w:r w:rsidRPr="000A6FAB">
        <w:rPr>
          <w:b/>
        </w:rPr>
        <w:t>О РАБОТЕ КОНТРОЛЬНО-СЧЕТНОГО ОРГАНА МУНИЦИПАЛЬНОГО ОБРАЗОВАНИЯ ПРИОЗЕРСКИЙ МУНИЦИПАЛЬНЫЙ РАЙОН ЛЕНИНГРАДСКОЙ</w:t>
      </w:r>
      <w:r>
        <w:rPr>
          <w:b/>
        </w:rPr>
        <w:t xml:space="preserve"> </w:t>
      </w:r>
      <w:r w:rsidRPr="000A6FAB">
        <w:rPr>
          <w:b/>
        </w:rPr>
        <w:t>ОБЛАСТИ ЗА 20</w:t>
      </w:r>
      <w:r>
        <w:rPr>
          <w:b/>
        </w:rPr>
        <w:t>20</w:t>
      </w:r>
      <w:r w:rsidRPr="000A6FAB">
        <w:rPr>
          <w:b/>
        </w:rPr>
        <w:t xml:space="preserve"> год</w:t>
      </w:r>
    </w:p>
    <w:p w:rsidR="001F0E28" w:rsidRPr="000A6FAB" w:rsidRDefault="001F0E28" w:rsidP="001F0E28">
      <w:pPr>
        <w:ind w:firstLine="709"/>
        <w:jc w:val="center"/>
        <w:rPr>
          <w:b/>
        </w:rPr>
      </w:pPr>
    </w:p>
    <w:p w:rsidR="001F0E28" w:rsidRPr="000A6FAB" w:rsidRDefault="001F0E28" w:rsidP="001F0E28">
      <w:pPr>
        <w:tabs>
          <w:tab w:val="left" w:pos="142"/>
          <w:tab w:val="left" w:pos="709"/>
        </w:tabs>
        <w:ind w:firstLine="709"/>
        <w:jc w:val="both"/>
      </w:pPr>
      <w:r w:rsidRPr="000A6FAB">
        <w:t xml:space="preserve">Отчет о </w:t>
      </w:r>
      <w:r>
        <w:t xml:space="preserve">деятельности </w:t>
      </w:r>
      <w:r w:rsidRPr="000A6FAB">
        <w:t>Контрольно-счётного органа муницип</w:t>
      </w:r>
      <w:r>
        <w:t>ального образования Приозерский</w:t>
      </w:r>
      <w:r w:rsidRPr="000A6FAB">
        <w:t xml:space="preserve"> муниципальный район Ленинградской области (далее- Контрольно-счетный орган</w:t>
      </w:r>
      <w:r>
        <w:t>) за 2020 год</w:t>
      </w:r>
      <w:r w:rsidRPr="000A6FAB">
        <w:t xml:space="preserve">, результатах контрольных и экспертно-аналитических мероприятий подготовлен с учётом требований части 2 статьи </w:t>
      </w:r>
      <w:r>
        <w:t xml:space="preserve">19 Федерального закона от 07 февраля </w:t>
      </w:r>
      <w:r w:rsidRPr="000A6FAB">
        <w:t>2011</w:t>
      </w:r>
      <w:r>
        <w:t xml:space="preserve"> года</w:t>
      </w:r>
      <w:r w:rsidRPr="000A6FAB">
        <w:t xml:space="preserve"> № 6-ФЗ «Об общих принципах организации и деятельности Контрольно-счётных органов субъектов Российской Федерац</w:t>
      </w:r>
      <w:r>
        <w:t>ии и муниципальных образований»</w:t>
      </w:r>
      <w:r w:rsidRPr="000A6FAB">
        <w:t>, Положения о Контрольно-счетном органе муниципального образования Приозерский муниципальный район Ленинградской области</w:t>
      </w:r>
      <w:r>
        <w:t>,</w:t>
      </w:r>
      <w:r w:rsidRPr="000A6FAB">
        <w:t xml:space="preserve"> утвержденного решением Совета депутатов от 13</w:t>
      </w:r>
      <w:r>
        <w:t xml:space="preserve"> сентября 20</w:t>
      </w:r>
      <w:r w:rsidRPr="000A6FAB">
        <w:t>11</w:t>
      </w:r>
      <w:r>
        <w:t xml:space="preserve"> года</w:t>
      </w:r>
      <w:r w:rsidRPr="000A6FAB">
        <w:t xml:space="preserve"> №</w:t>
      </w:r>
      <w:r>
        <w:t xml:space="preserve"> </w:t>
      </w:r>
      <w:r w:rsidRPr="000A6FAB">
        <w:t>151, в соот</w:t>
      </w:r>
      <w:r>
        <w:t>ветствии с Планом работы на 2020</w:t>
      </w:r>
      <w:r w:rsidRPr="000A6FAB">
        <w:t xml:space="preserve"> год,</w:t>
      </w:r>
      <w:r>
        <w:t xml:space="preserve"> утвержденным</w:t>
      </w:r>
      <w:r w:rsidRPr="000A6FAB">
        <w:t xml:space="preserve"> распоряжением Контрольно-счетного органа от 2</w:t>
      </w:r>
      <w:r>
        <w:t>6 декабря 20</w:t>
      </w:r>
      <w:r w:rsidRPr="000A6FAB">
        <w:t>1</w:t>
      </w:r>
      <w:r>
        <w:t>9 года</w:t>
      </w:r>
      <w:r w:rsidRPr="000A6FAB">
        <w:t xml:space="preserve"> №</w:t>
      </w:r>
      <w:r>
        <w:t xml:space="preserve"> </w:t>
      </w:r>
      <w:r w:rsidRPr="000A6FAB">
        <w:t>1</w:t>
      </w:r>
      <w:r>
        <w:t>5-р</w:t>
      </w:r>
      <w:r w:rsidRPr="000A6FAB">
        <w:t>, Стандартом организации деятельности (СОД)</w:t>
      </w:r>
      <w:r w:rsidRPr="000A6FAB">
        <w:rPr>
          <w:color w:val="333333"/>
        </w:rPr>
        <w:t xml:space="preserve"> «</w:t>
      </w:r>
      <w:r w:rsidRPr="000A6FAB">
        <w:t>Подготовка отчета о работе контрольно-счетного органа</w:t>
      </w:r>
      <w:r w:rsidRPr="000A6FAB">
        <w:rPr>
          <w:bCs/>
          <w:color w:val="000000"/>
        </w:rPr>
        <w:t>»</w:t>
      </w:r>
      <w:r>
        <w:rPr>
          <w:bCs/>
          <w:color w:val="000000"/>
        </w:rPr>
        <w:t>, утвержденным</w:t>
      </w:r>
      <w:r w:rsidRPr="000A6FAB">
        <w:rPr>
          <w:bCs/>
          <w:color w:val="000000"/>
        </w:rPr>
        <w:t xml:space="preserve"> распоряжение</w:t>
      </w:r>
      <w:r>
        <w:rPr>
          <w:bCs/>
          <w:color w:val="000000"/>
        </w:rPr>
        <w:t>м</w:t>
      </w:r>
      <w:r w:rsidRPr="000A6FAB">
        <w:rPr>
          <w:bCs/>
          <w:color w:val="000000"/>
        </w:rPr>
        <w:t xml:space="preserve"> К</w:t>
      </w:r>
      <w:r>
        <w:rPr>
          <w:bCs/>
          <w:color w:val="000000"/>
        </w:rPr>
        <w:t>онтрольно-счетного органа от 14 июля 20</w:t>
      </w:r>
      <w:r w:rsidRPr="000A6FAB">
        <w:rPr>
          <w:bCs/>
          <w:color w:val="000000"/>
        </w:rPr>
        <w:t>15</w:t>
      </w:r>
      <w:r>
        <w:rPr>
          <w:bCs/>
          <w:color w:val="000000"/>
        </w:rPr>
        <w:t xml:space="preserve"> года</w:t>
      </w:r>
      <w:r w:rsidRPr="000A6FAB">
        <w:rPr>
          <w:bCs/>
          <w:color w:val="000000"/>
        </w:rPr>
        <w:t xml:space="preserve"> № 9</w:t>
      </w:r>
      <w:r>
        <w:t>.</w:t>
      </w:r>
    </w:p>
    <w:p w:rsidR="001F0E28" w:rsidRPr="000A6FAB" w:rsidRDefault="001F0E28" w:rsidP="001F0E28">
      <w:pPr>
        <w:tabs>
          <w:tab w:val="left" w:pos="142"/>
          <w:tab w:val="left" w:pos="709"/>
        </w:tabs>
        <w:ind w:firstLine="709"/>
        <w:jc w:val="both"/>
      </w:pPr>
      <w:r w:rsidRPr="000A6FAB">
        <w:t>Целью формирования годового отчета о деятельности контрольно-счетного органа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color w:val="000000"/>
        </w:rPr>
      </w:pPr>
      <w:r w:rsidRPr="000A6FAB">
        <w:rPr>
          <w:b/>
        </w:rPr>
        <w:t>Общее положение</w:t>
      </w:r>
    </w:p>
    <w:p w:rsidR="00913678" w:rsidRPr="009E5B3A" w:rsidRDefault="00913678" w:rsidP="00913678">
      <w:pPr>
        <w:tabs>
          <w:tab w:val="left" w:pos="142"/>
        </w:tabs>
        <w:ind w:left="709"/>
        <w:rPr>
          <w:color w:val="000000"/>
        </w:rPr>
      </w:pP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color w:val="000000"/>
        </w:rPr>
      </w:pPr>
      <w:r w:rsidRPr="000A6FAB">
        <w:rPr>
          <w:color w:val="000000"/>
        </w:rPr>
        <w:t xml:space="preserve">Контрольно-счетный орган </w:t>
      </w:r>
      <w:r>
        <w:rPr>
          <w:color w:val="000000"/>
        </w:rPr>
        <w:t>в своей деятельности</w:t>
      </w:r>
      <w:r w:rsidRPr="000A6FAB">
        <w:rPr>
          <w:color w:val="000000"/>
        </w:rPr>
        <w:t xml:space="preserve"> руководствуется Конституцией Российской Федерации, Бюджетным кодексом Российской Федерации, Федеральным законом № 131-ФЗ</w:t>
      </w:r>
      <w:r>
        <w:rPr>
          <w:color w:val="000000"/>
        </w:rPr>
        <w:t>, Федеральным законодательством</w:t>
      </w:r>
      <w:r w:rsidRPr="000A6FAB">
        <w:rPr>
          <w:color w:val="000000"/>
        </w:rPr>
        <w:t>, иными нормативными правовыми актами субъекта Российской Федерации, Уставом муниципального образования, Положением о Контрольно-счётном органе муниципального образования Приозерский муниципаль</w:t>
      </w:r>
      <w:r>
        <w:rPr>
          <w:color w:val="000000"/>
        </w:rPr>
        <w:t>ный район Ленинградской области</w:t>
      </w:r>
      <w:r w:rsidRPr="000A6FAB">
        <w:rPr>
          <w:color w:val="000000"/>
        </w:rPr>
        <w:t>, Положением о бюджетном процессе в муниципальном образовании Приозерский муниципальный район Ленинградской области, Стандартом организации деятельности (СОД) «Подготовка отчета о работе контрольно-счетного органа».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>Контрольно-счетный орган образован Советом депутатов муниципального образования Приозерский муниципальный район Ленинградской области и ему подотчетен,</w:t>
      </w:r>
      <w:r>
        <w:t xml:space="preserve"> </w:t>
      </w:r>
      <w:r w:rsidRPr="000A6FAB">
        <w:t xml:space="preserve">является постоянно действующим органом внешнего муниципального финансового контроля, </w:t>
      </w:r>
      <w:r w:rsidRPr="000A6FAB">
        <w:rPr>
          <w:color w:val="000000"/>
        </w:rPr>
        <w:t xml:space="preserve">обладает организационной и функциональной независимостью, является органом местного самоуправления, осуществляет свою деятельность самостоятельно, обладает правами юридического лица, имеет гербовую печать и бланки со своим наименованием. </w:t>
      </w:r>
      <w:r w:rsidRPr="000A6FAB">
        <w:t>Штатная и фактическая численность Контрольно-счетного органа</w:t>
      </w:r>
      <w:r>
        <w:t xml:space="preserve"> составляет </w:t>
      </w:r>
      <w:r w:rsidRPr="000A6FAB">
        <w:t>три человека.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Область действия контрольных полномочий Контрольно-счетного органа в соответствии с Положением о Контрольно-счетном органе распространяется на органы местного самоуправления, муниципальные учреждения и муниципальные унитарные </w:t>
      </w:r>
      <w:r w:rsidRPr="000A6FAB">
        <w:lastRenderedPageBreak/>
        <w:t>предприятия, а также иные организации, которые используют имущество, находящееся в собственности муниципального образования.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>
        <w:rPr>
          <w:spacing w:val="4"/>
        </w:rPr>
        <w:t>В целях ис</w:t>
      </w:r>
      <w:r w:rsidRPr="000A6FAB">
        <w:rPr>
          <w:spacing w:val="4"/>
        </w:rPr>
        <w:t>полнения установленных полномочий Контрольно-счетным органом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 и гласности.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П</w:t>
      </w:r>
      <w:r>
        <w:rPr>
          <w:spacing w:val="4"/>
        </w:rPr>
        <w:t xml:space="preserve">роведенные </w:t>
      </w:r>
      <w:r w:rsidRPr="000A6FAB">
        <w:rPr>
          <w:spacing w:val="4"/>
        </w:rPr>
        <w:t>Контрольно-счетным органом в 20</w:t>
      </w:r>
      <w:r>
        <w:rPr>
          <w:spacing w:val="4"/>
        </w:rPr>
        <w:t>20 году</w:t>
      </w:r>
      <w:r w:rsidRPr="000A6FAB">
        <w:rPr>
          <w:spacing w:val="4"/>
        </w:rPr>
        <w:t xml:space="preserve"> контрольные и экспертно-аналитические мероприятия осуществлялись в соответствии с Планом работ</w:t>
      </w:r>
      <w:r>
        <w:rPr>
          <w:spacing w:val="4"/>
        </w:rPr>
        <w:t xml:space="preserve">ы, утвержденным распоряжением </w:t>
      </w:r>
      <w:r w:rsidRPr="000A6FAB">
        <w:rPr>
          <w:spacing w:val="4"/>
        </w:rPr>
        <w:t>Контрольно-счетного органа от 2</w:t>
      </w:r>
      <w:r>
        <w:rPr>
          <w:spacing w:val="4"/>
        </w:rPr>
        <w:t>6 декабря 20</w:t>
      </w:r>
      <w:r w:rsidRPr="000A6FAB">
        <w:rPr>
          <w:spacing w:val="4"/>
        </w:rPr>
        <w:t>1</w:t>
      </w:r>
      <w:r>
        <w:rPr>
          <w:spacing w:val="4"/>
        </w:rPr>
        <w:t>9 года</w:t>
      </w:r>
      <w:r w:rsidRPr="000A6FAB">
        <w:rPr>
          <w:spacing w:val="4"/>
        </w:rPr>
        <w:t xml:space="preserve"> № 15</w:t>
      </w:r>
      <w:r>
        <w:rPr>
          <w:spacing w:val="4"/>
        </w:rPr>
        <w:t>-р</w:t>
      </w:r>
      <w:r w:rsidRPr="000A6FAB">
        <w:rPr>
          <w:spacing w:val="4"/>
        </w:rPr>
        <w:t>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П</w:t>
      </w:r>
      <w:r>
        <w:rPr>
          <w:spacing w:val="4"/>
        </w:rPr>
        <w:t xml:space="preserve">олномочия по </w:t>
      </w:r>
      <w:r w:rsidRPr="000A6FAB">
        <w:rPr>
          <w:spacing w:val="4"/>
        </w:rPr>
        <w:t>внешнему муниципальному финансовому контролю, переданн</w:t>
      </w:r>
      <w:r>
        <w:rPr>
          <w:spacing w:val="4"/>
        </w:rPr>
        <w:t xml:space="preserve">ому представительными органами городских и сельских </w:t>
      </w:r>
      <w:r w:rsidRPr="000A6FAB">
        <w:rPr>
          <w:spacing w:val="4"/>
        </w:rPr>
        <w:t>поселений муниципального образования</w:t>
      </w:r>
      <w:r>
        <w:rPr>
          <w:spacing w:val="4"/>
        </w:rPr>
        <w:t>,</w:t>
      </w:r>
      <w:r w:rsidRPr="000A6FAB">
        <w:rPr>
          <w:spacing w:val="4"/>
        </w:rPr>
        <w:t xml:space="preserve"> осуществлялись в соответствии с заключенными соглашениями.</w:t>
      </w:r>
    </w:p>
    <w:p w:rsidR="001F0E28" w:rsidRPr="000A6FAB" w:rsidRDefault="001F0E28" w:rsidP="001F0E28">
      <w:pPr>
        <w:pStyle w:val="a3"/>
        <w:tabs>
          <w:tab w:val="left" w:pos="142"/>
        </w:tabs>
        <w:ind w:firstLine="709"/>
        <w:contextualSpacing/>
        <w:jc w:val="both"/>
      </w:pPr>
      <w:r w:rsidRPr="000A6FAB">
        <w:t xml:space="preserve">В отчетном году по-прежнему отмечается приоритет </w:t>
      </w:r>
      <w:r w:rsidRPr="000A6FAB">
        <w:rPr>
          <w:lang w:val="it-IT"/>
        </w:rPr>
        <w:t>экспертно-аналитических</w:t>
      </w:r>
      <w:r w:rsidRPr="000A6FAB">
        <w:t xml:space="preserve"> мероприятий, направленных на предупреждение возможных пробле</w:t>
      </w:r>
      <w:r>
        <w:t>м в использовании муниципальных</w:t>
      </w:r>
      <w:r w:rsidRPr="000A6FAB">
        <w:t xml:space="preserve"> ресурсов</w:t>
      </w:r>
      <w:r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r w:rsidRPr="000A6FAB">
        <w:t>Сохранение акцента на ан</w:t>
      </w:r>
      <w:r>
        <w:t>алитическом направлении работы отражает тенденция</w:t>
      </w:r>
      <w:r w:rsidRPr="000A6FAB">
        <w:t xml:space="preserve">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проектов муниципальных программ, являющихся</w:t>
      </w:r>
      <w:r>
        <w:t xml:space="preserve"> основой формирования бюджета, </w:t>
      </w:r>
      <w:r w:rsidRPr="000A6FAB">
        <w:t>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</w:t>
      </w:r>
      <w:r>
        <w:t xml:space="preserve"> каждой муниципальной программы</w:t>
      </w:r>
      <w:r w:rsidRPr="000A6FAB"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r w:rsidRPr="000A6FAB">
        <w:t>Особое место в деятельности К</w:t>
      </w:r>
      <w:r>
        <w:t>онтрольно-счетного органа</w:t>
      </w:r>
      <w:r w:rsidRPr="000A6FAB">
        <w:t xml:space="preserve"> в 20</w:t>
      </w:r>
      <w:r>
        <w:t>20</w:t>
      </w:r>
      <w:r w:rsidRPr="000A6FAB">
        <w:t xml:space="preserve"> году, как и в 201</w:t>
      </w:r>
      <w:r>
        <w:t>9 году</w:t>
      </w:r>
      <w:r w:rsidRPr="000A6FAB">
        <w:t>, уделено реализации полномочий органа внешнего муниципального финансового контроля по аудиту в сфере закупок в соответствии со статьей 98 Закона № 44-ФЗ «О контрактной системе в сфере закупок товаров, работ, услуг для обеспечения государственных и муниципальных нужд» в целях исследования бюджетных рисков и определения влияния недостатков закупочной деятельности на эффективное использование бюджетных средств</w:t>
      </w:r>
      <w:r>
        <w:t>,</w:t>
      </w:r>
      <w:r w:rsidRPr="000A6FAB">
        <w:t xml:space="preserve"> а также реализация контрольных и экспертно-аналитических мероприятий для оценки состояния бюджета муниципального образования Приозерский муниципальный район и бюджета четырнадцати поселений</w:t>
      </w:r>
      <w:r>
        <w:t>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rStyle w:val="s2"/>
        </w:rPr>
      </w:pPr>
      <w:r w:rsidRPr="000A6FAB">
        <w:rPr>
          <w:spacing w:val="4"/>
        </w:rPr>
        <w:t xml:space="preserve">Общие итоги деятельности Контрольно-счетного органа за </w:t>
      </w:r>
      <w:r w:rsidRPr="000A6FAB">
        <w:rPr>
          <w:b/>
          <w:spacing w:val="4"/>
        </w:rPr>
        <w:t>20</w:t>
      </w:r>
      <w:r>
        <w:rPr>
          <w:b/>
          <w:spacing w:val="4"/>
        </w:rPr>
        <w:t>20</w:t>
      </w:r>
      <w:r w:rsidRPr="000A6FAB">
        <w:rPr>
          <w:spacing w:val="4"/>
        </w:rPr>
        <w:t xml:space="preserve"> год характеризуются следующими показателями: всего проведено </w:t>
      </w:r>
      <w:r w:rsidRPr="003B5A1D">
        <w:rPr>
          <w:b/>
          <w:spacing w:val="4"/>
        </w:rPr>
        <w:t>11</w:t>
      </w:r>
      <w:r w:rsidRPr="000A6FAB">
        <w:rPr>
          <w:b/>
          <w:spacing w:val="4"/>
        </w:rPr>
        <w:t>1</w:t>
      </w:r>
      <w:r w:rsidRPr="00330F1F">
        <w:rPr>
          <w:spacing w:val="4"/>
        </w:rPr>
        <w:t xml:space="preserve"> </w:t>
      </w:r>
      <w:r w:rsidRPr="000A6FAB">
        <w:rPr>
          <w:spacing w:val="4"/>
        </w:rPr>
        <w:t xml:space="preserve">мероприятие, из которых </w:t>
      </w:r>
      <w:r w:rsidRPr="003B5A1D">
        <w:rPr>
          <w:b/>
          <w:spacing w:val="4"/>
        </w:rPr>
        <w:t>90</w:t>
      </w:r>
      <w:r w:rsidRPr="00330F1F">
        <w:rPr>
          <w:spacing w:val="4"/>
        </w:rPr>
        <w:t xml:space="preserve"> </w:t>
      </w:r>
      <w:r w:rsidRPr="000A6FAB">
        <w:rPr>
          <w:spacing w:val="4"/>
        </w:rPr>
        <w:t xml:space="preserve">экспертно-аналитических и </w:t>
      </w:r>
      <w:r w:rsidRPr="000A6FAB">
        <w:rPr>
          <w:rStyle w:val="s2"/>
          <w:b/>
        </w:rPr>
        <w:t>2</w:t>
      </w:r>
      <w:r>
        <w:rPr>
          <w:rStyle w:val="s2"/>
          <w:b/>
        </w:rPr>
        <w:t>1</w:t>
      </w:r>
      <w:r w:rsidRPr="000A6FAB">
        <w:rPr>
          <w:rStyle w:val="s2"/>
        </w:rPr>
        <w:t xml:space="preserve"> к</w:t>
      </w:r>
      <w:r>
        <w:rPr>
          <w:rStyle w:val="s2"/>
        </w:rPr>
        <w:t>онтрольных</w:t>
      </w:r>
      <w:r w:rsidRPr="000A6FAB">
        <w:rPr>
          <w:rStyle w:val="s2"/>
        </w:rPr>
        <w:t xml:space="preserve"> мероприятий, которыми было охвачено </w:t>
      </w:r>
      <w:r w:rsidRPr="000A6FAB">
        <w:rPr>
          <w:rStyle w:val="s2"/>
          <w:b/>
        </w:rPr>
        <w:t>2</w:t>
      </w:r>
      <w:r>
        <w:rPr>
          <w:rStyle w:val="s2"/>
          <w:b/>
        </w:rPr>
        <w:t>1</w:t>
      </w:r>
      <w:r>
        <w:rPr>
          <w:rStyle w:val="s2"/>
        </w:rPr>
        <w:t xml:space="preserve"> объект</w:t>
      </w:r>
      <w:r w:rsidRPr="000A6FAB">
        <w:rPr>
          <w:rStyle w:val="s2"/>
        </w:rPr>
        <w:t xml:space="preserve"> на территории муниципального образования Приозерский</w:t>
      </w:r>
      <w:r w:rsidR="005D1E05">
        <w:rPr>
          <w:rStyle w:val="s2"/>
        </w:rPr>
        <w:t xml:space="preserve"> муниципальный</w:t>
      </w:r>
      <w:r w:rsidRPr="000A6FAB">
        <w:rPr>
          <w:rStyle w:val="s2"/>
        </w:rPr>
        <w:t xml:space="preserve"> район Ленинградской области.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napToGrid w:val="0"/>
          <w:spacing w:val="4"/>
        </w:rPr>
        <w:t>П</w:t>
      </w:r>
      <w:r w:rsidRPr="000A6FAB">
        <w:rPr>
          <w:spacing w:val="4"/>
        </w:rPr>
        <w:t>оказатели деятельности Контрольно-счетного органа, характеризующие количество проведенных контрольных мероприятий, соответствуют средним, сложившимся за последние годы.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Для выявления системных проблем, как и в прошлом году, объектами контроля выбирались не отдельные органы и организации, а группы однотипных объектов и целые направления расходования средств, что позволяло комплексно оценивать ситуацию в проверяемой сфере, сформулировать объективные выводы и находить оптимальные решения для повышения эффективности работы объектов контроля.</w:t>
      </w:r>
    </w:p>
    <w:p w:rsidR="001F0E28" w:rsidRPr="005D1E05" w:rsidRDefault="001F0E28" w:rsidP="001F0E28">
      <w:pPr>
        <w:tabs>
          <w:tab w:val="left" w:pos="142"/>
        </w:tabs>
        <w:ind w:firstLine="709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b/>
        </w:rPr>
      </w:pPr>
      <w:r w:rsidRPr="00F92833">
        <w:rPr>
          <w:b/>
        </w:rPr>
        <w:t>Экспертно-аналитические мероприятия</w:t>
      </w:r>
    </w:p>
    <w:p w:rsidR="00913678" w:rsidRPr="00F92833" w:rsidRDefault="00913678" w:rsidP="00913678">
      <w:pPr>
        <w:tabs>
          <w:tab w:val="left" w:pos="142"/>
        </w:tabs>
        <w:ind w:left="709"/>
        <w:rPr>
          <w:b/>
        </w:rPr>
      </w:pP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 w:rsidRPr="000A6FAB">
        <w:lastRenderedPageBreak/>
        <w:t xml:space="preserve">За </w:t>
      </w:r>
      <w:r w:rsidRPr="000A6FAB">
        <w:rPr>
          <w:b/>
        </w:rPr>
        <w:t>20</w:t>
      </w:r>
      <w:r>
        <w:rPr>
          <w:b/>
        </w:rPr>
        <w:t>20</w:t>
      </w:r>
      <w:r w:rsidRPr="000A6FAB">
        <w:rPr>
          <w:b/>
        </w:rPr>
        <w:t xml:space="preserve"> </w:t>
      </w:r>
      <w:r w:rsidRPr="000A6FAB">
        <w:t>год</w:t>
      </w:r>
      <w:r>
        <w:t xml:space="preserve"> проведено </w:t>
      </w:r>
      <w:r w:rsidRPr="003B5A1D">
        <w:rPr>
          <w:b/>
        </w:rPr>
        <w:t>90</w:t>
      </w:r>
      <w:r>
        <w:t xml:space="preserve"> экспертно-аналитических</w:t>
      </w:r>
      <w:r w:rsidRPr="000A6FAB">
        <w:t xml:space="preserve"> мероприяти</w:t>
      </w:r>
      <w:r>
        <w:t>й. П</w:t>
      </w:r>
      <w:r w:rsidRPr="000A6FAB">
        <w:t>о результатам подготовлено: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 w:rsidRPr="000A6FAB">
        <w:t xml:space="preserve">- </w:t>
      </w:r>
      <w:r>
        <w:t>40</w:t>
      </w:r>
      <w:r w:rsidRPr="000A6FAB">
        <w:t xml:space="preserve"> заключений по экспертизам проектов нормативно правовых актов органов </w:t>
      </w:r>
      <w:r>
        <w:t>местного самоуправления;</w:t>
      </w:r>
      <w:r w:rsidRPr="000A6FAB">
        <w:t xml:space="preserve"> 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Pr="000A6FAB">
        <w:t xml:space="preserve">подготовлено </w:t>
      </w:r>
      <w:r>
        <w:t>5</w:t>
      </w:r>
      <w:r w:rsidRPr="000A6FAB">
        <w:t xml:space="preserve">0 </w:t>
      </w:r>
      <w:r>
        <w:t>заключений (аналитический материал) по прочим экспертно-аналитическим мероприятиям.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 w:rsidRPr="000A6FAB">
        <w:t xml:space="preserve">Выявлено нарушений по результатам экспертно-аналитических мероприятий в сумме </w:t>
      </w:r>
      <w:r>
        <w:t>3760,6</w:t>
      </w:r>
      <w:r w:rsidRPr="000A6FAB">
        <w:rPr>
          <w:b/>
        </w:rPr>
        <w:t xml:space="preserve"> тыс. руб. </w:t>
      </w:r>
      <w:r w:rsidRPr="000A6FAB">
        <w:t>из них: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 w:rsidRPr="000A6FAB">
        <w:t xml:space="preserve">- </w:t>
      </w:r>
      <w:r>
        <w:t>3760,6</w:t>
      </w:r>
      <w:r w:rsidRPr="000A6FAB">
        <w:t xml:space="preserve"> тыс. руб. </w:t>
      </w:r>
      <w:r>
        <w:t xml:space="preserve">- </w:t>
      </w:r>
      <w:r w:rsidRPr="000A6FAB">
        <w:t>неэффективное расходование бюджетных средств.</w:t>
      </w:r>
    </w:p>
    <w:p w:rsidR="001F0E28" w:rsidRPr="000A6FAB" w:rsidRDefault="001F0E28" w:rsidP="001F0E2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>Мероприятия экспертного характера, проводимые в отчетном году, составляли основу контроля над бюджетом</w:t>
      </w:r>
      <w:r>
        <w:t xml:space="preserve"> </w:t>
      </w:r>
      <w:r w:rsidRPr="000A6FAB">
        <w:t>муниципального образован</w:t>
      </w:r>
      <w:r>
        <w:t xml:space="preserve">ия Приозерский </w:t>
      </w:r>
      <w:r w:rsidRPr="000A6FAB">
        <w:t>район и бюджетами четырнадцати поселений в течение всего периода. Они осуществлялись в форме предварительного контроля перед принятием проекта бюджета на очередной финансовый год, текущего контроля непосредственно в ходе его исполнения в отчетном году и внесения в него изменений и дополнений, последующего контроля по итогам исполнения бюджета за отчетный финансовый год.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В ходе экспертно-аналитической деятельности основное внимание уделялось предупреждению и профилактике нарушений бюджетного законодательства, определению эффективности и целесообразности расходования финансовых </w:t>
      </w:r>
      <w:r>
        <w:t>ресурсов.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 w:rsidRPr="000A6FAB">
        <w:t>В течение 20</w:t>
      </w:r>
      <w:r>
        <w:t>20</w:t>
      </w:r>
      <w:r w:rsidRPr="000A6FAB">
        <w:t xml:space="preserve"> года Контрольно-счетным органом проводился мониторинг реализации </w:t>
      </w:r>
      <w:r>
        <w:t>региональных проектов (программ) в рамках на</w:t>
      </w:r>
      <w:r w:rsidR="005D1E05">
        <w:t xml:space="preserve">циональных проектов за 2019 год, </w:t>
      </w:r>
      <w:r w:rsidRPr="000A6FAB">
        <w:t>и мониторинг эффективности использования бюджетных средств, направленных на закупку товаров, работ и услуг (ФЗ-44), данные полученные по итогам проведенных мониторингов с предложениями и рекомендациями рассылались главам поселений и в дальнейшем использовались контрольно-счетным органом при проведении контрольных мероприятий.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</w:p>
    <w:p w:rsidR="001F0E28" w:rsidRPr="00EF5D38" w:rsidRDefault="001F0E28" w:rsidP="005D1E05">
      <w:pPr>
        <w:tabs>
          <w:tab w:val="left" w:pos="142"/>
        </w:tabs>
        <w:ind w:firstLine="709"/>
        <w:jc w:val="both"/>
        <w:rPr>
          <w:b/>
          <w:bCs/>
        </w:rPr>
      </w:pPr>
      <w:r>
        <w:rPr>
          <w:b/>
        </w:rPr>
        <w:t xml:space="preserve">2.1. </w:t>
      </w:r>
      <w:r w:rsidRPr="00EF5D38">
        <w:rPr>
          <w:b/>
          <w:bCs/>
        </w:rPr>
        <w:t>Мониторинг реализации городскими и сельскими поселениями МО Приозерский муниципальный район региональных проектов (программ) за 20</w:t>
      </w:r>
      <w:r w:rsidR="003C3B78">
        <w:rPr>
          <w:b/>
          <w:bCs/>
        </w:rPr>
        <w:t>19</w:t>
      </w:r>
      <w:r w:rsidRPr="00EF5D38">
        <w:rPr>
          <w:b/>
          <w:bCs/>
        </w:rPr>
        <w:t xml:space="preserve"> год</w:t>
      </w:r>
      <w:r w:rsidR="005D1E05">
        <w:rPr>
          <w:b/>
          <w:bCs/>
        </w:rPr>
        <w:t xml:space="preserve"> в рамках национальных проектов</w:t>
      </w:r>
      <w:r w:rsidRPr="00EF5D38">
        <w:rPr>
          <w:b/>
          <w:bCs/>
        </w:rPr>
        <w:t>.</w:t>
      </w:r>
    </w:p>
    <w:p w:rsidR="001F0E28" w:rsidRPr="00EF5D38" w:rsidRDefault="001F0E28" w:rsidP="005D1E05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5D1E05">
      <w:pPr>
        <w:tabs>
          <w:tab w:val="left" w:pos="142"/>
        </w:tabs>
        <w:ind w:firstLine="709"/>
        <w:jc w:val="both"/>
      </w:pPr>
      <w:r w:rsidRPr="000A6FAB">
        <w:rPr>
          <w:b/>
        </w:rPr>
        <w:t>Целью мониторинга является:</w:t>
      </w:r>
      <w:r w:rsidRPr="000A6FAB">
        <w:t xml:space="preserve"> </w:t>
      </w:r>
      <w:r w:rsidRPr="00450487">
        <w:rPr>
          <w:bCs/>
        </w:rPr>
        <w:t>Оценка хода реализации городскими и сельскими поселениями МО Приозерский муниципальный район региональных приоритетных проектов (программ) в рамках национальных проектов. А</w:t>
      </w:r>
      <w:r w:rsidRPr="00450487">
        <w:t>нализ формирования и использования бюджетных средств на реализацию региональных проектов (программ) и мониторинг достижения их результатов.</w:t>
      </w:r>
    </w:p>
    <w:p w:rsidR="001F0E28" w:rsidRPr="00450487" w:rsidRDefault="001F0E28" w:rsidP="005D1E05">
      <w:pPr>
        <w:tabs>
          <w:tab w:val="left" w:pos="142"/>
        </w:tabs>
        <w:ind w:firstLine="709"/>
        <w:jc w:val="both"/>
      </w:pPr>
      <w:r w:rsidRPr="00450487">
        <w:t>В течение 2020 года</w:t>
      </w:r>
      <w:r>
        <w:t xml:space="preserve"> </w:t>
      </w:r>
      <w:r w:rsidRPr="00450487">
        <w:t>Контрольно-счетным органом</w:t>
      </w:r>
      <w:r>
        <w:t xml:space="preserve"> </w:t>
      </w:r>
      <w:r w:rsidRPr="00450487">
        <w:t xml:space="preserve">осуществлен анализ реализации на территории городских и сельских поселений МО Приозерский муниципальный район </w:t>
      </w:r>
      <w:r w:rsidRPr="00450487">
        <w:rPr>
          <w:b/>
        </w:rPr>
        <w:t>национального проекта «Жилье и городская среда»</w:t>
      </w:r>
      <w:r w:rsidR="003C3B78">
        <w:rPr>
          <w:b/>
        </w:rPr>
        <w:t xml:space="preserve"> </w:t>
      </w:r>
      <w:r w:rsidR="003C3B78">
        <w:t>по итогам 2019 года</w:t>
      </w:r>
      <w:r w:rsidR="003C3B78">
        <w:rPr>
          <w:b/>
        </w:rPr>
        <w:t>.</w:t>
      </w:r>
    </w:p>
    <w:p w:rsidR="001F0E28" w:rsidRPr="00450487" w:rsidRDefault="001F0E28" w:rsidP="005D1E05">
      <w:pPr>
        <w:tabs>
          <w:tab w:val="left" w:pos="142"/>
        </w:tabs>
        <w:ind w:firstLine="709"/>
        <w:jc w:val="both"/>
      </w:pPr>
      <w:r w:rsidRPr="00450487">
        <w:t>Финансовое участие поселений в реализации национального проекта «Жилье и городская среда» осуществляется через формат следующих региональных проектов:</w:t>
      </w:r>
    </w:p>
    <w:p w:rsidR="001F0E28" w:rsidRPr="00450487" w:rsidRDefault="001F0E28" w:rsidP="005D1E05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</w:pPr>
      <w:r w:rsidRPr="00450487">
        <w:rPr>
          <w:b/>
        </w:rPr>
        <w:t xml:space="preserve">Региональный проект «Формирование комфортной городской среды» </w:t>
      </w:r>
      <w:r w:rsidR="005D1E05">
        <w:t xml:space="preserve">(ГРБС - </w:t>
      </w:r>
      <w:r w:rsidRPr="00450487">
        <w:t>Комитет по жилищно-коммунальному хозяйству Ленинградской области)</w:t>
      </w:r>
      <w:r>
        <w:t>.</w:t>
      </w:r>
    </w:p>
    <w:p w:rsidR="001F0E28" w:rsidRDefault="001F0E28" w:rsidP="005D1E05">
      <w:pPr>
        <w:tabs>
          <w:tab w:val="left" w:pos="142"/>
        </w:tabs>
        <w:ind w:firstLine="709"/>
        <w:jc w:val="both"/>
        <w:rPr>
          <w:bCs/>
        </w:rPr>
      </w:pPr>
      <w:r w:rsidRPr="00450487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«Формирование комфортной городской среды».</w:t>
      </w:r>
    </w:p>
    <w:p w:rsidR="001F0E28" w:rsidRPr="00450487" w:rsidRDefault="001F0E28" w:rsidP="005D1E05">
      <w:pPr>
        <w:tabs>
          <w:tab w:val="left" w:pos="142"/>
        </w:tabs>
        <w:ind w:firstLine="709"/>
        <w:jc w:val="both"/>
        <w:rPr>
          <w:bCs/>
        </w:rPr>
      </w:pPr>
      <w:r w:rsidRPr="00450487">
        <w:rPr>
          <w:b/>
          <w:bCs/>
        </w:rPr>
        <w:t>Цель проекта</w:t>
      </w:r>
      <w:r w:rsidRPr="00450487">
        <w:rPr>
          <w:bCs/>
        </w:rPr>
        <w:t xml:space="preserve"> - кардинальное повышение комфортности городской среды, повышение индекса качества городской среды на 30 процентов, сокращение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:rsidR="001F0E28" w:rsidRPr="00450487" w:rsidRDefault="001F0E28" w:rsidP="005D1E05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bCs/>
        </w:rPr>
      </w:pPr>
      <w:r w:rsidRPr="00450487">
        <w:rPr>
          <w:b/>
          <w:bCs/>
        </w:rPr>
        <w:lastRenderedPageBreak/>
        <w:t>Региональный проект «Обеспечение устойчивого сокращения непригодного для проживания жилищного фонда» (</w:t>
      </w:r>
      <w:r w:rsidR="005D1E05">
        <w:rPr>
          <w:bCs/>
        </w:rPr>
        <w:t>ГРБС -</w:t>
      </w:r>
      <w:r w:rsidRPr="00450487">
        <w:rPr>
          <w:bCs/>
        </w:rPr>
        <w:t xml:space="preserve"> Комитет по строительству Ленинградской области)</w:t>
      </w:r>
      <w:r w:rsidR="005D1E05">
        <w:rPr>
          <w:bCs/>
        </w:rPr>
        <w:t>.</w:t>
      </w:r>
    </w:p>
    <w:p w:rsidR="001F0E28" w:rsidRDefault="001F0E28" w:rsidP="005D1E05">
      <w:pPr>
        <w:tabs>
          <w:tab w:val="left" w:pos="142"/>
          <w:tab w:val="left" w:pos="993"/>
        </w:tabs>
        <w:ind w:firstLine="709"/>
        <w:jc w:val="both"/>
        <w:rPr>
          <w:bCs/>
        </w:rPr>
      </w:pPr>
      <w:r w:rsidRPr="00450487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«Обеспечение устойчивого сокращения непригодного для проживания жилищного фонда»</w:t>
      </w:r>
      <w:r>
        <w:rPr>
          <w:bCs/>
        </w:rPr>
        <w:t>.</w:t>
      </w:r>
    </w:p>
    <w:p w:rsidR="001F0E28" w:rsidRPr="00450487" w:rsidRDefault="001F0E28" w:rsidP="005D1E05">
      <w:pPr>
        <w:tabs>
          <w:tab w:val="left" w:pos="142"/>
          <w:tab w:val="left" w:pos="993"/>
        </w:tabs>
        <w:ind w:firstLine="709"/>
        <w:jc w:val="both"/>
        <w:rPr>
          <w:bCs/>
        </w:rPr>
      </w:pPr>
      <w:r w:rsidRPr="00450487">
        <w:rPr>
          <w:b/>
          <w:bCs/>
        </w:rPr>
        <w:t>Целью проекта</w:t>
      </w:r>
      <w:r w:rsidRPr="00450487">
        <w:rPr>
          <w:bCs/>
        </w:rPr>
        <w:t xml:space="preserve"> является обеспечение устойчивого сокращения непригодного для проживания жилищного фонда с расселением к 31.12.2024 не менее 7,49 млн. кв. м аварийного жилищного фонда, расселением не менее 371,5 тыс. человек. На территории Ленинградской области - расселение к концу 2024 года не менее 195,24 тыс. кв. м аварийного фонда и переселение не менее 10,85 тыс. чел.</w:t>
      </w:r>
    </w:p>
    <w:p w:rsidR="001F0E28" w:rsidRDefault="001F0E28" w:rsidP="005D1E05">
      <w:pPr>
        <w:tabs>
          <w:tab w:val="left" w:pos="142"/>
        </w:tabs>
        <w:ind w:firstLine="709"/>
        <w:jc w:val="both"/>
        <w:rPr>
          <w:bCs/>
        </w:rPr>
      </w:pPr>
      <w:r w:rsidRPr="00450487">
        <w:rPr>
          <w:bCs/>
        </w:rPr>
        <w:t>Одним из основных подходов к формирован</w:t>
      </w:r>
      <w:r w:rsidR="005D1E05">
        <w:rPr>
          <w:bCs/>
        </w:rPr>
        <w:t xml:space="preserve">ию объема и структуры расходов </w:t>
      </w:r>
      <w:r w:rsidRPr="00450487">
        <w:rPr>
          <w:bCs/>
        </w:rPr>
        <w:t xml:space="preserve">бюджета городских и сельских поселений МО Приозерский муниципальный район является сохранение </w:t>
      </w:r>
      <w:r w:rsidRPr="00450487">
        <w:rPr>
          <w:bCs/>
          <w:u w:val="single"/>
        </w:rPr>
        <w:t>программного принципа</w:t>
      </w:r>
      <w:r w:rsidRPr="00450487">
        <w:rPr>
          <w:bCs/>
        </w:rPr>
        <w:t xml:space="preserve"> формиро</w:t>
      </w:r>
      <w:r w:rsidR="005D1E05">
        <w:rPr>
          <w:bCs/>
        </w:rPr>
        <w:t xml:space="preserve">вания расходов, что позволяет </w:t>
      </w:r>
      <w:r w:rsidRPr="00450487">
        <w:rPr>
          <w:bCs/>
        </w:rPr>
        <w:t>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целей.</w:t>
      </w:r>
    </w:p>
    <w:p w:rsidR="001F0E28" w:rsidRDefault="001F0E28" w:rsidP="003C3B78">
      <w:pPr>
        <w:tabs>
          <w:tab w:val="left" w:pos="142"/>
        </w:tabs>
        <w:ind w:firstLine="709"/>
        <w:jc w:val="both"/>
        <w:rPr>
          <w:bCs/>
        </w:rPr>
      </w:pPr>
      <w:r w:rsidRPr="00DF0807">
        <w:rPr>
          <w:bCs/>
        </w:rPr>
        <w:t>Реализация мероприятий региональных проектов осуществляется городскими и сельскими поселения</w:t>
      </w:r>
      <w:r w:rsidR="003C3B78">
        <w:rPr>
          <w:bCs/>
        </w:rPr>
        <w:t>ми МО Приозерский муниципальный</w:t>
      </w:r>
      <w:r w:rsidRPr="00DF0807">
        <w:rPr>
          <w:bCs/>
        </w:rPr>
        <w:t xml:space="preserve"> район в рамках </w:t>
      </w:r>
      <w:r w:rsidRPr="00DF0807">
        <w:rPr>
          <w:b/>
          <w:bCs/>
        </w:rPr>
        <w:t>государственных (муниципальных) программ</w:t>
      </w:r>
      <w:r w:rsidRPr="00DF0807">
        <w:rPr>
          <w:bCs/>
        </w:rPr>
        <w:t>.</w:t>
      </w:r>
    </w:p>
    <w:p w:rsidR="003C3B78" w:rsidRPr="003C3B78" w:rsidRDefault="003C3B78" w:rsidP="003C3B78">
      <w:pPr>
        <w:tabs>
          <w:tab w:val="left" w:pos="142"/>
        </w:tabs>
        <w:ind w:firstLine="709"/>
        <w:jc w:val="both"/>
        <w:rPr>
          <w:bCs/>
        </w:rPr>
      </w:pPr>
    </w:p>
    <w:p w:rsidR="001F0E28" w:rsidRPr="000A6FAB" w:rsidRDefault="001F0E28" w:rsidP="003C3B78">
      <w:pPr>
        <w:tabs>
          <w:tab w:val="left" w:pos="142"/>
        </w:tabs>
        <w:ind w:firstLine="709"/>
        <w:jc w:val="both"/>
        <w:rPr>
          <w:b/>
        </w:rPr>
      </w:pPr>
      <w:r w:rsidRPr="000A6FAB">
        <w:rPr>
          <w:b/>
        </w:rPr>
        <w:t xml:space="preserve">2.2. Мониторинг эффективности использования бюджетных средств, направленных на закупку товаров, работ и услуг для муниципальных нужд </w:t>
      </w:r>
      <w:r>
        <w:rPr>
          <w:b/>
        </w:rPr>
        <w:t xml:space="preserve">администрацией МО Приозерский муниципальный район </w:t>
      </w:r>
      <w:r w:rsidRPr="000A6FAB">
        <w:rPr>
          <w:b/>
        </w:rPr>
        <w:t>за 2019</w:t>
      </w:r>
      <w:r>
        <w:rPr>
          <w:b/>
        </w:rPr>
        <w:t xml:space="preserve"> год.</w:t>
      </w:r>
    </w:p>
    <w:p w:rsidR="001F0E28" w:rsidRPr="000A6FAB" w:rsidRDefault="001F0E28" w:rsidP="003C3B78">
      <w:pPr>
        <w:tabs>
          <w:tab w:val="left" w:pos="142"/>
        </w:tabs>
        <w:ind w:firstLine="709"/>
        <w:jc w:val="both"/>
        <w:rPr>
          <w:lang w:eastAsia="en-US"/>
        </w:rPr>
      </w:pPr>
      <w:r w:rsidRPr="00312F4F">
        <w:t>Целью мониторинга является: выявление и предупреждение</w:t>
      </w:r>
      <w:r w:rsidRPr="000A6FAB">
        <w:t xml:space="preserve"> неэффективного использования бюджетных средств </w:t>
      </w:r>
      <w:r>
        <w:t>администрацией</w:t>
      </w:r>
      <w:r w:rsidRPr="000A6FAB">
        <w:t xml:space="preserve">, направленных на закупку товаров, работ, услуг; </w:t>
      </w:r>
      <w:r w:rsidRPr="000A6FAB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</w:p>
    <w:p w:rsidR="001F0E28" w:rsidRPr="000A6FAB" w:rsidRDefault="001F0E28" w:rsidP="003C3B78">
      <w:pPr>
        <w:tabs>
          <w:tab w:val="left" w:pos="142"/>
        </w:tabs>
        <w:ind w:firstLine="709"/>
        <w:jc w:val="both"/>
      </w:pPr>
      <w:r w:rsidRPr="000A6FAB">
        <w:t>Одним из ключевых направлений повышения эффективности бюджетных расходов и управления общественными финансами является развитие контрактной системы в сфере закупок товаров, работ, услуг для обеспечения государственных (муниципальных) нужд</w:t>
      </w:r>
      <w:r>
        <w:t xml:space="preserve"> (далее - контрактная система).</w:t>
      </w:r>
    </w:p>
    <w:p w:rsidR="001F0E28" w:rsidRPr="000A6FAB" w:rsidRDefault="001F0E28" w:rsidP="003C3B78">
      <w:pPr>
        <w:tabs>
          <w:tab w:val="left" w:pos="142"/>
        </w:tabs>
        <w:ind w:firstLine="709"/>
        <w:jc w:val="both"/>
      </w:pPr>
      <w:r w:rsidRPr="000A6FAB">
        <w:t>Бюджетный кодекс РФ (статья 34) определяет принцип эффективности использования бюджетных средств 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</w:t>
      </w:r>
      <w:r>
        <w:t>ема средств (результативности).</w:t>
      </w:r>
    </w:p>
    <w:p w:rsidR="001F0E28" w:rsidRPr="00330F1F" w:rsidRDefault="001F0E28" w:rsidP="00330F1F">
      <w:pPr>
        <w:tabs>
          <w:tab w:val="left" w:pos="142"/>
        </w:tabs>
        <w:ind w:firstLine="709"/>
        <w:jc w:val="both"/>
        <w:rPr>
          <w:b/>
        </w:rPr>
      </w:pPr>
      <w:r w:rsidRPr="000A6FAB">
        <w:t>Данный принцип нашел отражение и в статье 1 Закона №</w:t>
      </w:r>
      <w:r>
        <w:t xml:space="preserve"> </w:t>
      </w:r>
      <w:r w:rsidRPr="000A6FAB">
        <w:t>44-ФЗ, который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</w:r>
      <w:r w:rsidRPr="000A6FAB">
        <w:rPr>
          <w:b/>
        </w:rPr>
        <w:t>.</w:t>
      </w:r>
    </w:p>
    <w:p w:rsidR="001F0E28" w:rsidRPr="00694FAA" w:rsidRDefault="001F0E28" w:rsidP="003C3B78">
      <w:pPr>
        <w:numPr>
          <w:ilvl w:val="0"/>
          <w:numId w:val="2"/>
        </w:numPr>
        <w:ind w:left="0" w:firstLine="709"/>
        <w:jc w:val="both"/>
        <w:rPr>
          <w:b/>
        </w:rPr>
      </w:pPr>
      <w:r w:rsidRPr="00694FAA">
        <w:rPr>
          <w:rFonts w:cs="Times New Roman,Bold"/>
          <w:bCs/>
          <w:szCs w:val="32"/>
        </w:rPr>
        <w:t>По данны</w:t>
      </w:r>
      <w:r w:rsidR="00330F1F">
        <w:rPr>
          <w:rFonts w:cs="Times New Roman,Bold"/>
          <w:bCs/>
          <w:szCs w:val="32"/>
        </w:rPr>
        <w:t>м информации, размещенной в ЕИС</w:t>
      </w:r>
      <w:r w:rsidRPr="00694FAA">
        <w:rPr>
          <w:rFonts w:cs="Times New Roman,Bold"/>
          <w:bCs/>
          <w:szCs w:val="32"/>
        </w:rPr>
        <w:t xml:space="preserve"> администрацией МО П</w:t>
      </w:r>
      <w:r w:rsidR="00330F1F">
        <w:t xml:space="preserve">риозерский муниципальный район </w:t>
      </w:r>
      <w:r w:rsidRPr="00694FAA">
        <w:t xml:space="preserve">в 2019 году размещено </w:t>
      </w:r>
      <w:r w:rsidRPr="00694FAA">
        <w:rPr>
          <w:b/>
        </w:rPr>
        <w:t>206 извещений</w:t>
      </w:r>
      <w:r w:rsidRPr="00694FAA">
        <w:t xml:space="preserve"> о проведении закупочных процедур определения поставщика (подрядчика, исполнителя) с целью заключения контрактов путем проведения конкурентных способов проведения закупок (Электронный аукцион, Запр</w:t>
      </w:r>
      <w:r w:rsidR="00330F1F">
        <w:t>ос котировок, Открытый конкурс)</w:t>
      </w:r>
      <w:r w:rsidRPr="00694FAA">
        <w:t>, а также закупок у единственного поставщика, руководст</w:t>
      </w:r>
      <w:r w:rsidR="00330F1F">
        <w:t xml:space="preserve">вуясь статьей 93 Закона №44-ФЗ </w:t>
      </w:r>
      <w:r w:rsidRPr="00694FAA">
        <w:t>с общим суммарным значением начально</w:t>
      </w:r>
      <w:r w:rsidR="00330F1F">
        <w:t>й (максимальной) цены контракта</w:t>
      </w:r>
      <w:r w:rsidRPr="00694FAA">
        <w:t xml:space="preserve"> </w:t>
      </w:r>
      <w:r w:rsidRPr="00694FAA">
        <w:rPr>
          <w:b/>
        </w:rPr>
        <w:t>780 882,4 тыс. руб.</w:t>
      </w:r>
    </w:p>
    <w:p w:rsidR="001F0E28" w:rsidRPr="00694FAA" w:rsidRDefault="001F0E28" w:rsidP="003C3B7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94FAA">
        <w:rPr>
          <w:rFonts w:eastAsia="Calibri"/>
        </w:rPr>
        <w:lastRenderedPageBreak/>
        <w:t xml:space="preserve">Исходя из приведенных данных, в 2019 году наиболее распространенными способами определения поставщика (подрядчика, исполнителя) являются: </w:t>
      </w:r>
    </w:p>
    <w:p w:rsidR="001F0E28" w:rsidRPr="00694FAA" w:rsidRDefault="001F0E28" w:rsidP="003C3B7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4FAA">
        <w:rPr>
          <w:rFonts w:cs="Times New Roman CYR"/>
          <w:b/>
        </w:rPr>
        <w:t>Электронный аукцион</w:t>
      </w:r>
      <w:r w:rsidRPr="00694FAA">
        <w:rPr>
          <w:rFonts w:eastAsia="Calibri"/>
        </w:rPr>
        <w:t xml:space="preserve"> – </w:t>
      </w:r>
      <w:r w:rsidRPr="00694FAA">
        <w:rPr>
          <w:rFonts w:eastAsia="Calibri"/>
          <w:b/>
        </w:rPr>
        <w:t>72,3</w:t>
      </w:r>
      <w:r w:rsidRPr="00694FAA">
        <w:rPr>
          <w:rFonts w:eastAsia="Calibri"/>
          <w:b/>
          <w:bCs/>
        </w:rPr>
        <w:t xml:space="preserve">% </w:t>
      </w:r>
      <w:r w:rsidRPr="00694FAA">
        <w:rPr>
          <w:rFonts w:eastAsia="Calibri"/>
          <w:bCs/>
        </w:rPr>
        <w:t>(149 шт.)</w:t>
      </w:r>
      <w:r w:rsidRPr="00694FAA">
        <w:rPr>
          <w:rFonts w:eastAsia="Calibri"/>
          <w:b/>
          <w:bCs/>
        </w:rPr>
        <w:t xml:space="preserve"> </w:t>
      </w:r>
      <w:r w:rsidRPr="00694FAA">
        <w:rPr>
          <w:rFonts w:eastAsia="Calibri"/>
        </w:rPr>
        <w:t xml:space="preserve">от общего количества извещений, размещенных в ЕИС и </w:t>
      </w:r>
      <w:r w:rsidRPr="00694FAA">
        <w:rPr>
          <w:rFonts w:eastAsia="Calibri"/>
          <w:b/>
        </w:rPr>
        <w:t>98,4%</w:t>
      </w:r>
      <w:r w:rsidRPr="00694FAA">
        <w:rPr>
          <w:rFonts w:eastAsia="Calibri"/>
        </w:rPr>
        <w:t xml:space="preserve"> (768 334,9 тыс. руб.) от общего суммарного объема размещенных извещений; </w:t>
      </w:r>
    </w:p>
    <w:p w:rsidR="001F0E28" w:rsidRPr="00694FAA" w:rsidRDefault="001F0E28" w:rsidP="003C3B7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4FAA">
        <w:rPr>
          <w:rFonts w:cs="Times New Roman CYR"/>
          <w:b/>
        </w:rPr>
        <w:t xml:space="preserve">Запрос котировок в электронной форме </w:t>
      </w:r>
      <w:r w:rsidRPr="00694FAA">
        <w:rPr>
          <w:rFonts w:eastAsia="Calibri"/>
        </w:rPr>
        <w:t xml:space="preserve">– </w:t>
      </w:r>
      <w:r w:rsidRPr="00694FAA">
        <w:rPr>
          <w:rFonts w:eastAsia="Calibri"/>
          <w:b/>
        </w:rPr>
        <w:t xml:space="preserve">16,0% </w:t>
      </w:r>
      <w:r w:rsidRPr="00694FAA">
        <w:rPr>
          <w:rFonts w:eastAsia="Calibri"/>
        </w:rPr>
        <w:t xml:space="preserve">(33 шт.) от общего количества извещений, размещенных в ЕИС и </w:t>
      </w:r>
      <w:r w:rsidRPr="00694FAA">
        <w:rPr>
          <w:rFonts w:eastAsia="Calibri"/>
          <w:b/>
        </w:rPr>
        <w:t>0,5%</w:t>
      </w:r>
      <w:r w:rsidRPr="00694FAA">
        <w:rPr>
          <w:rFonts w:eastAsia="Calibri"/>
        </w:rPr>
        <w:t xml:space="preserve"> (4 174,4 тыс. руб.) от общего суммарного объема размещенных извещений; </w:t>
      </w:r>
    </w:p>
    <w:p w:rsidR="001F0E28" w:rsidRPr="00694FAA" w:rsidRDefault="001F0E28" w:rsidP="003C3B78">
      <w:pPr>
        <w:ind w:firstLine="709"/>
        <w:jc w:val="both"/>
        <w:rPr>
          <w:color w:val="000000"/>
          <w:shd w:val="clear" w:color="auto" w:fill="FFFFFF"/>
        </w:rPr>
      </w:pPr>
      <w:r w:rsidRPr="00694FAA">
        <w:t>Преоб</w:t>
      </w:r>
      <w:r w:rsidR="003C3B78">
        <w:t xml:space="preserve">ладающим конкурентным способом </w:t>
      </w:r>
      <w:r w:rsidRPr="00694FAA">
        <w:t xml:space="preserve">определения поставщика (подрядчика, исполнителя) остается </w:t>
      </w:r>
      <w:r w:rsidRPr="00694FAA">
        <w:rPr>
          <w:b/>
          <w:i/>
        </w:rPr>
        <w:t>электронный аукцион</w:t>
      </w:r>
      <w:r w:rsidR="003C3B78">
        <w:t xml:space="preserve">. </w:t>
      </w:r>
      <w:r w:rsidRPr="00694FAA">
        <w:rPr>
          <w:color w:val="000000"/>
          <w:shd w:val="clear" w:color="auto" w:fill="FFFFFF"/>
        </w:rPr>
        <w:t>Несмотря на то, что в 2019 году в электронный вид перешли вообще все конкурентные закупки, аукцион в электронной форме остается самой популярной закупочной процедурой.</w:t>
      </w:r>
    </w:p>
    <w:p w:rsidR="001F0E28" w:rsidRPr="00694FAA" w:rsidRDefault="001F0E28" w:rsidP="003C3B78">
      <w:pPr>
        <w:ind w:firstLine="709"/>
        <w:jc w:val="both"/>
        <w:rPr>
          <w:color w:val="000000"/>
          <w:shd w:val="clear" w:color="auto" w:fill="FFFFFF"/>
        </w:rPr>
      </w:pPr>
      <w:r w:rsidRPr="00694FAA">
        <w:rPr>
          <w:color w:val="000000"/>
          <w:shd w:val="clear" w:color="auto" w:fill="FFFFFF"/>
        </w:rPr>
        <w:t>Количественный объем размещ</w:t>
      </w:r>
      <w:r w:rsidR="003C3B78">
        <w:rPr>
          <w:color w:val="000000"/>
          <w:shd w:val="clear" w:color="auto" w:fill="FFFFFF"/>
        </w:rPr>
        <w:t xml:space="preserve">енных извещений </w:t>
      </w:r>
      <w:r w:rsidRPr="00694FAA">
        <w:rPr>
          <w:color w:val="000000"/>
          <w:shd w:val="clear" w:color="auto" w:fill="FFFFFF"/>
        </w:rPr>
        <w:t xml:space="preserve">по другим конкурентным процедурам определения поставщика составил от </w:t>
      </w:r>
      <w:r w:rsidRPr="00694FAA">
        <w:rPr>
          <w:b/>
          <w:color w:val="000000"/>
          <w:shd w:val="clear" w:color="auto" w:fill="FFFFFF"/>
        </w:rPr>
        <w:t>1,0%</w:t>
      </w:r>
      <w:r w:rsidRPr="00694FAA">
        <w:rPr>
          <w:color w:val="000000"/>
          <w:shd w:val="clear" w:color="auto" w:fill="FFFFFF"/>
        </w:rPr>
        <w:t xml:space="preserve"> (Открытый конкурс) до </w:t>
      </w:r>
      <w:r w:rsidRPr="00694FAA">
        <w:rPr>
          <w:b/>
          <w:color w:val="000000"/>
          <w:shd w:val="clear" w:color="auto" w:fill="FFFFFF"/>
        </w:rPr>
        <w:t>10,7%</w:t>
      </w:r>
      <w:r w:rsidRPr="00694FAA">
        <w:rPr>
          <w:color w:val="000000"/>
          <w:shd w:val="clear" w:color="auto" w:fill="FFFFFF"/>
        </w:rPr>
        <w:t xml:space="preserve"> (Закупка у единственного поставщика (исполнителя, подрядчика)).</w:t>
      </w:r>
    </w:p>
    <w:p w:rsidR="001F0E28" w:rsidRDefault="001F0E28" w:rsidP="003C3B78">
      <w:pPr>
        <w:tabs>
          <w:tab w:val="left" w:pos="142"/>
        </w:tabs>
        <w:ind w:firstLine="709"/>
        <w:jc w:val="both"/>
      </w:pPr>
      <w:r w:rsidRPr="000A6FAB">
        <w:t>С</w:t>
      </w:r>
      <w:r>
        <w:t>ведения об объеме извещений</w:t>
      </w:r>
      <w:r w:rsidRPr="000A6FAB">
        <w:t xml:space="preserve"> в разбивке по процедурам определения постав</w:t>
      </w:r>
      <w:r>
        <w:t xml:space="preserve">щика (подрядчика, исполнителя) </w:t>
      </w:r>
      <w:r w:rsidRPr="000A6FAB">
        <w:t>по итогам 2019 года представлены в</w:t>
      </w:r>
      <w:r w:rsidRPr="000A6FAB">
        <w:rPr>
          <w:b/>
        </w:rPr>
        <w:t xml:space="preserve"> </w:t>
      </w:r>
      <w:r w:rsidRPr="00A448EA">
        <w:t>таблице № 1.</w:t>
      </w:r>
    </w:p>
    <w:p w:rsidR="001F0E28" w:rsidRDefault="001F0E28" w:rsidP="00330F1F">
      <w:pPr>
        <w:tabs>
          <w:tab w:val="left" w:pos="142"/>
        </w:tabs>
        <w:ind w:firstLine="709"/>
        <w:jc w:val="both"/>
      </w:pPr>
    </w:p>
    <w:p w:rsidR="001F0E28" w:rsidRPr="003364ED" w:rsidRDefault="001F0E28" w:rsidP="00330F1F">
      <w:pPr>
        <w:tabs>
          <w:tab w:val="left" w:pos="142"/>
        </w:tabs>
        <w:jc w:val="right"/>
        <w:rPr>
          <w:b/>
          <w:sz w:val="20"/>
          <w:szCs w:val="20"/>
        </w:rPr>
      </w:pPr>
      <w:r w:rsidRPr="00A448EA">
        <w:t>Таблица № 1</w:t>
      </w:r>
    </w:p>
    <w:tbl>
      <w:tblPr>
        <w:tblpPr w:leftFromText="180" w:rightFromText="180" w:vertAnchor="text" w:horzAnchor="margin" w:tblpXSpec="center" w:tblpY="254"/>
        <w:tblW w:w="9667" w:type="dxa"/>
        <w:tblLayout w:type="fixed"/>
        <w:tblLook w:val="00A0" w:firstRow="1" w:lastRow="0" w:firstColumn="1" w:lastColumn="0" w:noHBand="0" w:noVBand="0"/>
      </w:tblPr>
      <w:tblGrid>
        <w:gridCol w:w="1021"/>
        <w:gridCol w:w="4536"/>
        <w:gridCol w:w="1836"/>
        <w:gridCol w:w="2274"/>
      </w:tblGrid>
      <w:tr w:rsidR="001F0E28" w:rsidRPr="00A448EA" w:rsidTr="00E81923">
        <w:trPr>
          <w:trHeight w:val="276"/>
          <w:tblHeader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A448EA" w:rsidRDefault="001F0E28" w:rsidP="00330F1F">
            <w:pPr>
              <w:pStyle w:val="Defaul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F0E28" w:rsidRPr="00A448EA" w:rsidRDefault="001F0E28" w:rsidP="00330F1F">
            <w:pPr>
              <w:pStyle w:val="Defaul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48EA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448EA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Pr="00A448EA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pStyle w:val="Default"/>
              <w:tabs>
                <w:tab w:val="left" w:pos="142"/>
              </w:tabs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448EA">
              <w:rPr>
                <w:rFonts w:ascii="Times New Roman" w:hAnsi="Times New Roman" w:cs="Times New Roman"/>
                <w:b/>
                <w:bCs/>
                <w:color w:val="auto"/>
              </w:rPr>
              <w:t>Способ определения поставщика</w:t>
            </w:r>
          </w:p>
          <w:p w:rsidR="001F0E28" w:rsidRPr="00A448EA" w:rsidRDefault="001F0E28" w:rsidP="00330F1F">
            <w:pPr>
              <w:pStyle w:val="Default"/>
              <w:tabs>
                <w:tab w:val="left" w:pos="142"/>
              </w:tabs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48EA">
              <w:rPr>
                <w:rFonts w:ascii="Times New Roman" w:hAnsi="Times New Roman" w:cs="Times New Roman"/>
                <w:b/>
                <w:bCs/>
                <w:color w:val="auto"/>
              </w:rPr>
              <w:t>(подрядчика, исполнителя)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A448EA">
              <w:rPr>
                <w:b/>
                <w:bCs/>
              </w:rPr>
              <w:t>Количество размещенных извещений, шт.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</w:tcPr>
          <w:p w:rsidR="001F0E28" w:rsidRPr="00A448EA" w:rsidRDefault="001F0E28" w:rsidP="00330F1F">
            <w:pPr>
              <w:tabs>
                <w:tab w:val="left" w:pos="142"/>
              </w:tabs>
              <w:ind w:firstLine="40"/>
              <w:jc w:val="center"/>
              <w:rPr>
                <w:b/>
                <w:bCs/>
              </w:rPr>
            </w:pPr>
            <w:r w:rsidRPr="00A448EA">
              <w:rPr>
                <w:b/>
                <w:bCs/>
              </w:rPr>
              <w:t>Доля в общем количестве закупок, %</w:t>
            </w:r>
          </w:p>
        </w:tc>
      </w:tr>
      <w:tr w:rsidR="001F0E28" w:rsidRPr="00A448EA" w:rsidTr="00E81923">
        <w:trPr>
          <w:trHeight w:val="540"/>
          <w:tblHeader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  <w:bCs/>
              </w:rPr>
            </w:pPr>
          </w:p>
        </w:tc>
      </w:tr>
      <w:tr w:rsidR="001F0E28" w:rsidRPr="00A448EA" w:rsidTr="00E81923">
        <w:trPr>
          <w:trHeight w:val="89"/>
          <w:tblHeader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</w:rPr>
            </w:pPr>
            <w:r w:rsidRPr="00A448EA">
              <w:rPr>
                <w:b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</w:rPr>
            </w:pPr>
            <w:r w:rsidRPr="00A448EA">
              <w:rPr>
                <w:b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</w:rPr>
            </w:pPr>
          </w:p>
        </w:tc>
      </w:tr>
      <w:tr w:rsidR="001F0E28" w:rsidRPr="00A448EA" w:rsidTr="00E81923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</w:pPr>
            <w:r w:rsidRPr="00A448EA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33"/>
              <w:jc w:val="both"/>
            </w:pPr>
            <w:r w:rsidRPr="00A448EA">
              <w:t>Электронный аукцион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149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72,3</w:t>
            </w:r>
            <w:r w:rsidRPr="00A448EA">
              <w:t xml:space="preserve"> %</w:t>
            </w:r>
          </w:p>
        </w:tc>
      </w:tr>
      <w:tr w:rsidR="001F0E28" w:rsidRPr="00A448EA" w:rsidTr="00E81923">
        <w:trPr>
          <w:trHeight w:val="429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</w:pPr>
            <w:r w:rsidRPr="00A448EA"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33"/>
              <w:jc w:val="both"/>
            </w:pPr>
            <w:r w:rsidRPr="00A448EA">
              <w:t>Запрос котировок</w:t>
            </w:r>
            <w:r>
              <w:t xml:space="preserve"> в электронной форме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33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16,0</w:t>
            </w:r>
            <w:r w:rsidRPr="00A448EA">
              <w:t>%</w:t>
            </w:r>
          </w:p>
        </w:tc>
      </w:tr>
      <w:tr w:rsidR="001F0E28" w:rsidRPr="00A448EA" w:rsidTr="00E81923">
        <w:trPr>
          <w:trHeight w:val="421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</w:pPr>
            <w:r w:rsidRPr="00A448EA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33"/>
              <w:jc w:val="both"/>
            </w:pPr>
            <w:r w:rsidRPr="00A448EA">
              <w:t>Открытый конкурс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10,7</w:t>
            </w:r>
            <w:r w:rsidRPr="00A448EA">
              <w:t>%</w:t>
            </w:r>
          </w:p>
        </w:tc>
      </w:tr>
      <w:tr w:rsidR="001F0E28" w:rsidRPr="00A448EA" w:rsidTr="00E81923">
        <w:trPr>
          <w:trHeight w:val="407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</w:pPr>
            <w:r w:rsidRPr="00A448EA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33"/>
              <w:jc w:val="both"/>
            </w:pPr>
            <w:r>
              <w:t>Закупка</w:t>
            </w:r>
            <w:r w:rsidRPr="00A448EA">
              <w:t xml:space="preserve"> у единственного поставщика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10,7</w:t>
            </w:r>
            <w:r w:rsidRPr="00A448EA">
              <w:t>%</w:t>
            </w:r>
          </w:p>
        </w:tc>
      </w:tr>
      <w:tr w:rsidR="001F0E28" w:rsidRPr="00A448EA" w:rsidTr="00E81923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33"/>
              <w:jc w:val="both"/>
              <w:rPr>
                <w:b/>
              </w:rPr>
            </w:pPr>
            <w:r w:rsidRPr="00A448EA">
              <w:rPr>
                <w:b/>
              </w:rPr>
              <w:t>Общий итог: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</w:rPr>
            </w:pPr>
            <w:r w:rsidRPr="00A448EA">
              <w:rPr>
                <w:b/>
              </w:rPr>
              <w:t>100,0%</w:t>
            </w:r>
          </w:p>
        </w:tc>
      </w:tr>
    </w:tbl>
    <w:p w:rsidR="001F0E28" w:rsidRPr="00A448EA" w:rsidRDefault="001F0E28" w:rsidP="00330F1F">
      <w:pPr>
        <w:tabs>
          <w:tab w:val="left" w:pos="142"/>
        </w:tabs>
        <w:jc w:val="right"/>
      </w:pPr>
    </w:p>
    <w:p w:rsidR="001F0E28" w:rsidRPr="00914289" w:rsidRDefault="001F0E28" w:rsidP="00330F1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4289">
        <w:rPr>
          <w:rFonts w:eastAsia="Calibri"/>
        </w:rPr>
        <w:t>Исходя из приведенных данных, в 2019 году наиболее распространенными способами определения поставщика (под</w:t>
      </w:r>
      <w:r w:rsidR="003C3B78" w:rsidRPr="00914289">
        <w:rPr>
          <w:rFonts w:eastAsia="Calibri"/>
        </w:rPr>
        <w:t>рядчика, исполнителя) являются:</w:t>
      </w:r>
    </w:p>
    <w:p w:rsidR="001F0E28" w:rsidRPr="00914289" w:rsidRDefault="001F0E28" w:rsidP="00914289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914289">
        <w:rPr>
          <w:rStyle w:val="a5"/>
          <w:rFonts w:cs="Times New Roman CYR"/>
          <w:b/>
          <w:color w:val="auto"/>
        </w:rPr>
        <w:t xml:space="preserve"> Электронный аукцион</w:t>
      </w:r>
      <w:r w:rsidRPr="00914289">
        <w:rPr>
          <w:rFonts w:eastAsia="Calibri"/>
        </w:rPr>
        <w:t xml:space="preserve"> – </w:t>
      </w:r>
      <w:r w:rsidRPr="00914289">
        <w:rPr>
          <w:rFonts w:eastAsia="Calibri"/>
          <w:b/>
        </w:rPr>
        <w:t>72,3</w:t>
      </w:r>
      <w:r w:rsidR="003C3B78" w:rsidRPr="00914289">
        <w:rPr>
          <w:rFonts w:eastAsia="Calibri"/>
          <w:b/>
          <w:bCs/>
        </w:rPr>
        <w:t>%</w:t>
      </w:r>
      <w:r w:rsidRPr="00914289">
        <w:rPr>
          <w:rFonts w:eastAsia="Calibri"/>
          <w:b/>
          <w:bCs/>
        </w:rPr>
        <w:t xml:space="preserve"> </w:t>
      </w:r>
      <w:r w:rsidRPr="00914289">
        <w:rPr>
          <w:rFonts w:eastAsia="Calibri"/>
        </w:rPr>
        <w:t xml:space="preserve">от общего количества извещений, размещенных в ЕИС; </w:t>
      </w:r>
    </w:p>
    <w:p w:rsidR="001F0E28" w:rsidRPr="00914289" w:rsidRDefault="001F0E28" w:rsidP="00914289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="0" w:firstLine="567"/>
        <w:jc w:val="both"/>
        <w:rPr>
          <w:rFonts w:eastAsia="Calibri"/>
        </w:rPr>
      </w:pPr>
      <w:r w:rsidRPr="00914289">
        <w:rPr>
          <w:rFonts w:eastAsia="Calibri"/>
        </w:rPr>
        <w:t xml:space="preserve"> </w:t>
      </w:r>
      <w:r w:rsidRPr="00914289">
        <w:rPr>
          <w:rStyle w:val="a5"/>
          <w:rFonts w:cs="Times New Roman CYR"/>
          <w:b/>
          <w:color w:val="auto"/>
        </w:rPr>
        <w:t xml:space="preserve">Запрос котировок в электронной форме </w:t>
      </w:r>
      <w:r w:rsidRPr="00914289">
        <w:rPr>
          <w:rFonts w:eastAsia="Calibri"/>
        </w:rPr>
        <w:t xml:space="preserve">– </w:t>
      </w:r>
      <w:r w:rsidRPr="00914289">
        <w:rPr>
          <w:rFonts w:eastAsia="Calibri"/>
          <w:b/>
        </w:rPr>
        <w:t>16,0</w:t>
      </w:r>
      <w:r w:rsidRPr="00914289">
        <w:rPr>
          <w:rFonts w:eastAsia="Calibri"/>
          <w:b/>
          <w:bCs/>
        </w:rPr>
        <w:t xml:space="preserve">% </w:t>
      </w:r>
      <w:r w:rsidRPr="00914289">
        <w:rPr>
          <w:rFonts w:eastAsia="Calibri"/>
        </w:rPr>
        <w:t xml:space="preserve">от общего количества извещений, размещенных в ЕИС. </w:t>
      </w:r>
    </w:p>
    <w:p w:rsidR="001F0E28" w:rsidRPr="00914289" w:rsidRDefault="001F0E28" w:rsidP="00330F1F">
      <w:pPr>
        <w:ind w:firstLine="709"/>
        <w:jc w:val="both"/>
        <w:rPr>
          <w:iCs/>
        </w:rPr>
      </w:pPr>
      <w:r w:rsidRPr="00914289">
        <w:t xml:space="preserve">Преобладающим </w:t>
      </w:r>
      <w:r w:rsidR="00914289" w:rsidRPr="00914289">
        <w:t xml:space="preserve">конкурентным способом </w:t>
      </w:r>
      <w:r w:rsidRPr="00914289">
        <w:t xml:space="preserve">определения поставщика (подрядчика, исполнителя) остается </w:t>
      </w:r>
      <w:r w:rsidRPr="00914289">
        <w:rPr>
          <w:b/>
          <w:i/>
        </w:rPr>
        <w:t>электронный аукцион</w:t>
      </w:r>
      <w:r w:rsidR="00914289" w:rsidRPr="00914289">
        <w:t xml:space="preserve">. </w:t>
      </w:r>
      <w:r w:rsidRPr="00914289">
        <w:rPr>
          <w:shd w:val="clear" w:color="auto" w:fill="FFFFFF"/>
        </w:rPr>
        <w:t>Несмотря на то, что в 2019 году в электронный вид перешли вообще все конкурентные закупки, аукцион в электронной форме остается самой популярной закупочной процедурой. Э</w:t>
      </w:r>
      <w:r w:rsidRPr="00914289">
        <w:rPr>
          <w:iCs/>
        </w:rPr>
        <w:t xml:space="preserve">то одна из самых востребованных процедур, используемых заказчиками при осуществлении закупок товаров (работ, услуг) в целях обеспечения государственных и муниципальных нужд. </w:t>
      </w:r>
    </w:p>
    <w:p w:rsidR="001F0E28" w:rsidRPr="00914289" w:rsidRDefault="001F0E28" w:rsidP="00330F1F">
      <w:pPr>
        <w:ind w:firstLine="709"/>
        <w:jc w:val="both"/>
        <w:rPr>
          <w:iCs/>
        </w:rPr>
      </w:pPr>
      <w:r w:rsidRPr="00914289">
        <w:rPr>
          <w:iCs/>
        </w:rPr>
        <w:t>Электронный аукцион считается также самой прозрачной процедурой из всех способов определения поставщика. Его недостаток лишь в том, что критерием отбора на этапе торгов является лишь цена. Поэтому закупать посредством аукциона можно далеко не любые товары, работы или услуги, а лишь такие, для которых можно:</w:t>
      </w:r>
    </w:p>
    <w:p w:rsidR="001F0E28" w:rsidRPr="00914289" w:rsidRDefault="001F0E28" w:rsidP="00330F1F">
      <w:pPr>
        <w:numPr>
          <w:ilvl w:val="0"/>
          <w:numId w:val="5"/>
        </w:numPr>
        <w:ind w:left="0" w:firstLine="709"/>
        <w:jc w:val="both"/>
        <w:rPr>
          <w:iCs/>
        </w:rPr>
      </w:pPr>
      <w:r w:rsidRPr="00914289">
        <w:rPr>
          <w:iCs/>
        </w:rPr>
        <w:t>Точно описать объект закупки;</w:t>
      </w:r>
    </w:p>
    <w:p w:rsidR="001F0E28" w:rsidRPr="00914289" w:rsidRDefault="001F0E28" w:rsidP="00330F1F">
      <w:pPr>
        <w:numPr>
          <w:ilvl w:val="0"/>
          <w:numId w:val="5"/>
        </w:numPr>
        <w:ind w:left="0" w:firstLine="709"/>
        <w:jc w:val="both"/>
        <w:rPr>
          <w:iCs/>
        </w:rPr>
      </w:pPr>
      <w:r w:rsidRPr="00914289">
        <w:rPr>
          <w:iCs/>
        </w:rPr>
        <w:t>Оценить заявку исключительно по цене.</w:t>
      </w:r>
    </w:p>
    <w:p w:rsidR="001F0E28" w:rsidRDefault="001F0E28" w:rsidP="00330F1F">
      <w:pPr>
        <w:spacing w:line="120" w:lineRule="auto"/>
        <w:ind w:firstLine="709"/>
        <w:jc w:val="both"/>
        <w:rPr>
          <w:b/>
        </w:rPr>
      </w:pPr>
    </w:p>
    <w:p w:rsidR="001F0E28" w:rsidRDefault="001F0E28" w:rsidP="00330F1F">
      <w:pPr>
        <w:widowControl w:val="0"/>
        <w:tabs>
          <w:tab w:val="left" w:pos="142"/>
          <w:tab w:val="left" w:pos="709"/>
        </w:tabs>
        <w:ind w:firstLine="709"/>
        <w:jc w:val="right"/>
      </w:pPr>
    </w:p>
    <w:p w:rsidR="001F0E28" w:rsidRDefault="001F0E28" w:rsidP="00330F1F">
      <w:pPr>
        <w:widowControl w:val="0"/>
        <w:tabs>
          <w:tab w:val="left" w:pos="142"/>
          <w:tab w:val="left" w:pos="709"/>
        </w:tabs>
        <w:ind w:firstLine="709"/>
        <w:jc w:val="right"/>
      </w:pPr>
    </w:p>
    <w:p w:rsidR="001F0E28" w:rsidRPr="00694FAA" w:rsidRDefault="001F0E28" w:rsidP="001F0E28">
      <w:pPr>
        <w:ind w:firstLine="709"/>
        <w:jc w:val="center"/>
        <w:rPr>
          <w:b/>
        </w:rPr>
      </w:pPr>
      <w:r w:rsidRPr="00694FAA">
        <w:rPr>
          <w:b/>
        </w:rPr>
        <w:t>Диаграмма 1. Информация о долевом соотношении опубликованных извещений с разбивкой по способам определения поставщика (подрядчика, исполнителя) в количественном обозначении</w:t>
      </w:r>
    </w:p>
    <w:p w:rsidR="001F0E28" w:rsidRPr="00694FAA" w:rsidRDefault="007C0A56" w:rsidP="00914289">
      <w:pPr>
        <w:widowControl w:val="0"/>
        <w:tabs>
          <w:tab w:val="left" w:pos="709"/>
        </w:tabs>
        <w:ind w:firstLine="567"/>
        <w:jc w:val="both"/>
      </w:pPr>
      <w:r>
        <w:rPr>
          <w:noProof/>
        </w:rPr>
        <w:drawing>
          <wp:inline distT="0" distB="0" distL="0" distR="0">
            <wp:extent cx="5463540" cy="42214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28" w:rsidRPr="00694FAA" w:rsidRDefault="001F0E28" w:rsidP="004C29E8">
      <w:pPr>
        <w:autoSpaceDE w:val="0"/>
        <w:autoSpaceDN w:val="0"/>
        <w:adjustRightInd w:val="0"/>
        <w:spacing w:after="120"/>
        <w:ind w:firstLine="709"/>
        <w:jc w:val="both"/>
      </w:pPr>
      <w:r w:rsidRPr="00694FAA">
        <w:t>Количественный объем размещенных извещений по другим конкурентным процедурам опре</w:t>
      </w:r>
      <w:r w:rsidR="00914289">
        <w:t xml:space="preserve">деления поставщика составил от </w:t>
      </w:r>
      <w:r w:rsidRPr="00694FAA">
        <w:rPr>
          <w:b/>
        </w:rPr>
        <w:t>1,0%</w:t>
      </w:r>
      <w:r w:rsidR="00914289">
        <w:t xml:space="preserve"> (Открытый конкурс) </w:t>
      </w:r>
      <w:r w:rsidRPr="00694FAA">
        <w:t xml:space="preserve">до </w:t>
      </w:r>
      <w:r w:rsidRPr="00694FAA">
        <w:rPr>
          <w:b/>
        </w:rPr>
        <w:t>10,7%</w:t>
      </w:r>
      <w:r w:rsidRPr="00694FAA">
        <w:t xml:space="preserve"> (Закупка у единственного поставщика (исполнителя, подрядчика)).</w:t>
      </w:r>
    </w:p>
    <w:p w:rsidR="001F0E28" w:rsidRPr="00694FAA" w:rsidRDefault="001F0E28" w:rsidP="001F0E28">
      <w:pPr>
        <w:widowControl w:val="0"/>
        <w:tabs>
          <w:tab w:val="left" w:pos="709"/>
        </w:tabs>
        <w:spacing w:line="120" w:lineRule="auto"/>
        <w:ind w:firstLine="567"/>
        <w:jc w:val="both"/>
      </w:pPr>
    </w:p>
    <w:p w:rsidR="001F0E28" w:rsidRPr="00694FAA" w:rsidRDefault="001F0E28" w:rsidP="001F0E28">
      <w:pPr>
        <w:widowControl w:val="0"/>
        <w:tabs>
          <w:tab w:val="left" w:pos="709"/>
        </w:tabs>
        <w:jc w:val="center"/>
        <w:rPr>
          <w:sz w:val="22"/>
          <w:szCs w:val="22"/>
        </w:rPr>
      </w:pPr>
      <w:r w:rsidRPr="00694FAA">
        <w:rPr>
          <w:i/>
        </w:rPr>
        <w:t>Сведения о суммарном объеме разме</w:t>
      </w:r>
      <w:r w:rsidR="00914289">
        <w:rPr>
          <w:i/>
        </w:rPr>
        <w:t xml:space="preserve">щенных извещений в 2019 году, в разрезе способов </w:t>
      </w:r>
      <w:r w:rsidRPr="00694FAA">
        <w:rPr>
          <w:i/>
        </w:rPr>
        <w:t xml:space="preserve">определения поставщика (подрядчика, исполнителя) представлены в таблице </w:t>
      </w:r>
      <w:r>
        <w:rPr>
          <w:i/>
        </w:rPr>
        <w:t>2</w:t>
      </w:r>
      <w:r w:rsidRPr="00694FAA">
        <w:rPr>
          <w:i/>
        </w:rPr>
        <w:t>:</w:t>
      </w:r>
    </w:p>
    <w:p w:rsidR="001F0E28" w:rsidRPr="00694FAA" w:rsidRDefault="001F0E28" w:rsidP="00914289">
      <w:pPr>
        <w:widowControl w:val="0"/>
        <w:tabs>
          <w:tab w:val="left" w:pos="709"/>
        </w:tabs>
        <w:ind w:firstLine="567"/>
        <w:jc w:val="right"/>
        <w:rPr>
          <w:sz w:val="22"/>
          <w:szCs w:val="22"/>
        </w:rPr>
      </w:pPr>
      <w:r w:rsidRPr="00694FAA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2</w:t>
      </w:r>
    </w:p>
    <w:tbl>
      <w:tblPr>
        <w:tblpPr w:leftFromText="180" w:rightFromText="180" w:vertAnchor="text" w:horzAnchor="margin" w:tblpXSpec="center" w:tblpY="254"/>
        <w:tblW w:w="9404" w:type="dxa"/>
        <w:tblLayout w:type="fixed"/>
        <w:tblLook w:val="00A0" w:firstRow="1" w:lastRow="0" w:firstColumn="1" w:lastColumn="0" w:noHBand="0" w:noVBand="0"/>
      </w:tblPr>
      <w:tblGrid>
        <w:gridCol w:w="3658"/>
        <w:gridCol w:w="3260"/>
        <w:gridCol w:w="2486"/>
      </w:tblGrid>
      <w:tr w:rsidR="001F0E28" w:rsidRPr="00694FAA" w:rsidTr="00E81923">
        <w:trPr>
          <w:trHeight w:val="253"/>
          <w:tblHeader/>
        </w:trPr>
        <w:tc>
          <w:tcPr>
            <w:tcW w:w="3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AA">
              <w:rPr>
                <w:b/>
                <w:bCs/>
                <w:sz w:val="20"/>
                <w:szCs w:val="20"/>
              </w:rPr>
              <w:t>Способы закупок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AA">
              <w:rPr>
                <w:b/>
                <w:bCs/>
                <w:sz w:val="20"/>
                <w:szCs w:val="20"/>
              </w:rPr>
              <w:t xml:space="preserve">Суммарная начальная (максимальная) цена </w:t>
            </w:r>
          </w:p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A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AA">
              <w:rPr>
                <w:b/>
                <w:bCs/>
                <w:sz w:val="20"/>
                <w:szCs w:val="20"/>
              </w:rPr>
              <w:t>До</w:t>
            </w:r>
            <w:r w:rsidR="00914289">
              <w:rPr>
                <w:b/>
                <w:bCs/>
                <w:sz w:val="20"/>
                <w:szCs w:val="20"/>
              </w:rPr>
              <w:t>ля в общем объеме закупок</w:t>
            </w:r>
          </w:p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8" w:rsidRPr="00694FAA" w:rsidTr="00E81923">
        <w:trPr>
          <w:trHeight w:val="540"/>
          <w:tblHeader/>
        </w:trPr>
        <w:tc>
          <w:tcPr>
            <w:tcW w:w="3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F0E28" w:rsidRPr="00694FAA" w:rsidRDefault="001F0E28" w:rsidP="00E81923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F0E28" w:rsidRPr="00694FAA" w:rsidRDefault="001F0E28" w:rsidP="00E81923">
            <w:pPr>
              <w:rPr>
                <w:b/>
                <w:bCs/>
                <w:sz w:val="18"/>
                <w:szCs w:val="20"/>
              </w:rPr>
            </w:pPr>
          </w:p>
        </w:tc>
      </w:tr>
      <w:tr w:rsidR="001F0E28" w:rsidRPr="00694FAA" w:rsidTr="00E81923">
        <w:trPr>
          <w:trHeight w:val="89"/>
          <w:tblHeader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sz w:val="18"/>
                <w:szCs w:val="20"/>
              </w:rPr>
            </w:pPr>
            <w:r w:rsidRPr="00694FA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sz w:val="18"/>
                <w:szCs w:val="20"/>
              </w:rPr>
            </w:pPr>
            <w:r w:rsidRPr="00694FA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0E28" w:rsidRPr="00694FAA" w:rsidRDefault="001F0E28" w:rsidP="00E81923">
            <w:pPr>
              <w:jc w:val="center"/>
              <w:rPr>
                <w:b/>
                <w:sz w:val="18"/>
                <w:szCs w:val="20"/>
              </w:rPr>
            </w:pPr>
            <w:r w:rsidRPr="00694FAA">
              <w:rPr>
                <w:b/>
                <w:sz w:val="18"/>
                <w:szCs w:val="20"/>
              </w:rPr>
              <w:t>3</w:t>
            </w:r>
          </w:p>
        </w:tc>
      </w:tr>
      <w:tr w:rsidR="001F0E28" w:rsidRPr="00694FAA" w:rsidTr="00E81923">
        <w:trPr>
          <w:trHeight w:val="165"/>
        </w:trPr>
        <w:tc>
          <w:tcPr>
            <w:tcW w:w="94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914289">
            <w:pPr>
              <w:jc w:val="center"/>
              <w:rPr>
                <w:b/>
              </w:rPr>
            </w:pPr>
            <w:r w:rsidRPr="00694FAA">
              <w:rPr>
                <w:b/>
                <w:bCs/>
                <w:lang w:eastAsia="en-US"/>
              </w:rPr>
              <w:t>Конкурентные закупки</w:t>
            </w:r>
          </w:p>
        </w:tc>
      </w:tr>
      <w:tr w:rsidR="001F0E28" w:rsidRPr="00694FAA" w:rsidTr="00E81923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E81923">
            <w:pPr>
              <w:rPr>
                <w:sz w:val="20"/>
                <w:szCs w:val="20"/>
              </w:rPr>
            </w:pPr>
            <w:r w:rsidRPr="00694FA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768 334,9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98,4%</w:t>
            </w:r>
          </w:p>
        </w:tc>
      </w:tr>
      <w:tr w:rsidR="001F0E28" w:rsidRPr="00694FAA" w:rsidTr="00E81923">
        <w:trPr>
          <w:trHeight w:val="42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E81923">
            <w:pPr>
              <w:rPr>
                <w:sz w:val="20"/>
                <w:szCs w:val="20"/>
              </w:rPr>
            </w:pPr>
            <w:r w:rsidRPr="00694FAA">
              <w:rPr>
                <w:sz w:val="20"/>
                <w:szCs w:val="20"/>
              </w:rPr>
              <w:t>Запрос котировок в электронной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4 174,4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0,5%</w:t>
            </w:r>
          </w:p>
        </w:tc>
      </w:tr>
      <w:tr w:rsidR="001F0E28" w:rsidRPr="00694FAA" w:rsidTr="00E81923">
        <w:trPr>
          <w:trHeight w:val="40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E81923">
            <w:pPr>
              <w:rPr>
                <w:sz w:val="20"/>
                <w:szCs w:val="20"/>
              </w:rPr>
            </w:pPr>
            <w:r w:rsidRPr="00694FAA"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1 956,0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0,3%</w:t>
            </w:r>
          </w:p>
        </w:tc>
      </w:tr>
      <w:tr w:rsidR="001F0E28" w:rsidRPr="00694FAA" w:rsidTr="00E81923">
        <w:trPr>
          <w:trHeight w:val="228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E81923">
            <w:pPr>
              <w:rPr>
                <w:b/>
                <w:sz w:val="18"/>
                <w:szCs w:val="18"/>
              </w:rPr>
            </w:pPr>
            <w:r w:rsidRPr="00694FA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774 465,3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99,2%</w:t>
            </w:r>
          </w:p>
        </w:tc>
      </w:tr>
      <w:tr w:rsidR="001F0E28" w:rsidRPr="00694FAA" w:rsidTr="00E81923">
        <w:trPr>
          <w:trHeight w:val="198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914289">
            <w:pPr>
              <w:jc w:val="center"/>
              <w:rPr>
                <w:b/>
              </w:rPr>
            </w:pPr>
            <w:r w:rsidRPr="00694FAA">
              <w:rPr>
                <w:b/>
              </w:rPr>
              <w:t>Закупки у единственного поставщика (часть 1 статьи 93)</w:t>
            </w:r>
          </w:p>
        </w:tc>
      </w:tr>
      <w:tr w:rsidR="001F0E28" w:rsidRPr="00694FAA" w:rsidTr="00E81923">
        <w:trPr>
          <w:trHeight w:val="520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pPr>
              <w:rPr>
                <w:sz w:val="20"/>
                <w:szCs w:val="20"/>
              </w:rPr>
            </w:pPr>
            <w:r w:rsidRPr="00694FAA">
              <w:rPr>
                <w:sz w:val="20"/>
                <w:szCs w:val="20"/>
              </w:rPr>
              <w:t>Закупки у единственного поставщика (пункты 1,6,8,16,22, 29 ст.93)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6 417,1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0,8%</w:t>
            </w:r>
          </w:p>
        </w:tc>
      </w:tr>
      <w:tr w:rsidR="001F0E28" w:rsidRPr="00694FAA" w:rsidTr="00E81923">
        <w:trPr>
          <w:trHeight w:val="225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F0E28" w:rsidRPr="00694FAA" w:rsidRDefault="001F0E28" w:rsidP="00E81923">
            <w:pPr>
              <w:rPr>
                <w:b/>
                <w:bCs/>
                <w:sz w:val="18"/>
                <w:szCs w:val="18"/>
              </w:rPr>
            </w:pPr>
            <w:r w:rsidRPr="00694FA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6 417,1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0,8%</w:t>
            </w:r>
          </w:p>
        </w:tc>
      </w:tr>
      <w:tr w:rsidR="001F0E28" w:rsidRPr="00694FAA" w:rsidTr="00E81923">
        <w:trPr>
          <w:trHeight w:val="25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F0E28" w:rsidRPr="00694FAA" w:rsidRDefault="001F0E28" w:rsidP="00E81923">
            <w:pPr>
              <w:rPr>
                <w:b/>
              </w:rPr>
            </w:pPr>
            <w:r w:rsidRPr="00694FAA">
              <w:rPr>
                <w:b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780 882,4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100,0%</w:t>
            </w:r>
          </w:p>
        </w:tc>
      </w:tr>
    </w:tbl>
    <w:p w:rsidR="001F0E28" w:rsidRPr="00694FAA" w:rsidRDefault="001F0E28" w:rsidP="00914289">
      <w:pPr>
        <w:ind w:firstLine="709"/>
        <w:jc w:val="both"/>
      </w:pPr>
      <w:r w:rsidRPr="00694FAA">
        <w:lastRenderedPageBreak/>
        <w:t>По данным таблицы видно, что преобладающим конкурент</w:t>
      </w:r>
      <w:r w:rsidR="00914289">
        <w:t xml:space="preserve">ным способом закупок по итогам </w:t>
      </w:r>
      <w:r w:rsidRPr="00694FAA">
        <w:t xml:space="preserve">2019 года в разрезе способов размещения заказа традиционно является – </w:t>
      </w:r>
      <w:r w:rsidRPr="00694FAA">
        <w:rPr>
          <w:i/>
        </w:rPr>
        <w:t>Электронный аукцион</w:t>
      </w:r>
      <w:r w:rsidRPr="00694FAA">
        <w:t xml:space="preserve"> - </w:t>
      </w:r>
      <w:r w:rsidR="00914289">
        <w:rPr>
          <w:b/>
        </w:rPr>
        <w:t>98,4%</w:t>
      </w:r>
      <w:r w:rsidR="00914289">
        <w:t xml:space="preserve"> (768 334,9 тыс. руб.).</w:t>
      </w:r>
    </w:p>
    <w:p w:rsidR="001F0E28" w:rsidRPr="00694FAA" w:rsidRDefault="001F0E28" w:rsidP="00914289">
      <w:pPr>
        <w:autoSpaceDE w:val="0"/>
        <w:autoSpaceDN w:val="0"/>
        <w:adjustRightInd w:val="0"/>
        <w:ind w:firstLine="709"/>
        <w:jc w:val="both"/>
      </w:pPr>
      <w:r w:rsidRPr="00694FAA">
        <w:t>Удельный вес других</w:t>
      </w:r>
      <w:r w:rsidR="00914289">
        <w:t xml:space="preserve"> конкурентных способов закупок </w:t>
      </w:r>
      <w:r w:rsidRPr="00694FAA">
        <w:t>варьирует в преде</w:t>
      </w:r>
      <w:r w:rsidR="00914289">
        <w:t xml:space="preserve">лах от 0,3% (Открытый конкурс) до </w:t>
      </w:r>
      <w:r w:rsidRPr="00694FAA">
        <w:t xml:space="preserve">0,5% (Запрос котировок в электронной форме). </w:t>
      </w:r>
    </w:p>
    <w:p w:rsidR="001F0E28" w:rsidRPr="00694FAA" w:rsidRDefault="001F0E28" w:rsidP="00914289">
      <w:pPr>
        <w:autoSpaceDE w:val="0"/>
        <w:autoSpaceDN w:val="0"/>
        <w:adjustRightInd w:val="0"/>
        <w:ind w:firstLine="709"/>
        <w:jc w:val="both"/>
      </w:pPr>
      <w:r w:rsidRPr="00694FAA">
        <w:t>На закупки, осуществленные неконкурентным способом определения поставщика (подрядчика, исполнителя) с единс</w:t>
      </w:r>
      <w:r w:rsidR="00914289">
        <w:t>твенным поставщиком приходится 0,8% от общего объема закупок.</w:t>
      </w:r>
    </w:p>
    <w:p w:rsidR="001F0E28" w:rsidRPr="00914289" w:rsidRDefault="001F0E28" w:rsidP="00914289">
      <w:pPr>
        <w:ind w:firstLine="709"/>
        <w:jc w:val="both"/>
      </w:pPr>
      <w:r w:rsidRPr="00914289">
        <w:t>Более наглядно информация о долевом соотношении закупок с разбивкой по способам определения поставщика (подрядчика, исполнителя) в сумм</w:t>
      </w:r>
      <w:r w:rsidR="00914289" w:rsidRPr="00914289">
        <w:t xml:space="preserve">арном обозначении представлена </w:t>
      </w:r>
      <w:r w:rsidRPr="00914289">
        <w:t>на следующей диаграмме:</w:t>
      </w:r>
    </w:p>
    <w:p w:rsidR="001F0E28" w:rsidRPr="00694FAA" w:rsidRDefault="001F0E28" w:rsidP="001F0E28">
      <w:pPr>
        <w:jc w:val="center"/>
        <w:rPr>
          <w:i/>
        </w:rPr>
      </w:pPr>
    </w:p>
    <w:p w:rsidR="001F0E28" w:rsidRDefault="001F0E28" w:rsidP="001F0E28">
      <w:pPr>
        <w:ind w:firstLine="709"/>
        <w:jc w:val="center"/>
        <w:rPr>
          <w:b/>
        </w:rPr>
      </w:pPr>
      <w:r w:rsidRPr="00694FAA">
        <w:rPr>
          <w:b/>
          <w:noProof/>
        </w:rPr>
        <w:t>Диаграмма</w:t>
      </w:r>
      <w:r w:rsidRPr="00694FAA">
        <w:rPr>
          <w:noProof/>
        </w:rPr>
        <w:t xml:space="preserve"> </w:t>
      </w:r>
      <w:r>
        <w:rPr>
          <w:noProof/>
        </w:rPr>
        <w:t>2</w:t>
      </w:r>
      <w:r w:rsidRPr="00694FAA">
        <w:rPr>
          <w:b/>
        </w:rPr>
        <w:t xml:space="preserve">. Информация о долевом соотношении закупок с разбивкой по способам определения поставщика (подрядчика, исполнителя) в суммарном обозначении </w:t>
      </w:r>
    </w:p>
    <w:p w:rsidR="00914289" w:rsidRPr="00694FAA" w:rsidRDefault="00914289" w:rsidP="001F0E28">
      <w:pPr>
        <w:ind w:firstLine="709"/>
        <w:jc w:val="center"/>
        <w:rPr>
          <w:b/>
        </w:rPr>
      </w:pPr>
    </w:p>
    <w:p w:rsidR="001F0E28" w:rsidRPr="00694FAA" w:rsidRDefault="001F0E28" w:rsidP="001F0E28">
      <w:pPr>
        <w:ind w:firstLine="709"/>
        <w:jc w:val="center"/>
      </w:pPr>
    </w:p>
    <w:p w:rsidR="001F0E28" w:rsidRPr="00914289" w:rsidRDefault="001F0E28" w:rsidP="001F0E28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</w:rPr>
      </w:pPr>
      <w:r w:rsidRPr="00694FAA">
        <w:rPr>
          <w:rFonts w:ascii="Arial" w:eastAsia="Calibri" w:hAnsi="Arial" w:cs="Arial"/>
          <w:color w:val="000000"/>
        </w:rPr>
        <w:t xml:space="preserve">  </w:t>
      </w:r>
      <w:r w:rsidR="00A012E7">
        <w:rPr>
          <w:rFonts w:eastAsia="Calibri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339pt">
            <v:imagedata r:id="rId6" o:title="" cropbottom="-18f" cropright="-8f"/>
            <o:lock v:ext="edit" aspectratio="f"/>
          </v:shape>
        </w:pict>
      </w:r>
    </w:p>
    <w:p w:rsidR="001F0E28" w:rsidRDefault="001F0E28" w:rsidP="004C29E8">
      <w:pPr>
        <w:ind w:right="-2" w:firstLine="709"/>
        <w:jc w:val="both"/>
        <w:rPr>
          <w:rFonts w:eastAsia="Calibri"/>
          <w:color w:val="000000"/>
        </w:rPr>
      </w:pPr>
    </w:p>
    <w:p w:rsidR="00914289" w:rsidRPr="00914289" w:rsidRDefault="00914289" w:rsidP="004C29E8">
      <w:pPr>
        <w:ind w:right="-2" w:firstLine="709"/>
        <w:jc w:val="both"/>
        <w:rPr>
          <w:rFonts w:eastAsia="Calibri"/>
          <w:color w:val="000000"/>
        </w:rPr>
      </w:pPr>
    </w:p>
    <w:p w:rsidR="00914289" w:rsidRDefault="001F0E28" w:rsidP="004C29E8">
      <w:pPr>
        <w:ind w:right="-2" w:firstLine="709"/>
        <w:jc w:val="both"/>
      </w:pPr>
      <w:r w:rsidRPr="00914289">
        <w:rPr>
          <w:rFonts w:eastAsia="Calibri"/>
          <w:color w:val="000000"/>
        </w:rPr>
        <w:t>Согласно св</w:t>
      </w:r>
      <w:r w:rsidR="00914289" w:rsidRPr="00914289">
        <w:rPr>
          <w:rFonts w:eastAsia="Calibri"/>
          <w:color w:val="000000"/>
        </w:rPr>
        <w:t>едениям ЕИС по итогам 2019 года</w:t>
      </w:r>
      <w:r w:rsidRPr="00914289">
        <w:rPr>
          <w:rFonts w:eastAsia="Calibri"/>
          <w:color w:val="000000"/>
        </w:rPr>
        <w:t xml:space="preserve"> п</w:t>
      </w:r>
      <w:r w:rsidR="00914289" w:rsidRPr="00914289">
        <w:t>о результатам осуществления</w:t>
      </w:r>
      <w:r w:rsidR="00914289">
        <w:t xml:space="preserve"> закупок в отчетном периоде:</w:t>
      </w:r>
    </w:p>
    <w:p w:rsidR="001F0E28" w:rsidRPr="00914289" w:rsidRDefault="00914289" w:rsidP="004C29E8">
      <w:pPr>
        <w:ind w:right="-2" w:firstLine="709"/>
        <w:jc w:val="both"/>
      </w:pPr>
      <w:r w:rsidRPr="00914289">
        <w:rPr>
          <w:rFonts w:eastAsia="Calibri"/>
          <w:color w:val="000000"/>
        </w:rPr>
        <w:t xml:space="preserve">Состоявшимися было признано </w:t>
      </w:r>
      <w:r w:rsidR="001F0E28" w:rsidRPr="00914289">
        <w:rPr>
          <w:rFonts w:eastAsia="Calibri"/>
          <w:b/>
          <w:color w:val="000000"/>
        </w:rPr>
        <w:t xml:space="preserve">126 </w:t>
      </w:r>
      <w:r w:rsidR="001F0E28" w:rsidRPr="00914289">
        <w:rPr>
          <w:rFonts w:eastAsia="Calibri"/>
          <w:b/>
          <w:bCs/>
          <w:color w:val="000000"/>
        </w:rPr>
        <w:t xml:space="preserve">закупок </w:t>
      </w:r>
      <w:r w:rsidR="001F0E28" w:rsidRPr="00914289">
        <w:rPr>
          <w:rFonts w:eastAsia="Calibri"/>
          <w:color w:val="000000"/>
        </w:rPr>
        <w:t>(</w:t>
      </w:r>
      <w:r w:rsidR="001F0E28" w:rsidRPr="00914289">
        <w:rPr>
          <w:rFonts w:eastAsia="Calibri"/>
          <w:b/>
          <w:color w:val="000000"/>
        </w:rPr>
        <w:t>57,5%</w:t>
      </w:r>
      <w:r w:rsidR="001F0E28" w:rsidRPr="00914289">
        <w:rPr>
          <w:rFonts w:eastAsia="Calibri"/>
          <w:color w:val="000000"/>
        </w:rPr>
        <w:t>) (определен победитель и заключен контракт), сумм</w:t>
      </w:r>
      <w:r>
        <w:rPr>
          <w:rFonts w:eastAsia="Calibri"/>
          <w:color w:val="000000"/>
        </w:rPr>
        <w:t xml:space="preserve">а НМЦК таких закупок составила </w:t>
      </w:r>
      <w:r w:rsidR="001F0E28" w:rsidRPr="00914289">
        <w:rPr>
          <w:rFonts w:eastAsia="Calibri"/>
          <w:b/>
          <w:color w:val="000000"/>
        </w:rPr>
        <w:t>55 938,0 тыс. руб</w:t>
      </w:r>
      <w:r w:rsidR="001F0E28" w:rsidRPr="00914289">
        <w:rPr>
          <w:rFonts w:eastAsia="Calibri"/>
          <w:color w:val="000000"/>
        </w:rPr>
        <w:t>. (7,1% от общего объема закупок).</w:t>
      </w:r>
    </w:p>
    <w:p w:rsidR="001F0E28" w:rsidRDefault="00914289" w:rsidP="004C29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914289">
        <w:rPr>
          <w:rFonts w:eastAsia="Calibri"/>
          <w:bCs/>
          <w:color w:val="000000"/>
        </w:rPr>
        <w:t xml:space="preserve">Сведения о состоявшихся </w:t>
      </w:r>
      <w:r>
        <w:rPr>
          <w:rFonts w:eastAsia="Calibri"/>
          <w:bCs/>
          <w:color w:val="000000"/>
        </w:rPr>
        <w:t xml:space="preserve">закупках, </w:t>
      </w:r>
      <w:r w:rsidR="001F0E28" w:rsidRPr="00914289">
        <w:rPr>
          <w:rFonts w:eastAsia="Calibri"/>
          <w:bCs/>
          <w:color w:val="000000"/>
        </w:rPr>
        <w:t>по результатам которых был определен победитель и заключен контракт, представлены в таблице 3</w:t>
      </w:r>
      <w:r>
        <w:rPr>
          <w:rFonts w:eastAsia="Calibri"/>
          <w:bCs/>
          <w:color w:val="000000"/>
        </w:rPr>
        <w:t>.</w:t>
      </w:r>
    </w:p>
    <w:p w:rsidR="00914289" w:rsidRDefault="00914289" w:rsidP="004C29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</w:p>
    <w:p w:rsidR="00914289" w:rsidRPr="00914289" w:rsidRDefault="00914289" w:rsidP="004C29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1F0E28" w:rsidRPr="00914289" w:rsidRDefault="001F0E28" w:rsidP="00914289">
      <w:pPr>
        <w:autoSpaceDE w:val="0"/>
        <w:autoSpaceDN w:val="0"/>
        <w:adjustRightInd w:val="0"/>
        <w:ind w:left="426"/>
        <w:jc w:val="right"/>
        <w:rPr>
          <w:rFonts w:eastAsia="Calibri"/>
          <w:color w:val="000000"/>
        </w:rPr>
      </w:pPr>
      <w:r w:rsidRPr="00914289">
        <w:rPr>
          <w:rFonts w:eastAsia="Calibri"/>
          <w:b/>
          <w:color w:val="000000"/>
        </w:rPr>
        <w:lastRenderedPageBreak/>
        <w:t>Таблица 3</w:t>
      </w:r>
    </w:p>
    <w:tbl>
      <w:tblPr>
        <w:tblpPr w:leftFromText="180" w:rightFromText="180" w:vertAnchor="text" w:horzAnchor="margin" w:tblpXSpec="center" w:tblpY="254"/>
        <w:tblW w:w="9404" w:type="dxa"/>
        <w:tblLayout w:type="fixed"/>
        <w:tblLook w:val="00A0" w:firstRow="1" w:lastRow="0" w:firstColumn="1" w:lastColumn="0" w:noHBand="0" w:noVBand="0"/>
      </w:tblPr>
      <w:tblGrid>
        <w:gridCol w:w="3658"/>
        <w:gridCol w:w="3260"/>
        <w:gridCol w:w="2486"/>
      </w:tblGrid>
      <w:tr w:rsidR="001F0E28" w:rsidRPr="004C29E8" w:rsidTr="00E81923">
        <w:trPr>
          <w:trHeight w:val="276"/>
          <w:tblHeader/>
        </w:trPr>
        <w:tc>
          <w:tcPr>
            <w:tcW w:w="3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  <w:bCs/>
              </w:rPr>
            </w:pPr>
          </w:p>
          <w:p w:rsidR="001F0E28" w:rsidRPr="004C29E8" w:rsidRDefault="001F0E28" w:rsidP="00E81923">
            <w:pPr>
              <w:jc w:val="center"/>
              <w:rPr>
                <w:b/>
                <w:bCs/>
              </w:rPr>
            </w:pPr>
            <w:r w:rsidRPr="004C29E8">
              <w:rPr>
                <w:b/>
                <w:bCs/>
              </w:rPr>
              <w:t>Способы закупок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  <w:bCs/>
              </w:rPr>
            </w:pPr>
            <w:r w:rsidRPr="004C29E8">
              <w:rPr>
                <w:b/>
                <w:bCs/>
              </w:rPr>
              <w:t xml:space="preserve">Суммарная начальная (максимальная) цена </w:t>
            </w:r>
          </w:p>
          <w:p w:rsidR="001F0E28" w:rsidRPr="004C29E8" w:rsidRDefault="001F0E28" w:rsidP="00914289">
            <w:pPr>
              <w:jc w:val="center"/>
              <w:rPr>
                <w:b/>
                <w:bCs/>
              </w:rPr>
            </w:pPr>
            <w:r w:rsidRPr="004C29E8">
              <w:rPr>
                <w:b/>
                <w:bCs/>
              </w:rPr>
              <w:t>тыс. руб.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914289">
            <w:pPr>
              <w:jc w:val="center"/>
              <w:rPr>
                <w:b/>
                <w:bCs/>
              </w:rPr>
            </w:pPr>
            <w:r w:rsidRPr="004C29E8">
              <w:rPr>
                <w:b/>
                <w:bCs/>
              </w:rPr>
              <w:t>Количество закупок</w:t>
            </w:r>
          </w:p>
          <w:p w:rsidR="001F0E28" w:rsidRPr="004C29E8" w:rsidRDefault="001F0E28" w:rsidP="00E81923">
            <w:pPr>
              <w:jc w:val="center"/>
              <w:rPr>
                <w:b/>
                <w:bCs/>
              </w:rPr>
            </w:pPr>
          </w:p>
        </w:tc>
      </w:tr>
      <w:tr w:rsidR="001F0E28" w:rsidRPr="004C29E8" w:rsidTr="00E81923">
        <w:trPr>
          <w:trHeight w:val="540"/>
          <w:tblHeader/>
        </w:trPr>
        <w:tc>
          <w:tcPr>
            <w:tcW w:w="3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F0E28" w:rsidRPr="004C29E8" w:rsidRDefault="001F0E28" w:rsidP="00E81923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  <w:bCs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F0E28" w:rsidRPr="004C29E8" w:rsidRDefault="001F0E28" w:rsidP="00E81923">
            <w:pPr>
              <w:rPr>
                <w:b/>
                <w:bCs/>
              </w:rPr>
            </w:pPr>
          </w:p>
        </w:tc>
      </w:tr>
      <w:tr w:rsidR="001F0E28" w:rsidRPr="004C29E8" w:rsidTr="00E81923">
        <w:trPr>
          <w:trHeight w:val="89"/>
          <w:tblHeader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3</w:t>
            </w:r>
          </w:p>
        </w:tc>
      </w:tr>
      <w:tr w:rsidR="001F0E28" w:rsidRPr="004C29E8" w:rsidTr="00E81923">
        <w:trPr>
          <w:trHeight w:val="165"/>
        </w:trPr>
        <w:tc>
          <w:tcPr>
            <w:tcW w:w="94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914289">
            <w:pPr>
              <w:jc w:val="center"/>
              <w:rPr>
                <w:b/>
              </w:rPr>
            </w:pPr>
            <w:r w:rsidRPr="004C29E8">
              <w:rPr>
                <w:b/>
                <w:bCs/>
                <w:lang w:eastAsia="en-US"/>
              </w:rPr>
              <w:t>Конкурентные закупки</w:t>
            </w:r>
          </w:p>
        </w:tc>
      </w:tr>
      <w:tr w:rsidR="001F0E28" w:rsidRPr="004C29E8" w:rsidTr="00E81923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r w:rsidRPr="004C29E8">
              <w:t>Электронный аукцион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41 460,4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77</w:t>
            </w:r>
          </w:p>
        </w:tc>
      </w:tr>
      <w:tr w:rsidR="001F0E28" w:rsidRPr="004C29E8" w:rsidTr="00E81923">
        <w:trPr>
          <w:trHeight w:val="42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r w:rsidRPr="004C29E8">
              <w:t>Запрос котировок в электронной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2 103,0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12</w:t>
            </w:r>
          </w:p>
        </w:tc>
      </w:tr>
      <w:tr w:rsidR="001F0E28" w:rsidRPr="004C29E8" w:rsidTr="00E81923">
        <w:trPr>
          <w:trHeight w:val="40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r w:rsidRPr="004C29E8">
              <w:t>Открытый конкурс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1 956,0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2</w:t>
            </w:r>
          </w:p>
        </w:tc>
      </w:tr>
      <w:tr w:rsidR="001F0E28" w:rsidRPr="004C29E8" w:rsidTr="00E81923">
        <w:trPr>
          <w:trHeight w:val="228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pPr>
              <w:rPr>
                <w:b/>
              </w:rPr>
            </w:pPr>
            <w:r w:rsidRPr="004C29E8">
              <w:rPr>
                <w:b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45 519,4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91</w:t>
            </w:r>
          </w:p>
        </w:tc>
      </w:tr>
      <w:tr w:rsidR="001F0E28" w:rsidRPr="004C29E8" w:rsidTr="00E81923">
        <w:trPr>
          <w:trHeight w:val="198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914289">
            <w:pPr>
              <w:jc w:val="center"/>
              <w:rPr>
                <w:b/>
              </w:rPr>
            </w:pPr>
            <w:r w:rsidRPr="004C29E8">
              <w:rPr>
                <w:b/>
              </w:rPr>
              <w:t>Закупки у единственного поставщика (часть 1 статьи 93)</w:t>
            </w:r>
          </w:p>
        </w:tc>
      </w:tr>
      <w:tr w:rsidR="001F0E28" w:rsidRPr="004C29E8" w:rsidTr="00E81923">
        <w:trPr>
          <w:trHeight w:val="520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r w:rsidRPr="004C29E8">
              <w:t>Закупки у единственного поставщика (пункты 1,6,8,16,22, 29 ст.93)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10 418,7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35</w:t>
            </w:r>
          </w:p>
        </w:tc>
      </w:tr>
      <w:tr w:rsidR="001F0E28" w:rsidRPr="004C29E8" w:rsidTr="00E81923">
        <w:trPr>
          <w:trHeight w:val="225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F0E28" w:rsidRPr="004C29E8" w:rsidRDefault="001F0E28" w:rsidP="00E81923">
            <w:pPr>
              <w:rPr>
                <w:b/>
                <w:bCs/>
              </w:rPr>
            </w:pPr>
            <w:r w:rsidRPr="004C29E8">
              <w:rPr>
                <w:b/>
                <w:bCs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10 418,7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35</w:t>
            </w:r>
          </w:p>
        </w:tc>
      </w:tr>
      <w:tr w:rsidR="001F0E28" w:rsidRPr="004C29E8" w:rsidTr="00E81923">
        <w:trPr>
          <w:trHeight w:val="25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F0E28" w:rsidRPr="004C29E8" w:rsidRDefault="001F0E28" w:rsidP="00E81923">
            <w:pPr>
              <w:rPr>
                <w:b/>
              </w:rPr>
            </w:pPr>
            <w:r w:rsidRPr="004C29E8">
              <w:rPr>
                <w:b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55 938,0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126</w:t>
            </w:r>
          </w:p>
        </w:tc>
      </w:tr>
    </w:tbl>
    <w:p w:rsidR="001F0E28" w:rsidRPr="00694FAA" w:rsidRDefault="001F0E28" w:rsidP="00914289">
      <w:pPr>
        <w:ind w:right="-1" w:firstLine="709"/>
        <w:jc w:val="both"/>
        <w:rPr>
          <w:rFonts w:eastAsia="Calibri"/>
          <w:color w:val="000000"/>
        </w:rPr>
      </w:pPr>
    </w:p>
    <w:p w:rsidR="001F0E28" w:rsidRPr="00694FAA" w:rsidRDefault="001F0E28" w:rsidP="004C29E8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0" w:firstLine="709"/>
        <w:jc w:val="both"/>
        <w:rPr>
          <w:rFonts w:eastAsia="Calibri"/>
          <w:color w:val="000000"/>
        </w:rPr>
      </w:pPr>
      <w:r w:rsidRPr="00694FAA">
        <w:rPr>
          <w:rFonts w:eastAsia="Calibri"/>
          <w:color w:val="000000"/>
        </w:rPr>
        <w:t xml:space="preserve">Несостоявшимися было признано </w:t>
      </w:r>
      <w:r w:rsidRPr="00694FAA">
        <w:rPr>
          <w:rFonts w:eastAsia="Calibri"/>
          <w:b/>
          <w:color w:val="000000"/>
        </w:rPr>
        <w:t xml:space="preserve">93 закупки (42,5%) </w:t>
      </w:r>
      <w:r w:rsidR="004C29E8">
        <w:rPr>
          <w:rFonts w:eastAsia="Calibri"/>
          <w:color w:val="000000"/>
        </w:rPr>
        <w:t xml:space="preserve">от общего количества закупок. </w:t>
      </w:r>
      <w:r w:rsidRPr="00694FAA">
        <w:rPr>
          <w:rFonts w:eastAsia="Calibri"/>
          <w:color w:val="000000"/>
        </w:rPr>
        <w:t xml:space="preserve">В стоимостном выражении объем несостоявшихся закупок составил </w:t>
      </w:r>
      <w:r w:rsidRPr="00694FAA">
        <w:rPr>
          <w:rFonts w:eastAsia="Calibri"/>
          <w:b/>
          <w:color w:val="000000"/>
        </w:rPr>
        <w:t>728 946,0 тыс. руб</w:t>
      </w:r>
      <w:r w:rsidRPr="00694FAA">
        <w:rPr>
          <w:rFonts w:eastAsia="Calibri"/>
          <w:color w:val="000000"/>
        </w:rPr>
        <w:t>. (92,9%</w:t>
      </w:r>
      <w:r w:rsidRPr="00694FAA">
        <w:rPr>
          <w:rFonts w:eastAsia="Calibri"/>
          <w:b/>
          <w:bCs/>
          <w:color w:val="000000"/>
        </w:rPr>
        <w:t xml:space="preserve"> </w:t>
      </w:r>
      <w:r w:rsidRPr="00694FAA">
        <w:rPr>
          <w:rFonts w:eastAsia="Calibri"/>
          <w:color w:val="000000"/>
        </w:rPr>
        <w:t>от общего объема закупок), из них в 82,8% случаев (</w:t>
      </w:r>
      <w:r w:rsidRPr="00694FAA">
        <w:rPr>
          <w:rFonts w:eastAsia="Calibri"/>
          <w:b/>
          <w:color w:val="000000"/>
        </w:rPr>
        <w:t>77</w:t>
      </w:r>
      <w:r w:rsidRPr="00694FAA">
        <w:rPr>
          <w:rFonts w:eastAsia="Calibri"/>
          <w:color w:val="000000"/>
        </w:rPr>
        <w:t xml:space="preserve"> </w:t>
      </w:r>
      <w:r w:rsidRPr="00694FAA">
        <w:rPr>
          <w:rFonts w:eastAsia="Calibri"/>
          <w:b/>
          <w:color w:val="000000"/>
        </w:rPr>
        <w:t>закупок</w:t>
      </w:r>
      <w:r w:rsidRPr="00694FAA">
        <w:rPr>
          <w:rFonts w:eastAsia="Calibri"/>
          <w:color w:val="000000"/>
        </w:rPr>
        <w:t xml:space="preserve"> общим объемом </w:t>
      </w:r>
      <w:r w:rsidRPr="00694FAA">
        <w:rPr>
          <w:rFonts w:eastAsia="Calibri"/>
          <w:b/>
          <w:color w:val="000000"/>
        </w:rPr>
        <w:t>627 544,6 тыс. руб</w:t>
      </w:r>
      <w:r w:rsidRPr="00694FAA">
        <w:rPr>
          <w:rFonts w:eastAsia="Calibri"/>
          <w:color w:val="000000"/>
        </w:rPr>
        <w:t>.) были заключены контракты с единственным поставщиком.</w:t>
      </w:r>
    </w:p>
    <w:p w:rsidR="001F0E28" w:rsidRPr="00501D57" w:rsidRDefault="001F0E28" w:rsidP="004C29E8">
      <w:pPr>
        <w:tabs>
          <w:tab w:val="left" w:pos="142"/>
        </w:tabs>
        <w:ind w:firstLine="709"/>
        <w:jc w:val="both"/>
      </w:pPr>
      <w:r w:rsidRPr="00501D57">
        <w:rPr>
          <w:b/>
        </w:rPr>
        <w:t>Вывод:</w:t>
      </w:r>
      <w:r w:rsidRPr="00501D57">
        <w:t xml:space="preserve"> Оценивая показатели объема экономии и конкуренции в целом по </w:t>
      </w:r>
      <w:r w:rsidR="003C3B78">
        <w:t>администрации муниципального образования Приозерский муниципальный район Ленинградской области</w:t>
      </w:r>
      <w:r w:rsidRPr="00501D57">
        <w:t>, можно сделать вывод, что в принципе заказчиками соблюден принцип обеспечения конкуренции, непосредственно влияющего на эффек</w:t>
      </w:r>
      <w:r>
        <w:t>тивность осуществления закупок.</w:t>
      </w:r>
    </w:p>
    <w:p w:rsidR="001F0E28" w:rsidRPr="00746D1C" w:rsidRDefault="003C3B78" w:rsidP="00914289">
      <w:pPr>
        <w:shd w:val="clear" w:color="auto" w:fill="FFFFFF"/>
        <w:ind w:right="-1" w:firstLine="709"/>
        <w:jc w:val="both"/>
      </w:pPr>
      <w:r>
        <w:t>В</w:t>
      </w:r>
      <w:r w:rsidR="001F0E28" w:rsidRPr="00746D1C">
        <w:t xml:space="preserve"> целях дальнейшего совершенствования законодательства РФ и иных нормативных правовых актов о контр</w:t>
      </w:r>
      <w:r w:rsidR="00914289">
        <w:t xml:space="preserve">актной системе в сфере закупок </w:t>
      </w:r>
      <w:r w:rsidR="001F0E28" w:rsidRPr="00746D1C">
        <w:t xml:space="preserve">Минфин России подготовил </w:t>
      </w:r>
      <w:hyperlink r:id="rId7" w:anchor="/document/56823349/entry/0" w:history="1">
        <w:r w:rsidR="001F0E28" w:rsidRPr="00746D1C">
          <w:rPr>
            <w:u w:val="single"/>
          </w:rPr>
          <w:t>новый проект</w:t>
        </w:r>
      </w:hyperlink>
      <w:r w:rsidR="00870870">
        <w:t xml:space="preserve"> поправок в Закон № 44-ФЗ.</w:t>
      </w:r>
    </w:p>
    <w:p w:rsidR="001F0E28" w:rsidRPr="00746D1C" w:rsidRDefault="001F0E28" w:rsidP="00914289">
      <w:pPr>
        <w:shd w:val="clear" w:color="auto" w:fill="FFFFFF"/>
        <w:ind w:right="-1" w:firstLine="709"/>
        <w:jc w:val="both"/>
        <w:rPr>
          <w:color w:val="000000"/>
        </w:rPr>
      </w:pPr>
      <w:r w:rsidRPr="00746D1C">
        <w:t>Как отмечают разработчики законопроекта, документ</w:t>
      </w:r>
      <w:r w:rsidRPr="00746D1C">
        <w:rPr>
          <w:rFonts w:ascii="Roboto" w:hAnsi="Roboto"/>
          <w:sz w:val="23"/>
          <w:szCs w:val="23"/>
        </w:rPr>
        <w:t xml:space="preserve"> предусматривает комплексную оптимизацию контрактной системы в сфере</w:t>
      </w:r>
      <w:r w:rsidRPr="00746D1C">
        <w:rPr>
          <w:rFonts w:ascii="Roboto" w:hAnsi="Roboto"/>
          <w:color w:val="000000"/>
          <w:sz w:val="23"/>
          <w:szCs w:val="23"/>
        </w:rPr>
        <w:t xml:space="preserve"> закупок, упрощение проводимых процедур, сокращение их сроков. Предполагалось, что указанные поправки вступят в силу в июле 2020 года</w:t>
      </w:r>
      <w:r w:rsidR="00914289">
        <w:rPr>
          <w:color w:val="000000"/>
        </w:rPr>
        <w:t>.</w:t>
      </w:r>
      <w:r w:rsidRPr="00746D1C">
        <w:rPr>
          <w:color w:val="000000"/>
        </w:rPr>
        <w:t xml:space="preserve"> Все изменения этого ле</w:t>
      </w:r>
      <w:r w:rsidR="00914289">
        <w:rPr>
          <w:color w:val="000000"/>
        </w:rPr>
        <w:t xml:space="preserve">та оказались антикризисными. Но заказчики ждали еще и </w:t>
      </w:r>
      <w:r w:rsidRPr="00746D1C">
        <w:rPr>
          <w:color w:val="000000"/>
        </w:rPr>
        <w:t>другого, ведь ранее власти обещали целый пакет поправок, которые обл</w:t>
      </w:r>
      <w:r w:rsidR="00914289">
        <w:rPr>
          <w:color w:val="000000"/>
        </w:rPr>
        <w:t xml:space="preserve">егчали бы процедуры закупок. На </w:t>
      </w:r>
      <w:r w:rsidRPr="00746D1C">
        <w:rPr>
          <w:color w:val="000000"/>
        </w:rPr>
        <w:t>самом деле про эти изме</w:t>
      </w:r>
      <w:r w:rsidR="00914289">
        <w:rPr>
          <w:color w:val="000000"/>
        </w:rPr>
        <w:t>нения не забыли.</w:t>
      </w:r>
    </w:p>
    <w:p w:rsidR="00914289" w:rsidRDefault="00914289" w:rsidP="004C29E8">
      <w:pPr>
        <w:shd w:val="clear" w:color="auto" w:fill="FFFFFF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1F0E28" w:rsidRPr="00746D1C">
        <w:rPr>
          <w:color w:val="000000"/>
        </w:rPr>
        <w:t>Госдуму внесен так назы</w:t>
      </w:r>
      <w:r>
        <w:rPr>
          <w:color w:val="000000"/>
        </w:rPr>
        <w:t xml:space="preserve">ваемый оптимизационный пакет. В нем и </w:t>
      </w:r>
      <w:r w:rsidR="001F0E28" w:rsidRPr="00746D1C">
        <w:rPr>
          <w:color w:val="000000"/>
        </w:rPr>
        <w:t>сокра</w:t>
      </w:r>
      <w:r>
        <w:rPr>
          <w:color w:val="000000"/>
        </w:rPr>
        <w:t xml:space="preserve">щение числа способов закупок, и </w:t>
      </w:r>
      <w:proofErr w:type="spellStart"/>
      <w:r>
        <w:rPr>
          <w:color w:val="000000"/>
        </w:rPr>
        <w:t>предквалификация</w:t>
      </w:r>
      <w:proofErr w:type="spellEnd"/>
      <w:r>
        <w:rPr>
          <w:color w:val="000000"/>
        </w:rPr>
        <w:t xml:space="preserve">, и </w:t>
      </w:r>
      <w:r w:rsidR="001F0E28" w:rsidRPr="00746D1C">
        <w:rPr>
          <w:color w:val="000000"/>
        </w:rPr>
        <w:t>универсал</w:t>
      </w:r>
      <w:r>
        <w:rPr>
          <w:color w:val="000000"/>
        </w:rPr>
        <w:t>ьные формы банковских гарантий.</w:t>
      </w:r>
    </w:p>
    <w:p w:rsidR="004C29E8" w:rsidRPr="00914289" w:rsidRDefault="004C29E8" w:rsidP="004C29E8">
      <w:pPr>
        <w:shd w:val="clear" w:color="auto" w:fill="FFFFFF"/>
        <w:ind w:right="-1" w:firstLine="709"/>
        <w:jc w:val="both"/>
        <w:rPr>
          <w:color w:val="000000"/>
        </w:rPr>
      </w:pPr>
    </w:p>
    <w:p w:rsidR="001F0E28" w:rsidRDefault="001F0E28" w:rsidP="004C29E8">
      <w:pPr>
        <w:numPr>
          <w:ilvl w:val="0"/>
          <w:numId w:val="1"/>
        </w:numPr>
        <w:tabs>
          <w:tab w:val="left" w:pos="142"/>
        </w:tabs>
        <w:ind w:left="0" w:right="-1" w:firstLine="709"/>
        <w:rPr>
          <w:b/>
        </w:rPr>
      </w:pPr>
      <w:r w:rsidRPr="00853355">
        <w:rPr>
          <w:b/>
        </w:rPr>
        <w:t>Контрольные мероприятия (всего 2</w:t>
      </w:r>
      <w:r>
        <w:rPr>
          <w:b/>
        </w:rPr>
        <w:t>1</w:t>
      </w:r>
      <w:r w:rsidRPr="00853355">
        <w:rPr>
          <w:b/>
        </w:rPr>
        <w:t xml:space="preserve"> из них 15 отчетов об исполнении бюджета и бюджетной отчетности ГАБС за 201</w:t>
      </w:r>
      <w:r>
        <w:rPr>
          <w:b/>
        </w:rPr>
        <w:t>9</w:t>
      </w:r>
      <w:r w:rsidRPr="00853355">
        <w:rPr>
          <w:b/>
        </w:rPr>
        <w:t xml:space="preserve"> год).</w:t>
      </w:r>
    </w:p>
    <w:p w:rsidR="00913678" w:rsidRPr="004C29E8" w:rsidRDefault="00913678" w:rsidP="00913678">
      <w:pPr>
        <w:tabs>
          <w:tab w:val="left" w:pos="142"/>
        </w:tabs>
        <w:ind w:left="709" w:right="-1"/>
        <w:rPr>
          <w:b/>
        </w:rPr>
      </w:pP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>За 2020</w:t>
      </w:r>
      <w:r w:rsidRPr="00B7706D">
        <w:t xml:space="preserve"> год </w:t>
      </w:r>
      <w:r>
        <w:t>проведено 21 контрольное мероприятие</w:t>
      </w:r>
      <w:r w:rsidR="00914289">
        <w:t>,</w:t>
      </w:r>
      <w:r>
        <w:t xml:space="preserve"> из них: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>- 15 по внешней проверке отчетов об исполнении бюджета и бюджетной отчетности главных администраторов бюджетных средств за 2019 год;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>- 6 контрольных мероприятий;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Tahoma"/>
          <w:szCs w:val="20"/>
        </w:rPr>
      </w:pPr>
      <w:r w:rsidRPr="002A081D">
        <w:rPr>
          <w:rFonts w:cs="Tahoma"/>
          <w:szCs w:val="20"/>
        </w:rPr>
        <w:t>Контрольным</w:t>
      </w:r>
      <w:r>
        <w:rPr>
          <w:rFonts w:cs="Tahoma"/>
          <w:szCs w:val="20"/>
        </w:rPr>
        <w:t>и мероприятиями было охвачено 21</w:t>
      </w:r>
      <w:r w:rsidRPr="002A081D">
        <w:rPr>
          <w:rFonts w:cs="Tahoma"/>
          <w:szCs w:val="20"/>
        </w:rPr>
        <w:t xml:space="preserve"> объек</w:t>
      </w:r>
      <w:r>
        <w:rPr>
          <w:rFonts w:cs="Tahoma"/>
          <w:szCs w:val="20"/>
        </w:rPr>
        <w:t>т из них: 15 объектов- органы местного самоуправления и 6 муниципальных учреждений (5 муниципальных казенных учреждений и 1 муниципальное унитарное предприятие).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lastRenderedPageBreak/>
        <w:t>Объем проверенных средств составил 5 971 999,7 тыс. руб. из них: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- 5 733 958,1 тыс. руб.</w:t>
      </w:r>
      <w:r w:rsidRPr="009866C2">
        <w:t xml:space="preserve"> </w:t>
      </w:r>
      <w:r>
        <w:t>по внешней проверке отчетов об исполнении бюджета и бюджетной отчетности главных администраторов бюджетных средств (15 муниципальных образований);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- 238 041,6 тыс. руб. по прочим контрольным мероприятиям (6 муниципальных учреждений).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Выявлено нарушений по результатам контрольных мероприятий в размере 11 299,7 тыс. руб., в том числе: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- 11 249,2 тыс. руб. неэффективное использование бюджетных средств;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 50,5 тыс. руб. нарушения законодательства в сфере закупок товаров, работ, услуг для обеспечения муниципальных нужд.</w:t>
      </w:r>
    </w:p>
    <w:p w:rsidR="001F0E28" w:rsidRPr="00DF6ABA" w:rsidRDefault="001F0E28" w:rsidP="001F0E28">
      <w:pPr>
        <w:tabs>
          <w:tab w:val="left" w:pos="142"/>
        </w:tabs>
        <w:ind w:firstLine="709"/>
        <w:jc w:val="both"/>
      </w:pPr>
      <w:r w:rsidRPr="00DF6ABA">
        <w:t xml:space="preserve">Неэффективное расходование бюджетных средств за 2019 год выявлено 15 нарушений на сумму 11 113,1 тыс. руб. </w:t>
      </w:r>
    </w:p>
    <w:p w:rsidR="001F0E28" w:rsidRPr="00DF6ABA" w:rsidRDefault="001F0E28" w:rsidP="001F0E28">
      <w:pPr>
        <w:tabs>
          <w:tab w:val="left" w:pos="142"/>
        </w:tabs>
        <w:ind w:firstLine="709"/>
        <w:jc w:val="both"/>
      </w:pPr>
      <w:r w:rsidRPr="00DF6ABA">
        <w:t>- 310,2 тыс. руб. штрафы, пени за нарушение законодательства о налогах и сборах, законодательства о страховых взносах;</w:t>
      </w:r>
    </w:p>
    <w:p w:rsidR="001F0E28" w:rsidRPr="00DF6ABA" w:rsidRDefault="001F0E28" w:rsidP="001F0E28">
      <w:pPr>
        <w:tabs>
          <w:tab w:val="left" w:pos="142"/>
        </w:tabs>
        <w:ind w:firstLine="709"/>
        <w:jc w:val="both"/>
      </w:pPr>
      <w:r w:rsidRPr="00DF6ABA">
        <w:t>- 2 546,0 тыс. руб. штрафы за нарушение законодательства о закупках и нарушение условий контрактов;</w:t>
      </w:r>
    </w:p>
    <w:p w:rsidR="001F0E28" w:rsidRPr="00DF6ABA" w:rsidRDefault="001F0E28" w:rsidP="001F0E28">
      <w:pPr>
        <w:tabs>
          <w:tab w:val="left" w:pos="142"/>
        </w:tabs>
        <w:ind w:firstLine="709"/>
        <w:jc w:val="both"/>
      </w:pPr>
      <w:r w:rsidRPr="00DF6ABA">
        <w:t xml:space="preserve">- 8 256,9 тыс. руб. </w:t>
      </w:r>
      <w:r w:rsidR="003D6F1C">
        <w:t xml:space="preserve">- </w:t>
      </w:r>
      <w:r w:rsidRPr="00DF6ABA">
        <w:t>другие экономические санкции (за нарушение условий Соглашения о порядке предоставления субсидии из областного бюджета ЛО, за не достижение целевых показателей результативности; пени; административные штрафы, госпошлина и т.д</w:t>
      </w:r>
      <w:r w:rsidR="003D6F1C">
        <w:t>.</w:t>
      </w:r>
      <w:r w:rsidRPr="00DF6ABA">
        <w:t>).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В Совет депутатов района и Советы депутатов поселений, </w:t>
      </w:r>
      <w:r w:rsidRPr="00A261E1">
        <w:t>главам администраций поселений</w:t>
      </w:r>
      <w:r>
        <w:t xml:space="preserve"> и района, руководителям учреждений направлено: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- 44 заключения по результатам анализа оперативной информации об исполнении бюджета за 1 квартал, полугодие и 9 месяцев 2020 года: из них 41 заключение по соглашениям с поселениями;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- 6 актов по проведению контрольных мероприятий.</w:t>
      </w:r>
    </w:p>
    <w:p w:rsidR="001F0E28" w:rsidRPr="00BA31F5" w:rsidRDefault="001F0E28" w:rsidP="001F0E28">
      <w:pPr>
        <w:tabs>
          <w:tab w:val="left" w:pos="142"/>
        </w:tabs>
        <w:ind w:firstLine="709"/>
        <w:jc w:val="both"/>
      </w:pPr>
      <w:r w:rsidRPr="00283641">
        <w:t xml:space="preserve">Анализ показал, что основная </w:t>
      </w:r>
      <w:r>
        <w:t xml:space="preserve">доля нарушений 74,3% приходится на экономические санкции, 23 % уплату штрафов </w:t>
      </w:r>
      <w:r w:rsidRPr="00A24E65">
        <w:t>за нарушен</w:t>
      </w:r>
      <w:r>
        <w:t xml:space="preserve">ие законодательства о закупках и нарушение условий контрактов, исполнительных сборов и на другие экономические санкции и 2,7 % штрафы, пени </w:t>
      </w:r>
      <w:r w:rsidRPr="00A24E65">
        <w:t>за нарушение законодательства о налогах и сборах, закон</w:t>
      </w:r>
      <w:r>
        <w:t>одательства о страховых взносах.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</w:p>
    <w:p w:rsidR="001F0E28" w:rsidRPr="00695CA0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695CA0">
        <w:rPr>
          <w:rFonts w:cs="Arial"/>
          <w:b/>
        </w:rPr>
        <w:t>3.1. Внешняя проверка годовой бюджетной отчетности об исполнении бюджета муниципального образов</w:t>
      </w:r>
      <w:r>
        <w:rPr>
          <w:rFonts w:cs="Arial"/>
          <w:b/>
        </w:rPr>
        <w:t xml:space="preserve">ания Приозерский муниципальный район и бюджетов </w:t>
      </w:r>
      <w:r w:rsidRPr="00695CA0">
        <w:rPr>
          <w:rFonts w:cs="Arial"/>
          <w:b/>
        </w:rPr>
        <w:t>поселений за 201</w:t>
      </w:r>
      <w:r>
        <w:rPr>
          <w:rFonts w:cs="Arial"/>
          <w:b/>
        </w:rPr>
        <w:t>9</w:t>
      </w:r>
      <w:r w:rsidRPr="00695CA0">
        <w:rPr>
          <w:rFonts w:cs="Arial"/>
          <w:b/>
        </w:rPr>
        <w:t xml:space="preserve"> год.</w:t>
      </w:r>
    </w:p>
    <w:p w:rsidR="001F0E28" w:rsidRPr="00695CA0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695CA0">
        <w:rPr>
          <w:rFonts w:cs="Arial"/>
        </w:rPr>
        <w:t>В ходе проверки 15 отчетов об исполнении бюджета за 201</w:t>
      </w:r>
      <w:r>
        <w:rPr>
          <w:rFonts w:cs="Arial"/>
        </w:rPr>
        <w:t xml:space="preserve">9 год проверено 5 733 958,1 </w:t>
      </w:r>
      <w:r w:rsidRPr="00695CA0">
        <w:rPr>
          <w:rFonts w:cs="Arial"/>
        </w:rPr>
        <w:t>тыс. руб., выявлено 2</w:t>
      </w:r>
      <w:r>
        <w:rPr>
          <w:rFonts w:cs="Arial"/>
        </w:rPr>
        <w:t>0</w:t>
      </w:r>
      <w:r w:rsidRPr="00695CA0">
        <w:rPr>
          <w:rFonts w:cs="Arial"/>
        </w:rPr>
        <w:t xml:space="preserve"> нарушений из них: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1</w:t>
      </w:r>
      <w:r>
        <w:rPr>
          <w:rFonts w:cs="Arial"/>
        </w:rPr>
        <w:t>5</w:t>
      </w:r>
      <w:r w:rsidRPr="00263B8F">
        <w:rPr>
          <w:rFonts w:cs="Arial"/>
        </w:rPr>
        <w:t xml:space="preserve"> нарушени</w:t>
      </w:r>
      <w:r>
        <w:rPr>
          <w:rFonts w:cs="Arial"/>
        </w:rPr>
        <w:t>й</w:t>
      </w:r>
      <w:r w:rsidRPr="00263B8F">
        <w:rPr>
          <w:rFonts w:cs="Arial"/>
        </w:rPr>
        <w:t xml:space="preserve"> бюджетного законодательства (с.</w:t>
      </w:r>
      <w:r>
        <w:rPr>
          <w:rFonts w:cs="Arial"/>
        </w:rPr>
        <w:t xml:space="preserve"> </w:t>
      </w:r>
      <w:r w:rsidRPr="00263B8F">
        <w:rPr>
          <w:rFonts w:cs="Arial"/>
        </w:rPr>
        <w:t>34;</w:t>
      </w:r>
      <w:r>
        <w:rPr>
          <w:rFonts w:cs="Arial"/>
        </w:rPr>
        <w:t xml:space="preserve"> </w:t>
      </w:r>
      <w:r w:rsidRPr="00263B8F">
        <w:rPr>
          <w:rFonts w:cs="Arial"/>
        </w:rPr>
        <w:t>ст.</w:t>
      </w:r>
      <w:r>
        <w:rPr>
          <w:rFonts w:cs="Arial"/>
        </w:rPr>
        <w:t xml:space="preserve"> </w:t>
      </w:r>
      <w:r w:rsidRPr="00263B8F">
        <w:rPr>
          <w:rFonts w:cs="Arial"/>
        </w:rPr>
        <w:t>162 БК РФ</w:t>
      </w:r>
      <w:r>
        <w:rPr>
          <w:rFonts w:cs="Arial"/>
        </w:rPr>
        <w:t>):</w:t>
      </w:r>
      <w:r w:rsidRPr="00263B8F">
        <w:rPr>
          <w:rFonts w:cs="Arial"/>
        </w:rPr>
        <w:t xml:space="preserve"> это 1</w:t>
      </w:r>
      <w:r>
        <w:rPr>
          <w:rFonts w:cs="Arial"/>
        </w:rPr>
        <w:t xml:space="preserve">5 </w:t>
      </w:r>
      <w:r w:rsidRPr="00263B8F">
        <w:rPr>
          <w:rFonts w:cs="Arial"/>
        </w:rPr>
        <w:t>нарушений неэффект</w:t>
      </w:r>
      <w:r>
        <w:rPr>
          <w:rFonts w:cs="Arial"/>
        </w:rPr>
        <w:t xml:space="preserve">ивного </w:t>
      </w:r>
      <w:r w:rsidRPr="00263B8F">
        <w:rPr>
          <w:rFonts w:cs="Arial"/>
        </w:rPr>
        <w:t>расходовани</w:t>
      </w:r>
      <w:r>
        <w:rPr>
          <w:rFonts w:cs="Arial"/>
        </w:rPr>
        <w:t>я бюджетных средств</w:t>
      </w:r>
      <w:r w:rsidRPr="00263B8F">
        <w:rPr>
          <w:rFonts w:cs="Arial"/>
        </w:rPr>
        <w:t xml:space="preserve"> и нарушение</w:t>
      </w:r>
      <w:r>
        <w:rPr>
          <w:rFonts w:cs="Arial"/>
        </w:rPr>
        <w:t xml:space="preserve"> </w:t>
      </w:r>
      <w:r w:rsidRPr="00263B8F">
        <w:rPr>
          <w:rFonts w:cs="Arial"/>
        </w:rPr>
        <w:t>ст.</w:t>
      </w:r>
      <w:r>
        <w:rPr>
          <w:rFonts w:cs="Arial"/>
        </w:rPr>
        <w:t xml:space="preserve"> </w:t>
      </w:r>
      <w:r w:rsidRPr="00263B8F">
        <w:rPr>
          <w:rFonts w:cs="Arial"/>
        </w:rPr>
        <w:t xml:space="preserve">162 БК РФ </w:t>
      </w:r>
      <w:r>
        <w:rPr>
          <w:rFonts w:cs="Arial"/>
        </w:rPr>
        <w:t xml:space="preserve">по взысканию исполнительных сборов, по искам; </w:t>
      </w:r>
      <w:r w:rsidRPr="00263B8F">
        <w:rPr>
          <w:rFonts w:cs="Arial"/>
        </w:rPr>
        <w:t>судебные расходы администраций и другие экономические санкции</w:t>
      </w:r>
      <w:r>
        <w:rPr>
          <w:rFonts w:cs="Arial"/>
        </w:rPr>
        <w:t xml:space="preserve"> в сумме 11 113,1 тыс. руб.</w:t>
      </w:r>
      <w:r w:rsidRPr="00263B8F">
        <w:rPr>
          <w:rFonts w:cs="Arial"/>
        </w:rPr>
        <w:t>;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4 нарушения т</w:t>
      </w:r>
      <w:r w:rsidRPr="00263B8F">
        <w:rPr>
          <w:rFonts w:cs="Arial"/>
        </w:rPr>
        <w:t xml:space="preserve">ребований </w:t>
      </w:r>
      <w:r w:rsidRPr="00E700A1">
        <w:rPr>
          <w:rFonts w:cs="Arial"/>
        </w:rPr>
        <w:t>Приказ</w:t>
      </w:r>
      <w:r>
        <w:rPr>
          <w:rFonts w:cs="Arial"/>
        </w:rPr>
        <w:t>а</w:t>
      </w:r>
      <w:r w:rsidRPr="00E700A1">
        <w:rPr>
          <w:rFonts w:cs="Arial"/>
        </w:rPr>
        <w:t xml:space="preserve"> Минфина Р</w:t>
      </w:r>
      <w:r w:rsidR="003D6F1C">
        <w:rPr>
          <w:rFonts w:cs="Arial"/>
        </w:rPr>
        <w:t>Ф от 28 декабря 2010 г. N 191н «</w:t>
      </w:r>
      <w:r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3D6F1C">
        <w:rPr>
          <w:rFonts w:cs="Arial"/>
        </w:rPr>
        <w:t>ой системы Российской Федерации»</w:t>
      </w:r>
      <w:r w:rsidRPr="00E700A1">
        <w:rPr>
          <w:rFonts w:cs="Arial"/>
        </w:rPr>
        <w:t xml:space="preserve"> (с изменениями и дополнениями)</w:t>
      </w:r>
      <w:r>
        <w:rPr>
          <w:rFonts w:cs="Arial"/>
        </w:rPr>
        <w:t>;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1 </w:t>
      </w:r>
      <w:r w:rsidRPr="00263B8F">
        <w:rPr>
          <w:rFonts w:cs="Arial"/>
        </w:rPr>
        <w:t>иное нарушение (</w:t>
      </w:r>
      <w:r>
        <w:rPr>
          <w:rFonts w:cs="Arial"/>
        </w:rPr>
        <w:t>ст.</w:t>
      </w:r>
      <w:r w:rsidR="003D6F1C">
        <w:rPr>
          <w:rFonts w:cs="Arial"/>
        </w:rPr>
        <w:t xml:space="preserve"> </w:t>
      </w:r>
      <w:r>
        <w:rPr>
          <w:rFonts w:cs="Arial"/>
        </w:rPr>
        <w:t>20 БК РФ)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Целью проведения внешней проверки годового отчета об исполнении местного бюджета является определение достоверности,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lastRenderedPageBreak/>
        <w:t>В целом отчеты можно признать достоверными</w:t>
      </w:r>
      <w:r>
        <w:rPr>
          <w:rFonts w:cs="Arial"/>
        </w:rPr>
        <w:t xml:space="preserve">, так как выявленные нарушения </w:t>
      </w:r>
      <w:r w:rsidRPr="00263B8F">
        <w:rPr>
          <w:rFonts w:cs="Arial"/>
        </w:rPr>
        <w:t>по</w:t>
      </w:r>
      <w:r>
        <w:rPr>
          <w:rFonts w:cs="Arial"/>
        </w:rPr>
        <w:t xml:space="preserve"> </w:t>
      </w:r>
      <w:r w:rsidRPr="00263B8F">
        <w:rPr>
          <w:rFonts w:cs="Arial"/>
        </w:rPr>
        <w:t>ведению бухгалтерского учета и составлению бюджетной отчетности ГАБС (главных</w:t>
      </w:r>
      <w:r>
        <w:rPr>
          <w:rFonts w:cs="Arial"/>
        </w:rPr>
        <w:t xml:space="preserve"> </w:t>
      </w:r>
      <w:r w:rsidRPr="00263B8F">
        <w:rPr>
          <w:rFonts w:cs="Arial"/>
        </w:rPr>
        <w:t>админ</w:t>
      </w:r>
      <w:r>
        <w:rPr>
          <w:rFonts w:cs="Arial"/>
        </w:rPr>
        <w:t xml:space="preserve">истраторов бюджетных средств) </w:t>
      </w:r>
      <w:r w:rsidRPr="00263B8F">
        <w:rPr>
          <w:rFonts w:cs="Arial"/>
        </w:rPr>
        <w:t>не существенны по абсолютным значениям</w:t>
      </w:r>
      <w:r>
        <w:rPr>
          <w:rFonts w:cs="Arial"/>
        </w:rPr>
        <w:t xml:space="preserve"> </w:t>
      </w:r>
      <w:r w:rsidRPr="00263B8F">
        <w:rPr>
          <w:rFonts w:cs="Arial"/>
        </w:rPr>
        <w:t>показателей по отношению к объему бюджета и не повлияли на итоговые значения его</w:t>
      </w:r>
      <w:r>
        <w:rPr>
          <w:rFonts w:cs="Arial"/>
        </w:rPr>
        <w:t xml:space="preserve"> </w:t>
      </w:r>
      <w:r w:rsidRPr="00263B8F">
        <w:rPr>
          <w:rFonts w:cs="Arial"/>
        </w:rPr>
        <w:t>доходной, расходной части и источники финансирования дефицита бюджета.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 xml:space="preserve">В результате </w:t>
      </w:r>
      <w:r>
        <w:rPr>
          <w:rFonts w:cs="Arial"/>
        </w:rPr>
        <w:t>К</w:t>
      </w:r>
      <w:r w:rsidRPr="00263B8F">
        <w:rPr>
          <w:rFonts w:cs="Arial"/>
        </w:rPr>
        <w:t>онтрольно-счетным органом установлено, что по своему составу</w:t>
      </w:r>
      <w:r>
        <w:rPr>
          <w:rFonts w:cs="Arial"/>
        </w:rPr>
        <w:t xml:space="preserve"> </w:t>
      </w:r>
      <w:r w:rsidRPr="00263B8F">
        <w:rPr>
          <w:rFonts w:cs="Arial"/>
        </w:rPr>
        <w:t>бюджетная отчетность за 201</w:t>
      </w:r>
      <w:r>
        <w:rPr>
          <w:rFonts w:cs="Arial"/>
        </w:rPr>
        <w:t>9</w:t>
      </w:r>
      <w:r w:rsidRPr="00263B8F">
        <w:rPr>
          <w:rFonts w:cs="Arial"/>
        </w:rPr>
        <w:t xml:space="preserve"> </w:t>
      </w:r>
      <w:r>
        <w:rPr>
          <w:rFonts w:cs="Arial"/>
        </w:rPr>
        <w:t>год соответствовала требованиям</w:t>
      </w:r>
      <w:r w:rsidRPr="00263B8F">
        <w:rPr>
          <w:rFonts w:cs="Arial"/>
        </w:rPr>
        <w:t xml:space="preserve"> </w:t>
      </w:r>
      <w:r w:rsidRPr="00E700A1">
        <w:rPr>
          <w:rFonts w:cs="Arial"/>
        </w:rPr>
        <w:t>Приказ</w:t>
      </w:r>
      <w:r>
        <w:rPr>
          <w:rFonts w:cs="Arial"/>
        </w:rPr>
        <w:t>а</w:t>
      </w:r>
      <w:r w:rsidRPr="00E700A1">
        <w:rPr>
          <w:rFonts w:cs="Arial"/>
        </w:rPr>
        <w:t xml:space="preserve"> Минфина Р</w:t>
      </w:r>
      <w:r w:rsidR="00870870">
        <w:rPr>
          <w:rFonts w:cs="Arial"/>
        </w:rPr>
        <w:t>Ф от 28 декабря 2010 г. № 191н «</w:t>
      </w:r>
      <w:r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870870">
        <w:rPr>
          <w:rFonts w:cs="Arial"/>
        </w:rPr>
        <w:t>ой системы Российской Федерации»</w:t>
      </w:r>
      <w:r w:rsidRPr="00E700A1">
        <w:rPr>
          <w:rFonts w:cs="Arial"/>
        </w:rPr>
        <w:t xml:space="preserve"> (с изменениями и дополнениями)</w:t>
      </w:r>
      <w:r>
        <w:rPr>
          <w:rFonts w:cs="Arial"/>
        </w:rPr>
        <w:t>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Проведенной внешней проверкой годовой бюджетной отчетности всех главных распорядителей средств бюджета МО Приозерский</w:t>
      </w:r>
      <w:r>
        <w:rPr>
          <w:rFonts w:cs="Arial"/>
        </w:rPr>
        <w:t xml:space="preserve"> муниципальный</w:t>
      </w:r>
      <w:r w:rsidRPr="00263B8F">
        <w:rPr>
          <w:rFonts w:cs="Arial"/>
        </w:rPr>
        <w:t xml:space="preserve"> район, главных администраторов доходов бюджета МО Приозерский</w:t>
      </w:r>
      <w:r w:rsidRPr="009B1A72">
        <w:rPr>
          <w:rFonts w:cs="Arial"/>
        </w:rPr>
        <w:t xml:space="preserve"> </w:t>
      </w:r>
      <w:r>
        <w:rPr>
          <w:rFonts w:cs="Arial"/>
        </w:rPr>
        <w:t>муниципальный</w:t>
      </w:r>
      <w:r w:rsidRPr="00263B8F">
        <w:rPr>
          <w:rFonts w:cs="Arial"/>
        </w:rPr>
        <w:t xml:space="preserve"> район, главных администраторов источников финансирования дефицита за 20</w:t>
      </w:r>
      <w:r>
        <w:rPr>
          <w:rFonts w:cs="Arial"/>
        </w:rPr>
        <w:t>19</w:t>
      </w:r>
      <w:r w:rsidRPr="00263B8F">
        <w:rPr>
          <w:rFonts w:cs="Arial"/>
        </w:rPr>
        <w:t xml:space="preserve"> год выявлены факты неэффективного использ</w:t>
      </w:r>
      <w:r>
        <w:rPr>
          <w:rFonts w:cs="Arial"/>
        </w:rPr>
        <w:t xml:space="preserve">ования бюджетными средствами в сумме </w:t>
      </w:r>
      <w:r w:rsidR="007C0A56">
        <w:rPr>
          <w:rFonts w:cs="Arial"/>
        </w:rPr>
        <w:t>11</w:t>
      </w:r>
      <w:r w:rsidRPr="00E700A1">
        <w:rPr>
          <w:rFonts w:cs="Arial"/>
        </w:rPr>
        <w:t xml:space="preserve">113,1 </w:t>
      </w:r>
      <w:r>
        <w:rPr>
          <w:rFonts w:cs="Arial"/>
        </w:rPr>
        <w:t>тыс. рублей (</w:t>
      </w:r>
      <w:r w:rsidRPr="00263B8F">
        <w:rPr>
          <w:rFonts w:cs="Arial"/>
        </w:rPr>
        <w:t>штрафные санкции и судебные расходы за 201</w:t>
      </w:r>
      <w:r>
        <w:rPr>
          <w:rFonts w:cs="Arial"/>
        </w:rPr>
        <w:t xml:space="preserve">9 </w:t>
      </w:r>
      <w:r w:rsidRPr="00263B8F">
        <w:rPr>
          <w:rFonts w:cs="Arial"/>
        </w:rPr>
        <w:t>г.), а также неэ</w:t>
      </w:r>
      <w:r>
        <w:rPr>
          <w:rFonts w:cs="Arial"/>
        </w:rPr>
        <w:t xml:space="preserve">ффективное управление финансами, что при установлении факта </w:t>
      </w:r>
      <w:r w:rsidRPr="00263B8F">
        <w:rPr>
          <w:rFonts w:cs="Arial"/>
        </w:rPr>
        <w:t xml:space="preserve">нарушения условий Соглашения о порядке предоставления </w:t>
      </w:r>
      <w:r>
        <w:rPr>
          <w:rFonts w:cs="Arial"/>
        </w:rPr>
        <w:t xml:space="preserve">субсидии из областного бюджета бюджетам поселений и не </w:t>
      </w:r>
      <w:r w:rsidRPr="00263B8F">
        <w:rPr>
          <w:rFonts w:cs="Arial"/>
        </w:rPr>
        <w:t>д</w:t>
      </w:r>
      <w:r>
        <w:rPr>
          <w:rFonts w:cs="Arial"/>
        </w:rPr>
        <w:t xml:space="preserve">остижения целевых показателей </w:t>
      </w:r>
      <w:r w:rsidRPr="00263B8F">
        <w:rPr>
          <w:rFonts w:cs="Arial"/>
        </w:rPr>
        <w:t xml:space="preserve">привело к наложению штрафных </w:t>
      </w:r>
      <w:r>
        <w:rPr>
          <w:rFonts w:cs="Arial"/>
        </w:rPr>
        <w:t xml:space="preserve">санкций в сумме </w:t>
      </w:r>
      <w:r w:rsidR="007C0A56">
        <w:rPr>
          <w:rFonts w:cs="Arial"/>
        </w:rPr>
        <w:t xml:space="preserve">8 256,9 </w:t>
      </w:r>
      <w:r>
        <w:rPr>
          <w:rFonts w:cs="Arial"/>
        </w:rPr>
        <w:t>тыс. руб.</w:t>
      </w:r>
      <w:r w:rsidRPr="00263B8F">
        <w:rPr>
          <w:rFonts w:cs="Arial"/>
        </w:rPr>
        <w:t xml:space="preserve"> (в 20</w:t>
      </w:r>
      <w:r>
        <w:rPr>
          <w:rFonts w:cs="Arial"/>
        </w:rPr>
        <w:t xml:space="preserve">20 </w:t>
      </w:r>
      <w:r w:rsidRPr="00263B8F">
        <w:rPr>
          <w:rFonts w:cs="Arial"/>
        </w:rPr>
        <w:t>году за 201</w:t>
      </w:r>
      <w:r>
        <w:rPr>
          <w:rFonts w:cs="Arial"/>
        </w:rPr>
        <w:t>9 год).</w:t>
      </w:r>
    </w:p>
    <w:p w:rsidR="001F0E28" w:rsidRPr="009B1A72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9B1A72">
        <w:rPr>
          <w:rFonts w:cs="Arial"/>
        </w:rPr>
        <w:t>Остаток средств областного бюджета по поселениям составил: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на </w:t>
      </w:r>
      <w:r w:rsidRPr="00263B8F">
        <w:rPr>
          <w:rFonts w:cs="Arial"/>
        </w:rPr>
        <w:t>01.01.20</w:t>
      </w:r>
      <w:r>
        <w:rPr>
          <w:rFonts w:cs="Arial"/>
        </w:rPr>
        <w:t>20</w:t>
      </w:r>
      <w:r w:rsidRPr="00263B8F">
        <w:rPr>
          <w:rFonts w:cs="Arial"/>
        </w:rPr>
        <w:t xml:space="preserve"> года </w:t>
      </w:r>
      <w:r>
        <w:rPr>
          <w:rFonts w:cs="Arial"/>
        </w:rPr>
        <w:t>–</w:t>
      </w:r>
      <w:r w:rsidRPr="00263B8F">
        <w:rPr>
          <w:rFonts w:cs="Arial"/>
        </w:rPr>
        <w:t xml:space="preserve"> </w:t>
      </w:r>
      <w:r>
        <w:rPr>
          <w:rFonts w:cs="Arial"/>
        </w:rPr>
        <w:t>27 488,5 тыс. руб.;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на 01.01.2021</w:t>
      </w:r>
      <w:r w:rsidRPr="00263B8F">
        <w:rPr>
          <w:rFonts w:cs="Arial"/>
        </w:rPr>
        <w:t xml:space="preserve"> года </w:t>
      </w:r>
      <w:r>
        <w:rPr>
          <w:rFonts w:cs="Arial"/>
        </w:rPr>
        <w:t>–</w:t>
      </w:r>
      <w:r w:rsidRPr="00263B8F">
        <w:rPr>
          <w:rFonts w:cs="Arial"/>
        </w:rPr>
        <w:t xml:space="preserve"> </w:t>
      </w:r>
      <w:r>
        <w:rPr>
          <w:rFonts w:cs="Arial"/>
        </w:rPr>
        <w:t>11 064,1 тыс. руб.</w:t>
      </w:r>
    </w:p>
    <w:p w:rsidR="001F0E28" w:rsidRPr="003D6F1C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8A3918">
        <w:rPr>
          <w:rFonts w:cs="Arial"/>
        </w:rPr>
        <w:t>Цель</w:t>
      </w:r>
      <w:r>
        <w:rPr>
          <w:rFonts w:cs="Arial"/>
        </w:rPr>
        <w:t>ю</w:t>
      </w:r>
      <w:r w:rsidRPr="008A3918">
        <w:rPr>
          <w:rFonts w:cs="Arial"/>
        </w:rPr>
        <w:t xml:space="preserve"> проводимых контрольных мероприятий</w:t>
      </w:r>
      <w:r>
        <w:rPr>
          <w:rFonts w:cs="Arial"/>
        </w:rPr>
        <w:t xml:space="preserve"> является</w:t>
      </w:r>
      <w:r w:rsidRPr="008A3918">
        <w:rPr>
          <w:rFonts w:cs="Arial"/>
        </w:rPr>
        <w:t xml:space="preserve"> </w:t>
      </w:r>
      <w:r>
        <w:rPr>
          <w:rFonts w:cs="Arial"/>
        </w:rPr>
        <w:t>о</w:t>
      </w:r>
      <w:r w:rsidRPr="008A3918">
        <w:rPr>
          <w:rFonts w:cs="Arial"/>
        </w:rPr>
        <w:t>существление контроля по соблюдению требований действующего законодательства при исполнении финансово-хозяйственной деятельности муниципальных учреждений, определение законности, эффективности, результативности и целевого ис</w:t>
      </w:r>
      <w:r>
        <w:rPr>
          <w:rFonts w:cs="Arial"/>
        </w:rPr>
        <w:t>пользования средств, выделенных</w:t>
      </w:r>
      <w:r w:rsidRPr="008A3918">
        <w:rPr>
          <w:rFonts w:cs="Arial"/>
        </w:rPr>
        <w:t xml:space="preserve"> из бюджета </w:t>
      </w:r>
      <w:r>
        <w:rPr>
          <w:rFonts w:cs="Arial"/>
        </w:rPr>
        <w:t>муниципального образования</w:t>
      </w:r>
      <w:r w:rsidRPr="008A3918">
        <w:rPr>
          <w:rFonts w:cs="Arial"/>
        </w:rPr>
        <w:t xml:space="preserve"> Приозерский</w:t>
      </w:r>
      <w:r>
        <w:rPr>
          <w:rFonts w:cs="Arial"/>
        </w:rPr>
        <w:t xml:space="preserve"> муниципальный район.</w:t>
      </w:r>
    </w:p>
    <w:p w:rsidR="001F0E28" w:rsidRPr="00B52B2A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B52B2A">
        <w:rPr>
          <w:rFonts w:cs="Arial"/>
          <w:b/>
        </w:rPr>
        <w:t xml:space="preserve">Проведено контрольное мероприятие «Проверка </w:t>
      </w:r>
      <w:r>
        <w:rPr>
          <w:rFonts w:cs="Arial"/>
          <w:b/>
        </w:rPr>
        <w:t>соблюдения бюджетного законодательства в деятельности МУП «Теплосеть Сосново</w:t>
      </w:r>
      <w:r w:rsidRPr="00B52B2A">
        <w:rPr>
          <w:rFonts w:cs="Arial"/>
          <w:b/>
        </w:rPr>
        <w:t>».</w:t>
      </w:r>
    </w:p>
    <w:p w:rsidR="001F0E28" w:rsidRPr="00016A91" w:rsidRDefault="001F0E28" w:rsidP="001F0E28">
      <w:pPr>
        <w:tabs>
          <w:tab w:val="left" w:pos="142"/>
        </w:tabs>
        <w:ind w:firstLine="709"/>
        <w:jc w:val="both"/>
        <w:rPr>
          <w:rFonts w:cs="Arial"/>
          <w:bCs/>
        </w:rPr>
      </w:pPr>
      <w:r w:rsidRPr="00F2591C">
        <w:rPr>
          <w:rFonts w:cs="Arial"/>
        </w:rPr>
        <w:t xml:space="preserve">Объем проверенных средств составил </w:t>
      </w:r>
      <w:r>
        <w:rPr>
          <w:rFonts w:cs="Arial"/>
        </w:rPr>
        <w:t>217 123,4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руб. </w:t>
      </w:r>
      <w:r w:rsidRPr="00F2591C">
        <w:rPr>
          <w:rFonts w:cs="Arial"/>
        </w:rPr>
        <w:t xml:space="preserve">Выявлены нарушения </w:t>
      </w:r>
      <w:r>
        <w:rPr>
          <w:rFonts w:cs="Arial"/>
        </w:rPr>
        <w:t xml:space="preserve">ведения Реестра муниципального имущества муниципального образования Сосновское сельское поселение и 3 нарушения </w:t>
      </w:r>
      <w:r w:rsidR="003D6F1C">
        <w:rPr>
          <w:rFonts w:cs="Arial"/>
          <w:bCs/>
        </w:rPr>
        <w:t>ФЗ от 18 июля 2011 г. №</w:t>
      </w:r>
      <w:r w:rsidRPr="00016A91">
        <w:rPr>
          <w:rFonts w:cs="Arial"/>
          <w:bCs/>
        </w:rPr>
        <w:t xml:space="preserve"> 223-Ф</w:t>
      </w:r>
      <w:r w:rsidR="003D6F1C">
        <w:rPr>
          <w:rFonts w:cs="Arial"/>
          <w:bCs/>
        </w:rPr>
        <w:t>З «</w:t>
      </w:r>
      <w:r w:rsidRPr="00016A91">
        <w:rPr>
          <w:rFonts w:cs="Arial"/>
          <w:bCs/>
        </w:rPr>
        <w:t>О закупках товаров, работ, услуг от</w:t>
      </w:r>
      <w:r w:rsidR="003D6F1C">
        <w:rPr>
          <w:rFonts w:cs="Arial"/>
          <w:bCs/>
        </w:rPr>
        <w:t>дельными видами юридических лиц»</w:t>
      </w:r>
      <w:r w:rsidRPr="00016A91">
        <w:rPr>
          <w:rFonts w:cs="Arial"/>
          <w:bCs/>
        </w:rPr>
        <w:t>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По итогам пр</w:t>
      </w:r>
      <w:r>
        <w:rPr>
          <w:rFonts w:cs="Arial"/>
        </w:rPr>
        <w:t>оверки выставлено Представление</w:t>
      </w:r>
      <w:r w:rsidRPr="00F2591C">
        <w:rPr>
          <w:rFonts w:cs="Arial"/>
        </w:rPr>
        <w:t>.</w:t>
      </w:r>
      <w:r>
        <w:rPr>
          <w:rFonts w:cs="Arial"/>
        </w:rPr>
        <w:t xml:space="preserve"> </w:t>
      </w:r>
      <w:r w:rsidRPr="00F2591C">
        <w:rPr>
          <w:rFonts w:cs="Arial"/>
        </w:rPr>
        <w:t>Представление исполнено в срок.</w:t>
      </w:r>
    </w:p>
    <w:p w:rsidR="001F0E28" w:rsidRPr="00F2591C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5E58DB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1F0E28" w:rsidRPr="00E34FD1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 xml:space="preserve">Проверка проводилась </w:t>
      </w:r>
      <w:r>
        <w:rPr>
          <w:rFonts w:cs="Arial"/>
        </w:rPr>
        <w:t>по поручению Совета депутатов муниципального образования Приозерский муниципальный район Ленинградской области на основании обращения При</w:t>
      </w:r>
      <w:r w:rsidR="003D6F1C">
        <w:rPr>
          <w:rFonts w:cs="Arial"/>
        </w:rPr>
        <w:t>озерской городской прокуратуры.</w:t>
      </w:r>
    </w:p>
    <w:p w:rsidR="001F0E28" w:rsidRPr="00B52B2A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B52B2A">
        <w:rPr>
          <w:rFonts w:cs="Arial"/>
          <w:b/>
        </w:rPr>
        <w:t>Проведено контрольное мероприятие «</w:t>
      </w:r>
      <w:r w:rsidR="003D6F1C">
        <w:rPr>
          <w:rFonts w:cs="Arial"/>
          <w:b/>
        </w:rPr>
        <w:t>Проверка</w:t>
      </w:r>
      <w:r w:rsidRPr="00016A91">
        <w:rPr>
          <w:rFonts w:cs="Arial"/>
          <w:b/>
        </w:rPr>
        <w:t xml:space="preserve"> отдельных вопросов финансово-хозяйственной деятельности МКУ «Отдел по делам ГО и ЧС муниципального образования Приозерский муниципальный район Ленинградской области за 2018 год, в том числе аудит закупок</w:t>
      </w:r>
      <w:r w:rsidRPr="00B52B2A">
        <w:rPr>
          <w:rFonts w:cs="Arial"/>
          <w:b/>
        </w:rPr>
        <w:t>».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Объем проверенных средств</w:t>
      </w:r>
      <w:r>
        <w:rPr>
          <w:rFonts w:cs="Arial"/>
        </w:rPr>
        <w:t xml:space="preserve"> составил</w:t>
      </w:r>
      <w:r w:rsidRPr="00F2591C">
        <w:rPr>
          <w:rFonts w:cs="Arial"/>
        </w:rPr>
        <w:t xml:space="preserve"> </w:t>
      </w:r>
      <w:r>
        <w:rPr>
          <w:rFonts w:cs="Arial"/>
        </w:rPr>
        <w:t>5386,5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руб</w:t>
      </w:r>
      <w:r w:rsidRPr="00F2591C">
        <w:rPr>
          <w:rFonts w:cs="Arial"/>
        </w:rPr>
        <w:t>. Выявлены 2</w:t>
      </w:r>
      <w:r>
        <w:rPr>
          <w:rFonts w:cs="Arial"/>
        </w:rPr>
        <w:t xml:space="preserve"> </w:t>
      </w:r>
      <w:r w:rsidRPr="00F2591C">
        <w:rPr>
          <w:rFonts w:cs="Arial"/>
        </w:rPr>
        <w:t>наруше</w:t>
      </w:r>
      <w:r>
        <w:rPr>
          <w:rFonts w:cs="Arial"/>
        </w:rPr>
        <w:t xml:space="preserve">ния </w:t>
      </w:r>
      <w:r w:rsidRPr="00016A91">
        <w:rPr>
          <w:rFonts w:cs="Arial"/>
        </w:rPr>
        <w:t>ФЗ-44</w:t>
      </w:r>
      <w:r>
        <w:rPr>
          <w:rFonts w:cs="Arial"/>
        </w:rPr>
        <w:t xml:space="preserve"> от 05.04.2013 г</w:t>
      </w:r>
      <w:r w:rsidR="003D6F1C">
        <w:rPr>
          <w:rFonts w:cs="Arial"/>
        </w:rPr>
        <w:t>.</w:t>
      </w:r>
      <w:r>
        <w:rPr>
          <w:rFonts w:cs="Arial"/>
        </w:rPr>
        <w:t xml:space="preserve"> №44-ФЗ</w:t>
      </w:r>
      <w:r w:rsidRPr="00016A91">
        <w:rPr>
          <w:rFonts w:cs="Arial"/>
        </w:rPr>
        <w:t xml:space="preserve"> «О контрактной системе в сфере закупок товаров, работ и услуг для обеспечения государственных и муниципальных нужд»</w:t>
      </w:r>
      <w:r w:rsidR="003D6F1C">
        <w:rPr>
          <w:rFonts w:cs="Arial"/>
        </w:rPr>
        <w:t xml:space="preserve"> </w:t>
      </w:r>
      <w:r>
        <w:rPr>
          <w:rFonts w:cs="Arial"/>
        </w:rPr>
        <w:t>на сумму 13,7 тыс.</w:t>
      </w:r>
      <w:r w:rsidR="003D6F1C">
        <w:rPr>
          <w:rFonts w:cs="Arial"/>
        </w:rPr>
        <w:t xml:space="preserve"> </w:t>
      </w:r>
      <w:r>
        <w:rPr>
          <w:rFonts w:cs="Arial"/>
        </w:rPr>
        <w:t>руб.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5E58DB">
        <w:rPr>
          <w:rFonts w:cs="Arial"/>
        </w:rPr>
        <w:t>По итогам проверки выставлено Представление. Представление исполнено в срок.</w:t>
      </w:r>
    </w:p>
    <w:p w:rsidR="001F0E28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1F0E28" w:rsidRPr="00B52B2A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B52B2A">
        <w:rPr>
          <w:rFonts w:cs="Arial"/>
          <w:b/>
        </w:rPr>
        <w:lastRenderedPageBreak/>
        <w:t>Проведено контрольное мероприятие «</w:t>
      </w:r>
      <w:r w:rsidRPr="005E58DB">
        <w:rPr>
          <w:rFonts w:cs="Arial"/>
          <w:b/>
        </w:rPr>
        <w:t>Проверка финансово-хозяйственной деятельности МКУ «Сосновская Служба Заказчика» за 2019 год</w:t>
      </w:r>
      <w:r w:rsidR="003D6F1C">
        <w:rPr>
          <w:rFonts w:cs="Arial"/>
          <w:b/>
        </w:rPr>
        <w:t>»</w:t>
      </w:r>
      <w:r w:rsidRPr="005E58DB">
        <w:rPr>
          <w:rFonts w:cs="Arial"/>
          <w:b/>
        </w:rPr>
        <w:t>, в том числе аудит закупок»</w:t>
      </w:r>
      <w:r w:rsidRPr="00B52B2A">
        <w:rPr>
          <w:rFonts w:cs="Arial"/>
          <w:b/>
        </w:rPr>
        <w:t>.</w:t>
      </w:r>
    </w:p>
    <w:p w:rsidR="001F0E28" w:rsidRPr="00F2591C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Объем проверенных средств</w:t>
      </w:r>
      <w:r>
        <w:rPr>
          <w:rFonts w:cs="Arial"/>
        </w:rPr>
        <w:t xml:space="preserve"> составил 8389,7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руб. Выявлены</w:t>
      </w:r>
      <w:r w:rsidRPr="00F2591C">
        <w:rPr>
          <w:rFonts w:cs="Arial"/>
        </w:rPr>
        <w:t xml:space="preserve"> нарушения</w:t>
      </w:r>
      <w:r w:rsidRPr="00BE1321">
        <w:t xml:space="preserve"> </w:t>
      </w:r>
      <w:r w:rsidRPr="005E58DB">
        <w:rPr>
          <w:rFonts w:cs="Arial"/>
        </w:rPr>
        <w:t>ФЗ-44 от 05.04.2013 г №44-ФЗ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cs="Arial"/>
        </w:rPr>
        <w:t>.</w:t>
      </w:r>
    </w:p>
    <w:p w:rsidR="001F0E28" w:rsidRPr="005E58DB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5E58DB">
        <w:rPr>
          <w:rFonts w:cs="Arial"/>
        </w:rPr>
        <w:t>По итогам проверки выставлено Представление. Представление исполнено в срок.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Выявлено неэффективное расходов</w:t>
      </w:r>
      <w:r w:rsidR="003D6F1C">
        <w:rPr>
          <w:rFonts w:cs="Arial"/>
        </w:rPr>
        <w:t xml:space="preserve">ание бюджетных средств в сумме </w:t>
      </w:r>
      <w:r>
        <w:rPr>
          <w:rFonts w:cs="Arial"/>
        </w:rPr>
        <w:t>136,1 тыс. руб.</w:t>
      </w:r>
    </w:p>
    <w:p w:rsidR="001F0E28" w:rsidRPr="00E34FD1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Н</w:t>
      </w:r>
      <w:r w:rsidRPr="005E58DB">
        <w:rPr>
          <w:rFonts w:cs="Arial"/>
        </w:rPr>
        <w:t>ецелевого расходования средст</w:t>
      </w:r>
      <w:r w:rsidR="003D6F1C">
        <w:rPr>
          <w:rFonts w:cs="Arial"/>
        </w:rPr>
        <w:t>в местного бюджета не выявлено.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B52B2A">
        <w:rPr>
          <w:rFonts w:cs="Arial"/>
          <w:b/>
        </w:rPr>
        <w:t>Про</w:t>
      </w:r>
      <w:r>
        <w:rPr>
          <w:rFonts w:cs="Arial"/>
          <w:b/>
        </w:rPr>
        <w:t xml:space="preserve">ведено контрольное мероприятие </w:t>
      </w:r>
      <w:r w:rsidRPr="005E58DB">
        <w:rPr>
          <w:rFonts w:cs="Arial"/>
          <w:b/>
        </w:rPr>
        <w:t xml:space="preserve">«Соблюдение норм действующего </w:t>
      </w:r>
      <w:r w:rsidR="003D6F1C">
        <w:rPr>
          <w:rFonts w:cs="Arial"/>
          <w:b/>
        </w:rPr>
        <w:t>законодательства при начислении</w:t>
      </w:r>
      <w:r w:rsidRPr="005E58DB">
        <w:rPr>
          <w:rFonts w:cs="Arial"/>
          <w:b/>
        </w:rPr>
        <w:t xml:space="preserve"> и выплате заработной платы сот</w:t>
      </w:r>
      <w:r w:rsidR="003D6F1C">
        <w:rPr>
          <w:rFonts w:cs="Arial"/>
          <w:b/>
        </w:rPr>
        <w:t xml:space="preserve">рудникам МУ ДО </w:t>
      </w:r>
      <w:r w:rsidRPr="005E58DB">
        <w:rPr>
          <w:rFonts w:cs="Arial"/>
          <w:b/>
        </w:rPr>
        <w:t>«Приоз</w:t>
      </w:r>
      <w:r w:rsidR="003D6F1C">
        <w:rPr>
          <w:rFonts w:cs="Arial"/>
          <w:b/>
        </w:rPr>
        <w:t xml:space="preserve">ерская детская школа искусств» </w:t>
      </w:r>
      <w:r w:rsidRPr="005E58DB">
        <w:rPr>
          <w:rFonts w:cs="Arial"/>
          <w:b/>
        </w:rPr>
        <w:t>за 2018 год».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Объем проверенных средств 7142,0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F2591C">
        <w:rPr>
          <w:rFonts w:cs="Arial"/>
        </w:rPr>
        <w:t xml:space="preserve">руб. 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По итогам про</w:t>
      </w:r>
      <w:r>
        <w:rPr>
          <w:rFonts w:cs="Arial"/>
        </w:rPr>
        <w:t>верки выставлено Представление.</w:t>
      </w:r>
      <w:r w:rsidR="003D6F1C">
        <w:rPr>
          <w:rFonts w:cs="Arial"/>
        </w:rPr>
        <w:t xml:space="preserve"> </w:t>
      </w:r>
      <w:r w:rsidRPr="00F2591C">
        <w:rPr>
          <w:rFonts w:cs="Arial"/>
        </w:rPr>
        <w:t>П</w:t>
      </w:r>
      <w:r>
        <w:rPr>
          <w:rFonts w:cs="Arial"/>
        </w:rPr>
        <w:t>редставление исполнено в срок.</w:t>
      </w:r>
    </w:p>
    <w:p w:rsidR="001F0E28" w:rsidRPr="00A448EA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5E58DB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B52B2A">
        <w:rPr>
          <w:rFonts w:cs="Arial"/>
          <w:b/>
        </w:rPr>
        <w:t>Проведено контрольное мероприятие «</w:t>
      </w:r>
      <w:r w:rsidRPr="005E58DB">
        <w:rPr>
          <w:rFonts w:cs="Arial"/>
          <w:b/>
        </w:rPr>
        <w:t>Проверка правильности составления и утверждения учетной политики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области, а также соответствие Учетной политики действующему законодательству Российской Федерации»</w:t>
      </w:r>
      <w:r w:rsidRPr="00B52B2A">
        <w:rPr>
          <w:rFonts w:cs="Arial"/>
          <w:b/>
        </w:rPr>
        <w:t>.</w:t>
      </w:r>
    </w:p>
    <w:p w:rsidR="001F0E28" w:rsidRPr="000319C7" w:rsidRDefault="003D6F1C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Выявлены нарушения</w:t>
      </w:r>
      <w:r w:rsidR="001F0E28">
        <w:rPr>
          <w:rFonts w:cs="Arial"/>
        </w:rPr>
        <w:t xml:space="preserve"> </w:t>
      </w:r>
      <w:r>
        <w:rPr>
          <w:rFonts w:cs="Arial"/>
        </w:rPr>
        <w:t>Федерального з</w:t>
      </w:r>
      <w:r w:rsidR="001F0E28" w:rsidRPr="000319C7">
        <w:rPr>
          <w:rFonts w:cs="Arial"/>
        </w:rPr>
        <w:t>акона от</w:t>
      </w:r>
      <w:r>
        <w:rPr>
          <w:rFonts w:cs="Arial"/>
        </w:rPr>
        <w:t xml:space="preserve"> 06 декабря 2011 года № 402-ФЗ «</w:t>
      </w:r>
      <w:r w:rsidR="001F0E28" w:rsidRPr="000319C7">
        <w:rPr>
          <w:rFonts w:cs="Arial"/>
        </w:rPr>
        <w:t>О бухгалтерском учете»; Приказа Министерства финансов Российской Фед</w:t>
      </w:r>
      <w:r>
        <w:rPr>
          <w:rFonts w:cs="Arial"/>
        </w:rPr>
        <w:t>ерации от 01 декабря 2010 года №</w:t>
      </w:r>
      <w:r w:rsidR="001F0E28" w:rsidRPr="000319C7">
        <w:rPr>
          <w:rFonts w:cs="Arial"/>
        </w:rPr>
        <w:t xml:space="preserve"> 157н «Об утверждении Единого плана счетов бухгалтерского учета для органов государственной в</w:t>
      </w:r>
      <w:r>
        <w:rPr>
          <w:rFonts w:cs="Arial"/>
        </w:rPr>
        <w:t>ласти (государственных органов)</w:t>
      </w:r>
      <w:r w:rsidR="001F0E28" w:rsidRPr="000319C7">
        <w:rPr>
          <w:rFonts w:cs="Arial"/>
        </w:rPr>
        <w:t>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cs="Arial"/>
        </w:rPr>
        <w:t xml:space="preserve"> и Инструкции по его применению»</w:t>
      </w:r>
      <w:r w:rsidR="001F0E28" w:rsidRPr="000319C7">
        <w:rPr>
          <w:rFonts w:cs="Arial"/>
        </w:rPr>
        <w:t>; Приказа Министерства Финансов Российской</w:t>
      </w:r>
      <w:r>
        <w:rPr>
          <w:rFonts w:cs="Arial"/>
        </w:rPr>
        <w:t xml:space="preserve"> Федерации от 30 марта 2015 г. № 52н «</w:t>
      </w:r>
      <w:r w:rsidR="001F0E28" w:rsidRPr="000319C7">
        <w:rPr>
          <w:rFonts w:cs="Arial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 Приказа Министерства финансов Российской Федер</w:t>
      </w:r>
      <w:r>
        <w:rPr>
          <w:rFonts w:cs="Arial"/>
        </w:rPr>
        <w:t>ации от 30.12.2017 года № 274н «</w:t>
      </w:r>
      <w:r w:rsidR="001F0E28" w:rsidRPr="000319C7">
        <w:rPr>
          <w:rFonts w:cs="Arial"/>
        </w:rPr>
        <w:t>Учетная полити</w:t>
      </w:r>
      <w:r>
        <w:rPr>
          <w:rFonts w:cs="Arial"/>
        </w:rPr>
        <w:t>ка, оценочные значения и ошибки»</w:t>
      </w:r>
      <w:r w:rsidR="001F0E28" w:rsidRPr="000319C7">
        <w:rPr>
          <w:rFonts w:cs="Arial"/>
        </w:rPr>
        <w:t>; Налогового кодекса.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 xml:space="preserve">По итогам проверки </w:t>
      </w:r>
      <w:r>
        <w:rPr>
          <w:rFonts w:cs="Arial"/>
        </w:rPr>
        <w:t>даны рекомендации по внесению изменений в соответствии с вступлением в силу новых ФСБУ</w:t>
      </w:r>
      <w:r w:rsidRPr="00F2591C">
        <w:rPr>
          <w:rFonts w:cs="Arial"/>
        </w:rPr>
        <w:t>.</w:t>
      </w:r>
    </w:p>
    <w:p w:rsidR="001F0E28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0319C7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0319C7">
        <w:rPr>
          <w:rFonts w:cs="Arial"/>
          <w:b/>
        </w:rPr>
        <w:t>Проведено контрольное мероприятие «Проверка возможных неправомерных действий со стороны главы администрации муниципального образования Приозерский муниципальный район Ленинградской области Соклакова А.</w:t>
      </w:r>
      <w:r w:rsidR="003D6F1C">
        <w:rPr>
          <w:rFonts w:cs="Arial"/>
          <w:b/>
        </w:rPr>
        <w:t xml:space="preserve"> </w:t>
      </w:r>
      <w:r w:rsidRPr="000319C7">
        <w:rPr>
          <w:rFonts w:cs="Arial"/>
          <w:b/>
        </w:rPr>
        <w:t>Н.»</w:t>
      </w:r>
    </w:p>
    <w:p w:rsidR="001F0E28" w:rsidRDefault="003D6F1C" w:rsidP="003D6F1C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Выявлены нарушения Федерального з</w:t>
      </w:r>
      <w:r w:rsidR="001F0E28" w:rsidRPr="000319C7">
        <w:rPr>
          <w:rFonts w:cs="Arial"/>
        </w:rPr>
        <w:t>акона от</w:t>
      </w:r>
      <w:r>
        <w:rPr>
          <w:rFonts w:cs="Arial"/>
        </w:rPr>
        <w:t xml:space="preserve"> 06 декабря 2011 года № 402-ФЗ «</w:t>
      </w:r>
      <w:r w:rsidR="001F0E28" w:rsidRPr="000319C7">
        <w:rPr>
          <w:rFonts w:cs="Arial"/>
        </w:rPr>
        <w:t>О бухгалтерском учете»;</w:t>
      </w:r>
      <w:r w:rsidR="001F0E28" w:rsidRPr="000319C7">
        <w:t xml:space="preserve"> </w:t>
      </w:r>
      <w:r w:rsidR="001F0E28" w:rsidRPr="000319C7">
        <w:rPr>
          <w:rFonts w:cs="Arial"/>
        </w:rPr>
        <w:t>Приказа Министерства транспорта Российской Федера</w:t>
      </w:r>
      <w:r>
        <w:rPr>
          <w:rFonts w:cs="Arial"/>
        </w:rPr>
        <w:t>ции № 152 от 18 сентября 2008 г</w:t>
      </w:r>
      <w:r w:rsidR="001F0E28" w:rsidRPr="000319C7">
        <w:rPr>
          <w:rFonts w:cs="Arial"/>
        </w:rPr>
        <w:t>. «Об утверждении обязательных реквизитов и порядка заполнения</w:t>
      </w:r>
      <w:r>
        <w:rPr>
          <w:rFonts w:cs="Arial"/>
        </w:rPr>
        <w:t xml:space="preserve"> путевых листов» с изменениями, </w:t>
      </w:r>
      <w:r w:rsidR="001F0E28" w:rsidRPr="000319C7">
        <w:rPr>
          <w:rFonts w:cs="Arial"/>
        </w:rPr>
        <w:t xml:space="preserve">Приказа </w:t>
      </w:r>
      <w:r>
        <w:rPr>
          <w:rFonts w:cs="Arial"/>
        </w:rPr>
        <w:t>Минтранса России от 21.12.2018 г. № 467 «</w:t>
      </w:r>
      <w:r w:rsidR="001F0E28" w:rsidRPr="000319C7">
        <w:rPr>
          <w:rFonts w:cs="Arial"/>
        </w:rPr>
        <w:t>О внесении изменений в обязательные реквизиты и порядок заполнения путевых листов, утвержденные приказом Министерства транспорта РФ от 18 сент</w:t>
      </w:r>
      <w:r>
        <w:rPr>
          <w:rFonts w:cs="Arial"/>
        </w:rPr>
        <w:t>ября 2008 г. № 152»</w:t>
      </w:r>
      <w:r w:rsidR="001F0E28" w:rsidRPr="000319C7">
        <w:rPr>
          <w:rFonts w:cs="Arial"/>
        </w:rPr>
        <w:t>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0319C7">
        <w:rPr>
          <w:rFonts w:cs="Arial"/>
        </w:rPr>
        <w:t xml:space="preserve">По итогам проверки даны рекомендации по </w:t>
      </w:r>
      <w:r>
        <w:rPr>
          <w:rFonts w:cs="Arial"/>
        </w:rPr>
        <w:t>заполнению путевых листов</w:t>
      </w:r>
      <w:r w:rsidRPr="000319C7">
        <w:rPr>
          <w:rFonts w:cs="Arial"/>
        </w:rPr>
        <w:t xml:space="preserve"> в соответствии с </w:t>
      </w:r>
      <w:r>
        <w:rPr>
          <w:rFonts w:cs="Arial"/>
        </w:rPr>
        <w:t>изменениями с 01.01.2021 года</w:t>
      </w:r>
      <w:r w:rsidRPr="000319C7">
        <w:rPr>
          <w:rFonts w:cs="Arial"/>
        </w:rPr>
        <w:t>.</w:t>
      </w:r>
    </w:p>
    <w:p w:rsidR="001F0E28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0319C7">
        <w:rPr>
          <w:rFonts w:cs="Arial"/>
        </w:rPr>
        <w:lastRenderedPageBreak/>
        <w:t>Проверка проводилась по поручению Совета депутатов муниципального образования Приозерский муниципальный район Ленинградской области на основании обращения Приозерской городской прокуратуры.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Контроль за исполнением представлений</w:t>
      </w:r>
      <w:r>
        <w:rPr>
          <w:rFonts w:cs="Tahoma"/>
          <w:b/>
        </w:rPr>
        <w:t>.</w:t>
      </w:r>
    </w:p>
    <w:p w:rsidR="00913678" w:rsidRPr="00B347BD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  <w:r>
        <w:rPr>
          <w:rFonts w:cs="Tahoma"/>
        </w:rPr>
        <w:t>За 2020</w:t>
      </w:r>
      <w:r w:rsidRPr="00B347BD">
        <w:rPr>
          <w:rFonts w:cs="Tahoma"/>
        </w:rPr>
        <w:t xml:space="preserve"> год контрольно-счетным органом было выставлено </w:t>
      </w:r>
      <w:r>
        <w:rPr>
          <w:rFonts w:cs="Tahoma"/>
        </w:rPr>
        <w:t>8 (восемь) п</w:t>
      </w:r>
      <w:r w:rsidRPr="00B347BD">
        <w:rPr>
          <w:rFonts w:cs="Tahoma"/>
        </w:rPr>
        <w:t xml:space="preserve">редставлений по результатам контрольных мероприятий. Исполнено </w:t>
      </w:r>
      <w:r>
        <w:rPr>
          <w:rFonts w:cs="Tahoma"/>
        </w:rPr>
        <w:t>8 (восемь) п</w:t>
      </w:r>
      <w:r w:rsidRPr="00B347BD">
        <w:rPr>
          <w:rFonts w:cs="Tahoma"/>
        </w:rPr>
        <w:t>редставлений.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Информация по обращению граждан</w:t>
      </w:r>
    </w:p>
    <w:p w:rsidR="00913678" w:rsidRPr="00B347BD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  <w:r>
        <w:rPr>
          <w:rFonts w:cs="Tahoma"/>
        </w:rPr>
        <w:t xml:space="preserve">За </w:t>
      </w:r>
      <w:r w:rsidRPr="00B347BD">
        <w:rPr>
          <w:rFonts w:cs="Tahoma"/>
        </w:rPr>
        <w:t>20</w:t>
      </w:r>
      <w:r>
        <w:rPr>
          <w:rFonts w:cs="Tahoma"/>
        </w:rPr>
        <w:t>20</w:t>
      </w:r>
      <w:r w:rsidRPr="00B347BD">
        <w:rPr>
          <w:rFonts w:cs="Tahoma"/>
        </w:rPr>
        <w:t xml:space="preserve"> год поступило два обращения граждан. </w:t>
      </w:r>
      <w:r>
        <w:rPr>
          <w:rFonts w:cs="Tahoma"/>
        </w:rPr>
        <w:t>Информация с раз</w:t>
      </w:r>
      <w:r w:rsidR="003D6F1C">
        <w:rPr>
          <w:rFonts w:cs="Tahoma"/>
        </w:rPr>
        <w:t>ъяснениями по данным обращениям</w:t>
      </w:r>
      <w:r w:rsidRPr="00B347BD">
        <w:rPr>
          <w:rFonts w:cs="Tahoma"/>
        </w:rPr>
        <w:t xml:space="preserve"> был</w:t>
      </w:r>
      <w:r>
        <w:rPr>
          <w:rFonts w:cs="Tahoma"/>
        </w:rPr>
        <w:t>а</w:t>
      </w:r>
      <w:r w:rsidRPr="00B347BD">
        <w:rPr>
          <w:rFonts w:cs="Tahoma"/>
        </w:rPr>
        <w:t xml:space="preserve"> напра</w:t>
      </w:r>
      <w:r>
        <w:rPr>
          <w:rFonts w:cs="Tahoma"/>
        </w:rPr>
        <w:t>влен</w:t>
      </w:r>
      <w:r w:rsidR="003D6F1C">
        <w:rPr>
          <w:rFonts w:cs="Tahoma"/>
        </w:rPr>
        <w:t>а гражданам</w:t>
      </w:r>
      <w:r>
        <w:rPr>
          <w:rFonts w:cs="Tahoma"/>
        </w:rPr>
        <w:t xml:space="preserve"> в виде ответа, в соответствии с</w:t>
      </w:r>
      <w:r w:rsidRPr="008555FA">
        <w:t xml:space="preserve"> </w:t>
      </w:r>
      <w:r>
        <w:rPr>
          <w:rFonts w:cs="Tahoma"/>
        </w:rPr>
        <w:t xml:space="preserve">Федеральным законом </w:t>
      </w:r>
      <w:r w:rsidR="003D6F1C">
        <w:rPr>
          <w:rFonts w:cs="Tahoma"/>
        </w:rPr>
        <w:t>«</w:t>
      </w:r>
      <w:r w:rsidRPr="008555FA">
        <w:rPr>
          <w:rFonts w:cs="Tahoma"/>
        </w:rPr>
        <w:t>О порядке рассмотрения обращений гражда</w:t>
      </w:r>
      <w:r w:rsidR="003D6F1C">
        <w:rPr>
          <w:rFonts w:cs="Tahoma"/>
        </w:rPr>
        <w:t>н Российской Федерации» от 02.05.2006 г. №</w:t>
      </w:r>
      <w:r w:rsidRPr="008555FA">
        <w:rPr>
          <w:rFonts w:cs="Tahoma"/>
        </w:rPr>
        <w:t xml:space="preserve"> 59-ФЗ</w:t>
      </w:r>
      <w:r>
        <w:rPr>
          <w:rFonts w:cs="Tahoma"/>
        </w:rPr>
        <w:t>.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Совместная работа с городской прокуратурой и правоохранительными органами.</w:t>
      </w:r>
    </w:p>
    <w:p w:rsidR="00913678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1F0E28" w:rsidRPr="00B347BD" w:rsidRDefault="001F0E28" w:rsidP="003D6F1C">
      <w:pPr>
        <w:tabs>
          <w:tab w:val="left" w:pos="142"/>
        </w:tabs>
        <w:ind w:firstLine="709"/>
        <w:jc w:val="both"/>
        <w:rPr>
          <w:rFonts w:cs="Tahoma"/>
          <w:b/>
        </w:rPr>
      </w:pPr>
      <w:r>
        <w:t>Контрольно-счетный орган муниципального образования Приозерский муниципальный район Ленинградской области в соответствии с действующим законодательством осуществляет свою деятельность в тесном взаимодействии с Приозерской городской прокуратурой на основании заключенного соглашения.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b/>
        </w:rPr>
      </w:pPr>
      <w:r>
        <w:rPr>
          <w:rFonts w:cs="Tahoma"/>
        </w:rPr>
        <w:t>За 2020</w:t>
      </w:r>
      <w:r w:rsidRPr="00B347BD">
        <w:rPr>
          <w:rFonts w:cs="Tahoma"/>
        </w:rPr>
        <w:t xml:space="preserve"> год в Приозерскую городскую прокуратуру в рамках заключенного соглашения «О взаимодействии между Приозерской городской прокуратурой Ленинградской области и Контрольно-счетным органом Приозерского муниципального района Ленинградской области</w:t>
      </w:r>
      <w:r w:rsidRPr="00B347BD">
        <w:t xml:space="preserve"> </w:t>
      </w:r>
      <w:r>
        <w:rPr>
          <w:rFonts w:cs="Tahoma"/>
        </w:rPr>
        <w:t xml:space="preserve">переданы в прокуратуру </w:t>
      </w:r>
      <w:r w:rsidRPr="00B347BD">
        <w:rPr>
          <w:rFonts w:cs="Tahoma"/>
        </w:rPr>
        <w:t>выявленные нарушения действующего законодательства</w:t>
      </w:r>
      <w:r>
        <w:rPr>
          <w:rFonts w:cs="Tahoma"/>
        </w:rPr>
        <w:t xml:space="preserve"> в ходе проверок бюджетов на 2020 </w:t>
      </w:r>
      <w:r w:rsidRPr="00B347BD">
        <w:rPr>
          <w:rFonts w:cs="Tahoma"/>
        </w:rPr>
        <w:t>г</w:t>
      </w:r>
      <w:r>
        <w:rPr>
          <w:rFonts w:cs="Tahoma"/>
        </w:rPr>
        <w:t>од</w:t>
      </w:r>
      <w:r w:rsidRPr="00B347BD">
        <w:rPr>
          <w:rFonts w:cs="Tahoma"/>
        </w:rPr>
        <w:t xml:space="preserve"> и плановый период 202</w:t>
      </w:r>
      <w:r>
        <w:rPr>
          <w:rFonts w:cs="Tahoma"/>
        </w:rPr>
        <w:t xml:space="preserve">1 </w:t>
      </w:r>
      <w:r w:rsidRPr="00B347BD">
        <w:rPr>
          <w:rFonts w:cs="Tahoma"/>
        </w:rPr>
        <w:t>и 202</w:t>
      </w:r>
      <w:r>
        <w:rPr>
          <w:rFonts w:cs="Tahoma"/>
        </w:rPr>
        <w:t>2 годы</w:t>
      </w:r>
      <w:r w:rsidRPr="00B347BD">
        <w:rPr>
          <w:rFonts w:cs="Tahoma"/>
        </w:rPr>
        <w:t xml:space="preserve">, а также выявленные нарушения согласно </w:t>
      </w:r>
      <w:r>
        <w:rPr>
          <w:rFonts w:cs="Tahoma"/>
        </w:rPr>
        <w:t>плана работы контрольно-счетного органа по эксперт</w:t>
      </w:r>
      <w:r w:rsidR="003D6F1C">
        <w:rPr>
          <w:rFonts w:cs="Tahoma"/>
        </w:rPr>
        <w:t xml:space="preserve">но-аналитическим и контрольным </w:t>
      </w:r>
      <w:r>
        <w:rPr>
          <w:rFonts w:cs="Tahoma"/>
        </w:rPr>
        <w:t>мероприятиям.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3D6F1C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>7.</w:t>
      </w:r>
      <w:r w:rsidR="003D6F1C">
        <w:rPr>
          <w:b/>
        </w:rPr>
        <w:t xml:space="preserve"> </w:t>
      </w:r>
      <w:r w:rsidRPr="00B347BD">
        <w:rPr>
          <w:b/>
        </w:rPr>
        <w:t xml:space="preserve">Информационная </w:t>
      </w:r>
      <w:r w:rsidR="003D6F1C">
        <w:rPr>
          <w:b/>
        </w:rPr>
        <w:t>и организационная деятельность.</w:t>
      </w:r>
    </w:p>
    <w:p w:rsidR="00913678" w:rsidRPr="00B347BD" w:rsidRDefault="00913678" w:rsidP="003D6F1C">
      <w:pPr>
        <w:tabs>
          <w:tab w:val="left" w:pos="142"/>
        </w:tabs>
        <w:ind w:firstLine="709"/>
        <w:jc w:val="both"/>
        <w:rPr>
          <w:b/>
        </w:rPr>
      </w:pP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На сайте администрации муниципального образования Приозерский муниципальный район Ленинградской области в разделе Контрольно-счетного органа, размещена следующая информация: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- отчеты «О работе контрольно-счетного органа за 201</w:t>
      </w:r>
      <w:r>
        <w:t>9</w:t>
      </w:r>
      <w:r w:rsidRPr="00B347BD">
        <w:t xml:space="preserve"> год», за первый квартал, полугодие 9 месяцев и за 2019 год.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В Контрольно-счетную палату Ленинградской области представляются отчеты по основным показателям деятельности КСО ежеквартально и по итогам года.</w:t>
      </w:r>
    </w:p>
    <w:p w:rsidR="001F0E28" w:rsidRDefault="001F0E28" w:rsidP="00913678">
      <w:pPr>
        <w:tabs>
          <w:tab w:val="left" w:pos="142"/>
        </w:tabs>
        <w:ind w:right="-1" w:firstLine="709"/>
        <w:jc w:val="both"/>
      </w:pPr>
      <w:r w:rsidRPr="00B347BD">
        <w:t>В 20</w:t>
      </w:r>
      <w:r>
        <w:t>20</w:t>
      </w:r>
      <w:r w:rsidRPr="00B347BD">
        <w:t xml:space="preserve"> году</w:t>
      </w:r>
      <w:r>
        <w:t xml:space="preserve"> разработан и утвержден</w:t>
      </w:r>
      <w:r w:rsidRPr="00B347BD">
        <w:t xml:space="preserve"> </w:t>
      </w:r>
      <w:r>
        <w:t>проект нормативно-правового акта:</w:t>
      </w:r>
      <w:r w:rsidRPr="00B347BD">
        <w:t xml:space="preserve"> «</w:t>
      </w:r>
      <w:r>
        <w:t>Порядок осуществления полномочий контрольно-счетного органа</w:t>
      </w:r>
      <w:r w:rsidRPr="00B347BD">
        <w:t xml:space="preserve"> муниципального образования Приозерский муниципальный район</w:t>
      </w:r>
      <w:r>
        <w:t xml:space="preserve"> Ленинградской области по внешнему муниципальному финансовому контролю</w:t>
      </w:r>
      <w:r w:rsidRPr="00B347BD">
        <w:t>»</w:t>
      </w:r>
      <w:r w:rsidR="00913678">
        <w:t>.</w:t>
      </w:r>
    </w:p>
    <w:p w:rsidR="001F0E28" w:rsidRPr="00B347BD" w:rsidRDefault="001F0E28" w:rsidP="00913678">
      <w:pPr>
        <w:tabs>
          <w:tab w:val="left" w:pos="142"/>
        </w:tabs>
        <w:ind w:right="-1" w:firstLine="709"/>
        <w:jc w:val="both"/>
      </w:pPr>
      <w:r>
        <w:t xml:space="preserve">«Порядок </w:t>
      </w:r>
      <w:r w:rsidRPr="009B5462">
        <w:t>осуществления полномочий контрольно-счетного органа муниципального образования Приозерский муниципальный район Ленинградской области по внешнему муниципальному финансовому контролю»</w:t>
      </w:r>
      <w:r>
        <w:t>, разработан в целях обеспечения соблюдения бюджетного законодательства и регулирования вопросов осуществления контрольно-счетным органом полномочий по внешнему муниц</w:t>
      </w:r>
      <w:r w:rsidR="00913678">
        <w:t>ипальному финансовому контролю.</w:t>
      </w:r>
    </w:p>
    <w:p w:rsidR="001F0E28" w:rsidRPr="00B347BD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B347BD">
        <w:lastRenderedPageBreak/>
        <w:t>В 20</w:t>
      </w:r>
      <w:r>
        <w:t>20</w:t>
      </w:r>
      <w:r w:rsidRPr="00B347BD">
        <w:t xml:space="preserve"> году Председатель контрольно-счетного органа принимала участие в заседании комиссии по предупреждению и противодействию коррупции на территории муниципального образования Приозерский муниципальный район Ленинградской области.</w:t>
      </w:r>
    </w:p>
    <w:p w:rsidR="001F0E28" w:rsidRPr="00B347BD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B347BD">
        <w:t>План работы контрольно-счетного органа на 20</w:t>
      </w:r>
      <w:r>
        <w:t>20</w:t>
      </w:r>
      <w:r w:rsidRPr="00B347BD">
        <w:t xml:space="preserve"> год выполнен в полном объеме.</w:t>
      </w:r>
    </w:p>
    <w:p w:rsidR="001F0E28" w:rsidRPr="00B347BD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B347BD">
        <w:t>Разработан и утвержден План работы контрольно-счетного органа на 202</w:t>
      </w:r>
      <w:r>
        <w:t>1</w:t>
      </w:r>
      <w:r w:rsidRPr="00B347BD">
        <w:t xml:space="preserve"> год.</w:t>
      </w:r>
    </w:p>
    <w:p w:rsidR="001F0E28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913678" w:rsidRPr="00B347BD" w:rsidRDefault="00913678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1F0E28" w:rsidRPr="00B347BD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Председатель Контрольно-счетного органа</w:t>
      </w:r>
    </w:p>
    <w:p w:rsidR="001F0E28" w:rsidRPr="00B347BD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муниципального образования Приозерский</w:t>
      </w:r>
    </w:p>
    <w:p w:rsidR="001F0E28" w:rsidRPr="00B347BD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муниципальный район Ленинградской области                                    Е. В. Губанова</w:t>
      </w:r>
    </w:p>
    <w:p w:rsidR="004655D0" w:rsidRDefault="004655D0"/>
    <w:sectPr w:rsidR="004655D0" w:rsidSect="005D1E05">
      <w:pgSz w:w="11906" w:h="16838"/>
      <w:pgMar w:top="1134" w:right="850" w:bottom="1134" w:left="1701" w:header="397" w:footer="39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813"/>
    <w:multiLevelType w:val="hybridMultilevel"/>
    <w:tmpl w:val="64D26246"/>
    <w:lvl w:ilvl="0" w:tplc="86108940">
      <w:start w:val="1"/>
      <w:numFmt w:val="decimal"/>
      <w:lvlText w:val="%1)"/>
      <w:lvlJc w:val="left"/>
      <w:pPr>
        <w:ind w:left="1401" w:hanging="975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2522F4"/>
    <w:multiLevelType w:val="hybridMultilevel"/>
    <w:tmpl w:val="081E9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9531B1"/>
    <w:multiLevelType w:val="hybridMultilevel"/>
    <w:tmpl w:val="19C2A71A"/>
    <w:lvl w:ilvl="0" w:tplc="101C4AC4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72471AD"/>
    <w:multiLevelType w:val="hybridMultilevel"/>
    <w:tmpl w:val="D4E27CF8"/>
    <w:lvl w:ilvl="0" w:tplc="DD6AA40A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62720BC0"/>
    <w:multiLevelType w:val="hybridMultilevel"/>
    <w:tmpl w:val="3AC06BAA"/>
    <w:lvl w:ilvl="0" w:tplc="FAF8BC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251A88"/>
    <w:multiLevelType w:val="hybridMultilevel"/>
    <w:tmpl w:val="0DBAE128"/>
    <w:lvl w:ilvl="0" w:tplc="4B4293E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7C841BEB"/>
    <w:multiLevelType w:val="hybridMultilevel"/>
    <w:tmpl w:val="B56EAA1E"/>
    <w:lvl w:ilvl="0" w:tplc="D04201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739"/>
    <w:rsid w:val="001F0E28"/>
    <w:rsid w:val="00330F1F"/>
    <w:rsid w:val="003C3B78"/>
    <w:rsid w:val="003D6F1C"/>
    <w:rsid w:val="00431678"/>
    <w:rsid w:val="004655D0"/>
    <w:rsid w:val="004C29E8"/>
    <w:rsid w:val="005D1E05"/>
    <w:rsid w:val="00735122"/>
    <w:rsid w:val="007C0A56"/>
    <w:rsid w:val="00870870"/>
    <w:rsid w:val="00913678"/>
    <w:rsid w:val="00914289"/>
    <w:rsid w:val="00A012E7"/>
    <w:rsid w:val="00AD5EBF"/>
    <w:rsid w:val="00D93BE6"/>
    <w:rsid w:val="00E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3BA7"/>
  <w15:docId w15:val="{1B9AADBD-E57C-4B35-B98B-46C1F7C5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INGER</cp:lastModifiedBy>
  <cp:revision>3</cp:revision>
  <dcterms:created xsi:type="dcterms:W3CDTF">2021-02-18T07:47:00Z</dcterms:created>
  <dcterms:modified xsi:type="dcterms:W3CDTF">2021-02-18T13:48:00Z</dcterms:modified>
</cp:coreProperties>
</file>