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98" w:rsidRPr="00D5051B" w:rsidRDefault="00662098" w:rsidP="00662098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Анализ исполнения</w:t>
      </w:r>
    </w:p>
    <w:p w:rsidR="00662098" w:rsidRPr="00D5051B" w:rsidRDefault="00662098" w:rsidP="00662098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 доходной части бюджетов муниципальных образований </w:t>
      </w:r>
    </w:p>
    <w:p w:rsidR="00662098" w:rsidRPr="00D5051B" w:rsidRDefault="00662098" w:rsidP="00662098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за 1-ое полугодие  2013 год.</w:t>
      </w:r>
    </w:p>
    <w:p w:rsidR="00662098" w:rsidRPr="00D5051B" w:rsidRDefault="00662098" w:rsidP="006620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2098" w:rsidRPr="00D5051B" w:rsidRDefault="00662098" w:rsidP="00662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Поступление налоговых и неналоговых доходов в бюджеты поселений и в бюджет муниципального района представлены в таблице 1.</w:t>
      </w:r>
    </w:p>
    <w:p w:rsidR="00662098" w:rsidRPr="00D5051B" w:rsidRDefault="00662098" w:rsidP="006620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8C72A6">
        <w:rPr>
          <w:rFonts w:ascii="Times New Roman" w:hAnsi="Times New Roman"/>
          <w:color w:val="000000"/>
          <w:sz w:val="24"/>
          <w:szCs w:val="24"/>
        </w:rPr>
        <w:t xml:space="preserve">        т</w:t>
      </w:r>
      <w:r w:rsidRPr="00D5051B">
        <w:rPr>
          <w:rFonts w:ascii="Times New Roman" w:hAnsi="Times New Roman"/>
          <w:color w:val="000000"/>
          <w:sz w:val="24"/>
          <w:szCs w:val="24"/>
        </w:rPr>
        <w:t>ысяч рублей.</w:t>
      </w:r>
    </w:p>
    <w:p w:rsidR="00662098" w:rsidRPr="00D5051B" w:rsidRDefault="00662098" w:rsidP="0066209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559"/>
        <w:gridCol w:w="1559"/>
      </w:tblGrid>
      <w:tr w:rsidR="00662098" w:rsidRPr="00D5051B" w:rsidTr="00B02E26">
        <w:trPr>
          <w:trHeight w:val="70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</w:tr>
      <w:tr w:rsidR="00662098" w:rsidRPr="00D5051B" w:rsidTr="00B02E26">
        <w:trPr>
          <w:trHeight w:val="88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План            2013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Поступило в 2013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Громовское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15 523,0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6 885,4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44,4%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Запорожское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14 256,8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4 045,1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28,4%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Красноозерное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10 721,0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30,6%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Кузнеченское</w:t>
            </w:r>
            <w:proofErr w:type="spellEnd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21 827,9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10 002,3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45,8%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Ларионовское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17 277,3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7 160,3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41,4%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Мельниковское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12 886,3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5 465,8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42,4%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11 189,7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4 249,1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38,0%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Петровское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19 838,9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6 696,7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33,8%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Плодовское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11 319,0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4 227,1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37,3%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Приозерское ГП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80 929,5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29 399,3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36,3%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Раздольевское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9 818,8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2 537,3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25,8%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Ромашкинское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21 610,4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7 741,6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35,8%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Севастьяновское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6 511,1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1 976,1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30,3%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Сосновское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33 820,9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41,1%</w:t>
            </w:r>
          </w:p>
        </w:tc>
      </w:tr>
      <w:tr w:rsidR="00662098" w:rsidRPr="00D5051B" w:rsidTr="00B02E26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98" w:rsidRPr="00D5051B" w:rsidRDefault="00662098" w:rsidP="00B0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поселениям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336 078,7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127 488,6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98" w:rsidRPr="00D5051B" w:rsidRDefault="00662098" w:rsidP="00B02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37,9%</w:t>
            </w:r>
          </w:p>
        </w:tc>
      </w:tr>
    </w:tbl>
    <w:p w:rsidR="00662098" w:rsidRPr="00D5051B" w:rsidRDefault="00662098" w:rsidP="0066209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62098" w:rsidRPr="00D5051B" w:rsidRDefault="00662098" w:rsidP="0066209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Поступление налоговых и неналоговых доходов бюджетов поселений по сравнению с аналогичным периодом прошлого года увеличились на 5,7% или на 6885,4 тыс. рублей. Прирост поступлений связан с повышением платежной дисциплины плательщиков налога на доходы физических лиц, разовых поступлений по НДФЛ, уплаченному в виде дивидендов и появлением новых плательщиков земельного налога.</w:t>
      </w:r>
    </w:p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Исполнение годового плана на 01.07.2013 года на 37,9% связано с отсутствием сроков платежей по имущественным налогам с физических лиц, образованием задолженности по арендным платежам, а также отсутствием запланированных поступлений по доходам от продажи материальных и нематериальных активов.</w:t>
      </w:r>
    </w:p>
    <w:p w:rsidR="00EC2980" w:rsidRPr="00D5051B" w:rsidRDefault="00EC2980" w:rsidP="00EC298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Исполнение бюджетов поселений в разрезе доходных источников 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 xml:space="preserve"> в таблице:</w:t>
      </w:r>
    </w:p>
    <w:p w:rsidR="00EC2980" w:rsidRPr="00D5051B" w:rsidRDefault="00EC2980" w:rsidP="00EC298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>ублей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0265" w:type="dxa"/>
        <w:tblInd w:w="-601" w:type="dxa"/>
        <w:tblLook w:val="04A0" w:firstRow="1" w:lastRow="0" w:firstColumn="1" w:lastColumn="0" w:noHBand="0" w:noVBand="1"/>
      </w:tblPr>
      <w:tblGrid>
        <w:gridCol w:w="4598"/>
        <w:gridCol w:w="1340"/>
        <w:gridCol w:w="1455"/>
        <w:gridCol w:w="1422"/>
        <w:gridCol w:w="1450"/>
      </w:tblGrid>
      <w:tr w:rsidR="00EC2980" w:rsidRPr="00D5051B" w:rsidTr="00C6341E">
        <w:trPr>
          <w:trHeight w:val="10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Факт на 01.07.2013г.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 годового плана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Факт      на 01.07.2012г.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НАЛОГОВЫЕ 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227 499,1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89 253,6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75 593,8</w:t>
            </w:r>
          </w:p>
        </w:tc>
      </w:tr>
      <w:tr w:rsidR="00EC2980" w:rsidRPr="00D5051B" w:rsidTr="00C6341E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77 126,1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35 375,6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45,9%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31 761,4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71,6%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17 686,7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1 940,0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304,4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28 243,0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8 437,9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29,9%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7 267,6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103 977,3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43 247,7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41,6%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36 102,2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43,2%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150,2</w:t>
            </w:r>
          </w:p>
        </w:tc>
      </w:tr>
      <w:tr w:rsidR="00EC2980" w:rsidRPr="00D5051B" w:rsidTr="00C6341E">
        <w:trPr>
          <w:trHeight w:val="6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сборами иным обязательным платежам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108 579,6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38 234,9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45 009,4</w:t>
            </w:r>
          </w:p>
        </w:tc>
      </w:tr>
      <w:tr w:rsidR="00EC2980" w:rsidRPr="00D5051B" w:rsidTr="00C6341E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2980" w:rsidRPr="00D5051B" w:rsidTr="00C6341E">
        <w:trPr>
          <w:trHeight w:val="6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52 281,0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20 106,9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38,5%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23 599,2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32 817,0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12 441,6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37,9%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15 204,9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11 186,0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26,6%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4 875,1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муниципального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8 082,0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4 458,0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55,2%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3 519,2</w:t>
            </w:r>
          </w:p>
        </w:tc>
      </w:tr>
      <w:tr w:rsidR="00EC2980" w:rsidRPr="00D5051B" w:rsidTr="00C6341E">
        <w:trPr>
          <w:trHeight w:val="6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1 199,7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76,0%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829,7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52 528,9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16 452,1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31,3%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19 480,8</w:t>
            </w:r>
          </w:p>
        </w:tc>
      </w:tr>
      <w:tr w:rsidR="00EC2980" w:rsidRPr="00D5051B" w:rsidTr="00C6341E">
        <w:trPr>
          <w:trHeight w:val="2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2980" w:rsidRPr="00D5051B" w:rsidTr="00C6341E">
        <w:trPr>
          <w:trHeight w:val="4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5 348,9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731,3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13,7%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2 709,0</w:t>
            </w:r>
          </w:p>
        </w:tc>
      </w:tr>
      <w:tr w:rsidR="00EC2980" w:rsidRPr="00D5051B" w:rsidTr="00C6341E">
        <w:trPr>
          <w:trHeight w:val="4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продажи земельных участков, </w:t>
            </w:r>
            <w:proofErr w:type="gramStart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47 180,0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15 720,8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16 771,8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121,1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2 570,0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29,7%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978,6</w:t>
            </w:r>
          </w:p>
        </w:tc>
      </w:tr>
      <w:tr w:rsidR="00EC2980" w:rsidRPr="00D5051B" w:rsidTr="00C6341E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336 078,7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127 488,5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120 603,2</w:t>
            </w:r>
          </w:p>
        </w:tc>
      </w:tr>
    </w:tbl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2098" w:rsidRPr="001470C6" w:rsidRDefault="00662098" w:rsidP="00662098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70C6">
        <w:rPr>
          <w:rFonts w:ascii="Times New Roman" w:hAnsi="Times New Roman"/>
          <w:color w:val="000000"/>
          <w:sz w:val="24"/>
          <w:szCs w:val="24"/>
        </w:rPr>
        <w:t>Налоговые доходы поселений.</w:t>
      </w:r>
    </w:p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Поступление налоговых доходов идет в пределах плановых назначений. 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Из-за отсутствия в 1-м полугодии 2013 года сроков уплаты по имущественным налогам с физических лиц, исполнение плана по налоговым доходам составляет 39,2%. Прирост поступления налоговых доходов к уровню прошлого года  связан с погашением задолженности, которая образовалась за 2012 год и выявлена по результатам проверки ИФНС по Приозерскому району по одному из крупнейших предприятий района ОАО «Приозерский ДОЗ» в сумме 536,1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>ублей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 xml:space="preserve"> – 10% по нормативу отчислений (5360,5 </w:t>
      </w: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тыс.рублей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 xml:space="preserve"> – 100%),  появлением новых плательщиков земельного налога.</w:t>
      </w:r>
      <w:r w:rsidRPr="00D5051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lastRenderedPageBreak/>
        <w:t>Основным источником налоговых доходов бюджетов поселений является земельный налог – доля его поступлений составляет 48,5% поступивших доходов.</w:t>
      </w:r>
      <w:r w:rsidRPr="00D505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051B">
        <w:rPr>
          <w:rFonts w:ascii="Times New Roman" w:hAnsi="Times New Roman"/>
          <w:color w:val="000000"/>
          <w:sz w:val="24"/>
          <w:szCs w:val="24"/>
        </w:rPr>
        <w:t xml:space="preserve">Прирост поступлений к уровню прошлого года по земельному налогу составляет 19,8% или 7145,5 тыс. рублей. Прирост поступлений связан с появлением новых плательщиков земельного налога на территории МО Сосновское сельское поселение. Новые плательщики появились с мая 2012 года. Наибольшая сумма поступлений по земельному </w:t>
      </w:r>
      <w:bookmarkStart w:id="0" w:name="_GoBack"/>
      <w:bookmarkEnd w:id="0"/>
      <w:r w:rsidRPr="00D5051B">
        <w:rPr>
          <w:rFonts w:ascii="Times New Roman" w:hAnsi="Times New Roman"/>
          <w:color w:val="000000"/>
          <w:sz w:val="24"/>
          <w:szCs w:val="24"/>
        </w:rPr>
        <w:t>налогу идет по бюджету муниципального образования Сос</w:t>
      </w:r>
      <w:r w:rsidR="00C577EE">
        <w:rPr>
          <w:rFonts w:ascii="Times New Roman" w:hAnsi="Times New Roman"/>
          <w:color w:val="000000"/>
          <w:sz w:val="24"/>
          <w:szCs w:val="24"/>
        </w:rPr>
        <w:t>новское сельское поселение</w:t>
      </w:r>
      <w:r w:rsidRPr="00D5051B">
        <w:rPr>
          <w:rFonts w:ascii="Times New Roman" w:hAnsi="Times New Roman"/>
          <w:color w:val="000000"/>
          <w:sz w:val="24"/>
          <w:szCs w:val="24"/>
        </w:rPr>
        <w:t>. Сумма недоимки по земельному налогу на 01.07.2013 года составляет 10396,5 тыс. рублей. Крупнейшим неплательщиков земельного налога является Общество с ограниченной ответственностью "Приозерский деревообрабатывающий завод", сумма задолженности которого составляет 1995,9 тыс. рублей.</w:t>
      </w:r>
    </w:p>
    <w:p w:rsidR="00662098" w:rsidRPr="00D5051B" w:rsidRDefault="00662098" w:rsidP="00662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Поступления налога на доходы  физических лиц составляют 39,6% поступивших налоговых доходов. Прирост поступления налога на доходы физических лиц к уровню прошлого года составляет 11,4% или 3614,3 тыс. рублей. Прирост поступления налога на доходы физических лиц к уровню прошлого года связан с погашением задолженности, которая образовалась за 2012 год и выявлена по результатам проверки ИФНС по Приозерскому району по одному из крупнейших предприятий района Открытое Акционерное Общество "Приозерский Деревообрабатывающий завод" в сумме 536,1 </w:t>
      </w: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>ублей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 xml:space="preserve"> – 10% по нормативу отчислений (5360,5 </w:t>
      </w: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тыс.рублей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 xml:space="preserve"> – 100%),  и поступлением средств по НДФЛ с доходов, уплаченных в виде дивидендов, сумма поступлений которых в бюджеты поселения составила 3406,4 </w:t>
      </w: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>ублей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>.</w:t>
      </w:r>
    </w:p>
    <w:p w:rsidR="00662098" w:rsidRPr="00D5051B" w:rsidRDefault="00662098" w:rsidP="00662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По сравнению с аналогичным периодом прошлого года по бюджетам МО Громовское сельское поселение и МО Приозерское городское поселение в связи с тем, что воинские части расположенные на территории этих муниципальных образований, находятся в процессе ликвидации и последние платежи по НДФЛ поступили в декабре 2012 года, потери бюджетов поселений по НДФЛ за 1-ое полугодие 2013 года составили 2715,6 </w:t>
      </w: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>ублей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62098" w:rsidRPr="00D5051B" w:rsidRDefault="00662098" w:rsidP="00662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Таким образом, разовые поступления по НДФЛ с 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доходов, уплаченных в виде дивидендов и гашение задолженности частично компенсировали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 xml:space="preserve"> выпадающие доходы, которые образовались в связи с ликвидацией плательщика.</w:t>
      </w:r>
    </w:p>
    <w:p w:rsidR="00662098" w:rsidRPr="00D5051B" w:rsidRDefault="00662098" w:rsidP="00662098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2098" w:rsidRPr="00D5051B" w:rsidRDefault="00662098" w:rsidP="00662098">
      <w:pPr>
        <w:spacing w:before="2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 Сумма задолженности по налогу на доходы физических лиц в бюджеты поселений  составляет на 01.07.2013 года 570,7 тыс. рублей. 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Крупнейшими должником и по налогу на доходы физических лиц является Открытое Акционерное Общество "Приозерский Деревообрабатывающий завод", сумма задолженности которого составляет 118,9 тыс. рублей, Общество с ограниченной ответственностью "Ларионовское ЖКХ" сумма задолженности которого составляет 113,7 тыс. рублей, Общество с ограниченной ответственностью "Карельский молочный завод", сумма задолженности которого составляет 92,7 тыс. рублей,</w:t>
      </w:r>
      <w:proofErr w:type="gramEnd"/>
    </w:p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Поступление транспортного налога составляет 9,5% от общего объема поступивших налоговых доходов. По сравнению с аналогичным периодом прошлого года объем поступления транспортного налога увеличился на 16,1% или на 1170,3 тыс. рублей, что связано с уплатой недоимки.</w:t>
      </w:r>
      <w:r w:rsidRPr="00D505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051B">
        <w:rPr>
          <w:rFonts w:ascii="Times New Roman" w:hAnsi="Times New Roman"/>
          <w:color w:val="000000"/>
          <w:sz w:val="24"/>
          <w:szCs w:val="24"/>
        </w:rPr>
        <w:t xml:space="preserve">Сумма задолженности 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по этому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 xml:space="preserve"> доходному источнику в бюджеты поселений на 01.07.2013 года составляет 20062 тыс. рублей, в том числе задолженность физических лиц 19719,6 тыс. рублей. Сумма задолженности по транспортному налогу снизилась за 1 полугодие 2013 года на 22,3%. Крупнейшим должником по транспортному налогу является Открытое Акционерное Общество "Приозерский Деревообрабатывающий завод", сумма задолженности которого составляет 264,9 тыс. рублей.</w:t>
      </w:r>
    </w:p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lastRenderedPageBreak/>
        <w:t>Из-за отсутствия сроков уплаты налога на имущество физических лиц в 1 полугодии, доля поступления этого налога в общем объеме налоговых доходов составляет 2,2%. Всего сумма задолженности по налогу на имущество физических лиц составляет на 01.07.2013 года 3555,1 тыс. рублей.</w:t>
      </w:r>
    </w:p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Всего задолженность по налоговым платежам в бюджеты поселений составляет 34653 тыс. рублей, из них по земельному налогу 10396,5 тыс. рублей, по налогу на имущество физических лиц 3555,1 тыс. рублей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>о транспортному налогу 20062,0 тыс. рублей.</w:t>
      </w:r>
    </w:p>
    <w:p w:rsidR="00662098" w:rsidRPr="00D5051B" w:rsidRDefault="00662098" w:rsidP="006620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pacing w:val="2"/>
          <w:sz w:val="24"/>
          <w:szCs w:val="24"/>
        </w:rPr>
        <w:t xml:space="preserve">Неналоговые доходы составляют 30% поступивших налоговых и неналоговых поступлений. По сравнению с 2012 годом поступления неналоговых доходов снизилось на 15,1% или на 6774,4  </w:t>
      </w:r>
      <w:r w:rsidRPr="00D5051B">
        <w:rPr>
          <w:rFonts w:ascii="Times New Roman" w:hAnsi="Times New Roman"/>
          <w:color w:val="000000"/>
          <w:sz w:val="24"/>
          <w:szCs w:val="24"/>
        </w:rPr>
        <w:t>тыс. рублей</w:t>
      </w:r>
      <w:r w:rsidRPr="00D5051B">
        <w:rPr>
          <w:rFonts w:ascii="Times New Roman" w:hAnsi="Times New Roman"/>
          <w:color w:val="000000"/>
          <w:spacing w:val="2"/>
          <w:sz w:val="24"/>
          <w:szCs w:val="24"/>
        </w:rPr>
        <w:t>. Снижение поступлений связано с образованием задолженности по арендным платежам, сокращением площадей арендуемых земельных участков и уменьшением объемов реализуемых земельных участков.</w:t>
      </w:r>
    </w:p>
    <w:p w:rsidR="00662098" w:rsidRPr="00D5051B" w:rsidRDefault="00662098" w:rsidP="00662098">
      <w:pPr>
        <w:shd w:val="clear" w:color="auto" w:fill="FFFFFF"/>
        <w:spacing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 являются основным источником неналоговых доходов бюджетов поселений, доля их поступлений составляет 52,6%.</w:t>
      </w:r>
      <w:r w:rsidRPr="00D505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051B">
        <w:rPr>
          <w:rFonts w:ascii="Times New Roman" w:hAnsi="Times New Roman"/>
          <w:color w:val="000000"/>
          <w:sz w:val="24"/>
          <w:szCs w:val="24"/>
        </w:rPr>
        <w:t>По данной группе доходов в бюджеты поселений зачисляются проценты, полученные от предоставления бюджетных кредитов внутри страны за счет средств бюджетов поселений доходы, получаемые в виде арендной платы за земельные участки, доходы от сдачи в аренду муниципального имущества, прочие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 xml:space="preserve"> поступления от использования имущества, находящегося в собственности поселений.</w:t>
      </w:r>
      <w:r w:rsidRPr="00D505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051B">
        <w:rPr>
          <w:rFonts w:ascii="Times New Roman" w:hAnsi="Times New Roman"/>
          <w:color w:val="000000"/>
          <w:sz w:val="24"/>
          <w:szCs w:val="24"/>
        </w:rPr>
        <w:t xml:space="preserve">По бюджету МО Приозерское городское поселение запланировано поступление доходов от сдачи в аренду земельных участков, находящихся в собственности поселений в сумме 830 тыс.руб. </w:t>
      </w:r>
    </w:p>
    <w:p w:rsidR="00662098" w:rsidRPr="00D5051B" w:rsidRDefault="00662098" w:rsidP="00662098">
      <w:pPr>
        <w:shd w:val="clear" w:color="auto" w:fill="FFFFFF"/>
        <w:spacing w:line="240" w:lineRule="auto"/>
        <w:ind w:firstLine="61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Доходы от сдачи в аренду земельных участков, государственная собственность на которые не 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разграничена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 xml:space="preserve"> составляют  34,9% поступивших неналоговых доходов.</w:t>
      </w:r>
      <w:r w:rsidRPr="00D505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051B">
        <w:rPr>
          <w:rFonts w:ascii="Times New Roman" w:hAnsi="Times New Roman"/>
          <w:color w:val="000000"/>
          <w:spacing w:val="2"/>
          <w:sz w:val="24"/>
          <w:szCs w:val="24"/>
        </w:rPr>
        <w:t>Всего задолженность по текущим платежам по доходам от сдачи в аренду земельных участков составляет на 01.07.2013 года 1540,9 тыс. рублей.</w:t>
      </w:r>
    </w:p>
    <w:p w:rsidR="00662098" w:rsidRPr="00D5051B" w:rsidRDefault="00662098" w:rsidP="00662098">
      <w:pPr>
        <w:spacing w:before="2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Доходы от сдачи в аренду муниципального имущества составляют 7,8% поступивших неналоговых доходов. Сумма задолженности по доходам от сдачи в аренду муниципального имущества по состоянию на 01.07.2013 года составляет 3590,7 тыс. рублей, что составляет 31,6% от начисленных годовых сумм арендной платы. Наибольшие суммы задолженности по текущим платежам имеются в таких поселениях как МО Приозерское городское поселение - задолженность составляет 715,1 </w:t>
      </w: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5051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5051B">
        <w:rPr>
          <w:rFonts w:ascii="Times New Roman" w:hAnsi="Times New Roman"/>
          <w:color w:val="000000"/>
          <w:sz w:val="24"/>
          <w:szCs w:val="24"/>
        </w:rPr>
        <w:t>ублей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 xml:space="preserve">, МО Сосновское сельское поселение – 1429,7 тыс. рублей. Основными недоимщиками являются арендаторы тепловых и </w:t>
      </w:r>
      <w:proofErr w:type="spellStart"/>
      <w:r w:rsidRPr="00D5051B">
        <w:rPr>
          <w:rFonts w:ascii="Times New Roman" w:hAnsi="Times New Roman"/>
          <w:color w:val="000000"/>
          <w:sz w:val="24"/>
          <w:szCs w:val="24"/>
        </w:rPr>
        <w:t>водоснабжающих</w:t>
      </w:r>
      <w:proofErr w:type="spellEnd"/>
      <w:r w:rsidRPr="00D5051B">
        <w:rPr>
          <w:rFonts w:ascii="Times New Roman" w:hAnsi="Times New Roman"/>
          <w:color w:val="000000"/>
          <w:sz w:val="24"/>
          <w:szCs w:val="24"/>
        </w:rPr>
        <w:t xml:space="preserve"> сетей.</w:t>
      </w:r>
    </w:p>
    <w:p w:rsidR="00662098" w:rsidRPr="00D5051B" w:rsidRDefault="00662098" w:rsidP="00662098">
      <w:pPr>
        <w:spacing w:before="2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По строке прочие неналоговые доходы учитываются невыясненные поступления, основная доля которых приходится на бюджет МО Приозерское городское поселения, и благотворительные средства физических и юридических лиц, средства на восстановление зеленых насаждений.</w:t>
      </w:r>
    </w:p>
    <w:p w:rsidR="00EC2980" w:rsidRPr="00D5051B" w:rsidRDefault="00EC2980" w:rsidP="00EC298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>Задолженность по основным доходным источникам в целом по муниципальному району представлена в таблице:</w:t>
      </w:r>
    </w:p>
    <w:p w:rsidR="00EC2980" w:rsidRPr="00D5051B" w:rsidRDefault="00EC2980" w:rsidP="00EC29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051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Тыс.руб.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216"/>
        <w:gridCol w:w="1162"/>
        <w:gridCol w:w="1162"/>
        <w:gridCol w:w="1118"/>
      </w:tblGrid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основных </w:t>
            </w:r>
            <w:proofErr w:type="gramStart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налогов</w:t>
            </w:r>
            <w:proofErr w:type="gramEnd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которым имеется недоимка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1.01.12г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1.01.13г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1.04.13г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1.07.13г.</w:t>
            </w:r>
          </w:p>
        </w:tc>
      </w:tr>
      <w:tr w:rsidR="00EC2980" w:rsidRPr="00D5051B" w:rsidTr="00C6341E">
        <w:trPr>
          <w:trHeight w:val="350"/>
        </w:trPr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(100%)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3 762,9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5 680,5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8 329,3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5 706,8</w:t>
            </w:r>
          </w:p>
        </w:tc>
      </w:tr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налог(100%)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45 773,2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51 667,8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46 276,8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40 124,1</w:t>
            </w:r>
          </w:p>
        </w:tc>
      </w:tr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926,0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920,8</w:t>
            </w:r>
          </w:p>
        </w:tc>
      </w:tr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(100%)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686,1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1 699,3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1 481,9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1 319,3</w:t>
            </w:r>
          </w:p>
        </w:tc>
      </w:tr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3 145,6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5 750,2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4 278,9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3 555,1</w:t>
            </w:r>
          </w:p>
        </w:tc>
      </w:tr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7 501,9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12 757,4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12 848,2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10 396,5</w:t>
            </w:r>
          </w:p>
        </w:tc>
      </w:tr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376,4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</w:tr>
      <w:tr w:rsidR="00EC2980" w:rsidRPr="00D5051B" w:rsidTr="00C6341E">
        <w:tc>
          <w:tcPr>
            <w:tcW w:w="4805" w:type="dxa"/>
          </w:tcPr>
          <w:p w:rsidR="00EC2980" w:rsidRPr="00D5051B" w:rsidRDefault="00EC2980" w:rsidP="00C6341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6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61 251,9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77 725,4</w:t>
            </w:r>
          </w:p>
        </w:tc>
        <w:tc>
          <w:tcPr>
            <w:tcW w:w="1162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74 310,3</w:t>
            </w:r>
          </w:p>
        </w:tc>
        <w:tc>
          <w:tcPr>
            <w:tcW w:w="1118" w:type="dxa"/>
          </w:tcPr>
          <w:p w:rsidR="00EC2980" w:rsidRPr="00D5051B" w:rsidRDefault="00EC2980" w:rsidP="00C6341E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62 104,1</w:t>
            </w:r>
          </w:p>
        </w:tc>
      </w:tr>
    </w:tbl>
    <w:p w:rsidR="00EC2980" w:rsidRPr="00D5051B" w:rsidRDefault="00EC2980" w:rsidP="00EC2980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249"/>
        <w:gridCol w:w="1249"/>
        <w:gridCol w:w="1080"/>
        <w:gridCol w:w="1034"/>
        <w:gridCol w:w="1249"/>
        <w:gridCol w:w="1119"/>
        <w:gridCol w:w="1100"/>
        <w:gridCol w:w="992"/>
      </w:tblGrid>
      <w:tr w:rsidR="00EC2980" w:rsidRPr="00D5051B" w:rsidTr="00CD032C">
        <w:trPr>
          <w:trHeight w:val="7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поступления налоговых и неналоговых доходов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Сумма недоимки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Доля недоимки в доходах местных бюджетов</w:t>
            </w:r>
          </w:p>
        </w:tc>
      </w:tr>
      <w:tr w:rsidR="00EC2980" w:rsidRPr="00D5051B" w:rsidTr="00CD032C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01.07.2013г.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01.07.2012г.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01.07.2013г.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01.07.2012г.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01.07.2013г.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на 01.07.2012г.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Громовское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6 885,4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7 834,0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-948,6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-12,1%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1 467,7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1 075,8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13,7%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Запорожское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4 045,1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3 748,0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1 340,6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822,7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22,0%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Красноозерное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3 281,6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3 551,6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-270,0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-7,6%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706,3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596,3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16,8%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Кузнеченское</w:t>
            </w:r>
            <w:proofErr w:type="spellEnd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10 002,3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11 356,7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-1 354,4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-11,9%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781,7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4,8%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Ларионовское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7 160,3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4 596,8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2 563,5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55,8%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5 762,9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4 123,9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89,7%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Мельниковское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5 465,8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6 782,7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-1 316,9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-19,4%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910,5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11,9%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Мичуринское</w:t>
            </w:r>
            <w:proofErr w:type="gramEnd"/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4 249,1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2 767,0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1 482,1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53,6%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824,3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30,8%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Петровское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6 696,7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-962,3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-12,6%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1 126,3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886,3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11,6%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Плодовское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4 227,1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4 193,3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1 153,7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16,8%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Приозерское ГП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29 399,3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31 871,9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-2 472,6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-7,8%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11 177,3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7 313,3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22,9%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Раздольевское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2 537,3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1 974,1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563,2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28,5%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960,3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37,8%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Ромашкинское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7 741,6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9 455,1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-1 713,5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-18,1%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2 378,0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1 775,4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18,8%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Севастьяновское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1 976,1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2 047,6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-71,5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-3,5%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475,5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8,8%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Сосновское 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33 820,9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22 765,4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11 055,5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48,6%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5 587,8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4 441,2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19,5%</w:t>
            </w:r>
          </w:p>
        </w:tc>
      </w:tr>
      <w:tr w:rsidR="00EC2980" w:rsidRPr="00D5051B" w:rsidTr="00CD032C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80" w:rsidRPr="00D5051B" w:rsidRDefault="00EC2980" w:rsidP="00C6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поселениям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127 488,6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120 603,2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6 885,4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5,7%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34 652,9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24 865,0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80" w:rsidRPr="00D5051B" w:rsidRDefault="00EC2980" w:rsidP="00C634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1B">
              <w:rPr>
                <w:rFonts w:ascii="Times New Roman" w:hAnsi="Times New Roman"/>
                <w:color w:val="000000"/>
                <w:sz w:val="24"/>
                <w:szCs w:val="24"/>
              </w:rPr>
              <w:t>20,6%</w:t>
            </w:r>
          </w:p>
        </w:tc>
      </w:tr>
    </w:tbl>
    <w:p w:rsidR="00BC729D" w:rsidRPr="00D5051B" w:rsidRDefault="00BC729D">
      <w:pPr>
        <w:rPr>
          <w:rFonts w:ascii="Times New Roman" w:hAnsi="Times New Roman"/>
          <w:sz w:val="24"/>
          <w:szCs w:val="24"/>
        </w:rPr>
      </w:pPr>
    </w:p>
    <w:sectPr w:rsidR="00BC729D" w:rsidRPr="00D5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8"/>
    <w:rsid w:val="00010B2E"/>
    <w:rsid w:val="00061C55"/>
    <w:rsid w:val="001470C6"/>
    <w:rsid w:val="00454815"/>
    <w:rsid w:val="00662098"/>
    <w:rsid w:val="006F31F0"/>
    <w:rsid w:val="008C72A6"/>
    <w:rsid w:val="00BC729D"/>
    <w:rsid w:val="00C577EE"/>
    <w:rsid w:val="00CD032C"/>
    <w:rsid w:val="00D5051B"/>
    <w:rsid w:val="00EA5155"/>
    <w:rsid w:val="00E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09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20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09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20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</dc:creator>
  <cp:keywords/>
  <dc:description/>
  <cp:lastModifiedBy>Доходы</cp:lastModifiedBy>
  <cp:revision>10</cp:revision>
  <cp:lastPrinted>2013-08-09T11:55:00Z</cp:lastPrinted>
  <dcterms:created xsi:type="dcterms:W3CDTF">2013-08-08T08:12:00Z</dcterms:created>
  <dcterms:modified xsi:type="dcterms:W3CDTF">2013-08-20T10:34:00Z</dcterms:modified>
</cp:coreProperties>
</file>