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46" w:rsidRDefault="00A537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3746" w:rsidRDefault="00A53746">
      <w:pPr>
        <w:pStyle w:val="ConsPlusNormal"/>
        <w:outlineLvl w:val="0"/>
      </w:pPr>
    </w:p>
    <w:p w:rsidR="00A53746" w:rsidRDefault="00A53746">
      <w:pPr>
        <w:pStyle w:val="ConsPlusTitle"/>
        <w:jc w:val="center"/>
      </w:pPr>
      <w:r>
        <w:t>ПРАВИТЕЛЬСТВО ЛЕНИНГРАДСКОЙ ОБЛАСТИ</w:t>
      </w:r>
    </w:p>
    <w:p w:rsidR="00A53746" w:rsidRDefault="00A53746">
      <w:pPr>
        <w:pStyle w:val="ConsPlusTitle"/>
        <w:jc w:val="center"/>
      </w:pPr>
    </w:p>
    <w:p w:rsidR="00A53746" w:rsidRDefault="00A53746">
      <w:pPr>
        <w:pStyle w:val="ConsPlusTitle"/>
        <w:jc w:val="center"/>
      </w:pPr>
      <w:r>
        <w:t>ПОСТАНОВЛЕНИЕ</w:t>
      </w:r>
    </w:p>
    <w:p w:rsidR="00A53746" w:rsidRDefault="00A53746">
      <w:pPr>
        <w:pStyle w:val="ConsPlusTitle"/>
        <w:jc w:val="center"/>
      </w:pPr>
      <w:r>
        <w:t>от 1 февраля 2022 г. N 64</w:t>
      </w:r>
    </w:p>
    <w:p w:rsidR="00A53746" w:rsidRDefault="00A53746">
      <w:pPr>
        <w:pStyle w:val="ConsPlusTitle"/>
        <w:jc w:val="center"/>
      </w:pPr>
    </w:p>
    <w:p w:rsidR="00A53746" w:rsidRDefault="00A53746">
      <w:pPr>
        <w:pStyle w:val="ConsPlusTitle"/>
        <w:jc w:val="center"/>
      </w:pPr>
      <w:r>
        <w:t>О ВНЕСЕНИИ ИЗМЕНЕНИЙ В ПОСТАНОВЛЕНИЕ ПРАВИТЕЛЬСТВА</w:t>
      </w:r>
    </w:p>
    <w:p w:rsidR="00A53746" w:rsidRDefault="00A53746">
      <w:pPr>
        <w:pStyle w:val="ConsPlusTitle"/>
        <w:jc w:val="center"/>
      </w:pPr>
      <w:r>
        <w:t>ЛЕНИНГРАДСКОЙ ОБЛАСТИ ОТ 13 АВГУСТА 2020 ГОДА N 573</w:t>
      </w:r>
    </w:p>
    <w:p w:rsidR="00A53746" w:rsidRDefault="00A53746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A53746" w:rsidRDefault="00A53746">
      <w:pPr>
        <w:pStyle w:val="ConsPlusTitle"/>
        <w:jc w:val="center"/>
      </w:pPr>
      <w:r>
        <w:t>КОРОНАВИРУСНОЙ ИНФЕКЦИИ (COVID-19) НА ТЕРРИТОРИИ</w:t>
      </w:r>
    </w:p>
    <w:p w:rsidR="00A53746" w:rsidRDefault="00A53746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A53746" w:rsidRDefault="00A53746">
      <w:pPr>
        <w:pStyle w:val="ConsPlusTitle"/>
        <w:jc w:val="center"/>
      </w:pPr>
      <w:r>
        <w:t>ОТДЕЛЬНЫХ ПОСТАНОВЛЕНИЙ ПРАВИТЕЛЬСТВА</w:t>
      </w:r>
    </w:p>
    <w:p w:rsidR="00A53746" w:rsidRDefault="00A53746">
      <w:pPr>
        <w:pStyle w:val="ConsPlusTitle"/>
        <w:jc w:val="center"/>
      </w:pPr>
      <w:r>
        <w:t>ЛЕНИНГРАДСКОЙ ОБЛАСТИ"</w:t>
      </w:r>
    </w:p>
    <w:p w:rsidR="00A53746" w:rsidRDefault="00A53746">
      <w:pPr>
        <w:pStyle w:val="ConsPlusNormal"/>
        <w:jc w:val="center"/>
      </w:pPr>
    </w:p>
    <w:p w:rsidR="00A53746" w:rsidRDefault="00A53746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A53746" w:rsidRDefault="00A53746">
      <w:pPr>
        <w:pStyle w:val="ConsPlusNormal"/>
        <w:ind w:firstLine="540"/>
        <w:jc w:val="both"/>
      </w:pPr>
    </w:p>
    <w:p w:rsidR="00A53746" w:rsidRDefault="00A53746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следующие изменения:</w:t>
      </w:r>
    </w:p>
    <w:p w:rsidR="00A53746" w:rsidRDefault="00A53746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 1.2.2</w:t>
        </w:r>
      </w:hyperlink>
      <w:r>
        <w:t xml:space="preserve"> изложить в следующей редакции:</w:t>
      </w:r>
    </w:p>
    <w:p w:rsidR="00A53746" w:rsidRDefault="00A53746">
      <w:pPr>
        <w:pStyle w:val="ConsPlusNormal"/>
        <w:spacing w:before="220"/>
        <w:ind w:firstLine="540"/>
        <w:jc w:val="both"/>
      </w:pPr>
      <w:r>
        <w:t xml:space="preserve">"1.2.2. </w:t>
      </w:r>
      <w:proofErr w:type="gramStart"/>
      <w:r>
        <w:t>До 20 февраля 2022 года включительно реализацию дополнительных общеобразовательных программ в общеобразовательных организациях, организациях дополнительного образования и домах культуры, реализующих указанные образовательные программы, осуществлять исключительно с использованием электронного обучения и дистанционных образовательных технологий независимо от зоны нахождения, в которой устанавливаются ограничения деятельности хозяйствующего субъекта, в соответствии с требованиями раздела "Дополнительное образование (в том числе в домах культуры)" согласно приложению 2</w:t>
      </w:r>
      <w:proofErr w:type="gramEnd"/>
      <w:r>
        <w:t xml:space="preserve"> к настоящему постановлению</w:t>
      </w:r>
      <w:proofErr w:type="gramStart"/>
      <w:r>
        <w:t>.";</w:t>
      </w:r>
      <w:proofErr w:type="gramEnd"/>
    </w:p>
    <w:p w:rsidR="00A53746" w:rsidRDefault="00A53746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1.2.7</w:t>
        </w:r>
      </w:hyperlink>
      <w:r>
        <w:t xml:space="preserve"> изложить в следующей редакции:</w:t>
      </w:r>
    </w:p>
    <w:p w:rsidR="00A53746" w:rsidRDefault="00A53746">
      <w:pPr>
        <w:pStyle w:val="ConsPlusNormal"/>
        <w:spacing w:before="220"/>
        <w:ind w:firstLine="540"/>
        <w:jc w:val="both"/>
      </w:pPr>
      <w:r>
        <w:t>"1.2.7. До 20 февраля 2022 года включительно запретить проведение массовых мероприятий для детей, а также спортивных массовых мероприятий для детей на выезде</w:t>
      </w:r>
      <w:proofErr w:type="gramStart"/>
      <w:r>
        <w:t>.";</w:t>
      </w:r>
    </w:p>
    <w:proofErr w:type="gramEnd"/>
    <w:p w:rsidR="00A53746" w:rsidRDefault="00A53746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"consultantplus://offline/ref=44B95D16AEDEF10B7A921E6E99D77EA72802F31AACFE6DFF980C33E02EBA861E6EAFDBA328332E6F0D3BCFDCD83C1C919DF85E87F9679B2Ay300M" </w:instrText>
      </w:r>
      <w:r>
        <w:fldChar w:fldCharType="separate"/>
      </w:r>
      <w:r>
        <w:rPr>
          <w:color w:val="0000FF"/>
        </w:rPr>
        <w:t>пункт 1.3.2</w:t>
      </w:r>
      <w:r w:rsidRPr="00FE4DDC">
        <w:rPr>
          <w:color w:val="0000FF"/>
        </w:rPr>
        <w:fldChar w:fldCharType="end"/>
      </w:r>
      <w:r>
        <w:t xml:space="preserve"> изложить в следующей редакции:</w:t>
      </w:r>
    </w:p>
    <w:p w:rsidR="00A53746" w:rsidRDefault="00A53746">
      <w:pPr>
        <w:pStyle w:val="ConsPlusNormal"/>
        <w:spacing w:before="220"/>
        <w:ind w:firstLine="540"/>
        <w:jc w:val="both"/>
      </w:pPr>
      <w:r>
        <w:t xml:space="preserve">"1.3.2. </w:t>
      </w:r>
      <w:proofErr w:type="gramStart"/>
      <w:r>
        <w:t>До 20 февраля 2022 года включительно реализацию дополнительных общеобразовательных программ в общеобразовательных организациях, организациях дополнительного образования и домах культуры, реализующих указанные образовательные программы, осуществлять исключительно с использованием электронного обучения и дистанционных образовательных технологий независимо от зоны нахождения, в которой устанавливаются ограничения деятельности хозяйствующего субъекта, в соответствии с требованиями раздела "Дополнительное образование (в том числе в домах культуры)" согласно приложению 2</w:t>
      </w:r>
      <w:proofErr w:type="gramEnd"/>
      <w:r>
        <w:t xml:space="preserve"> к настоящему постановлению</w:t>
      </w:r>
      <w:proofErr w:type="gramStart"/>
      <w:r>
        <w:t>.";</w:t>
      </w:r>
      <w:proofErr w:type="gramEnd"/>
    </w:p>
    <w:p w:rsidR="00A53746" w:rsidRDefault="00A53746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1.3.7</w:t>
        </w:r>
      </w:hyperlink>
      <w:r>
        <w:t xml:space="preserve"> изложить в следующей редакции:</w:t>
      </w:r>
    </w:p>
    <w:p w:rsidR="00A53746" w:rsidRDefault="00A53746">
      <w:pPr>
        <w:pStyle w:val="ConsPlusNormal"/>
        <w:spacing w:before="220"/>
        <w:ind w:firstLine="540"/>
        <w:jc w:val="both"/>
      </w:pPr>
      <w:r>
        <w:t>"1.3.7. До 20 февраля 2022 года включительно запретить проведение массовых мероприятий для детей, а также спортивных массовых мероприятий для детей на выезде</w:t>
      </w:r>
      <w:proofErr w:type="gramStart"/>
      <w:r>
        <w:t>.";</w:t>
      </w:r>
    </w:p>
    <w:proofErr w:type="gramEnd"/>
    <w:p w:rsidR="00A53746" w:rsidRDefault="00A53746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"consultantplus://offline/ref=44B95D16AEDEF10B7A921E6E99D77EA72802F31AACFE6DFF980C33E02EBA861E6EAFDBA328322B6B053BCFDCD83C1C919DF85E87F9679B2Ay300M" </w:instrText>
      </w:r>
      <w:r>
        <w:fldChar w:fldCharType="separate"/>
      </w:r>
      <w:r>
        <w:rPr>
          <w:color w:val="0000FF"/>
        </w:rPr>
        <w:t>пункт 1.11</w:t>
      </w:r>
      <w:r w:rsidRPr="00FE4DDC">
        <w:rPr>
          <w:color w:val="0000FF"/>
        </w:rPr>
        <w:fldChar w:fldCharType="end"/>
      </w:r>
      <w:r>
        <w:t xml:space="preserve"> изложить в следующей редакции:</w:t>
      </w:r>
    </w:p>
    <w:p w:rsidR="00A53746" w:rsidRDefault="00A53746">
      <w:pPr>
        <w:pStyle w:val="ConsPlusNormal"/>
        <w:spacing w:before="220"/>
        <w:ind w:firstLine="540"/>
        <w:jc w:val="both"/>
      </w:pPr>
      <w:r>
        <w:lastRenderedPageBreak/>
        <w:t>"1.11. Учреждениям культуры Ленинградской области обеспечить соблюдение требований, предусмотренных приложением 2 к настоящему постановлению, а также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A53746" w:rsidRDefault="00A53746">
      <w:pPr>
        <w:pStyle w:val="ConsPlusNormal"/>
        <w:spacing w:before="220"/>
        <w:ind w:firstLine="540"/>
        <w:jc w:val="both"/>
      </w:pPr>
      <w:r>
        <w:t>Музеям, расположенным на территории Ленинградской области, организовывать экскурсионные мероприятия на открытом воздухе.</w:t>
      </w:r>
    </w:p>
    <w:p w:rsidR="00A53746" w:rsidRDefault="00A53746">
      <w:pPr>
        <w:pStyle w:val="ConsPlusNormal"/>
        <w:spacing w:before="220"/>
        <w:ind w:firstLine="540"/>
        <w:jc w:val="both"/>
      </w:pPr>
      <w:r>
        <w:t>Доступ посетителей, в том числе индивидуальных посетителей, в парковые зоны музеев (музейных комплексов) разрешается при соблюдении требований, предусмотренных приложением 2 к настоящему постановлению.</w:t>
      </w:r>
    </w:p>
    <w:p w:rsidR="00A53746" w:rsidRDefault="00A53746">
      <w:pPr>
        <w:pStyle w:val="ConsPlusNormal"/>
        <w:spacing w:before="220"/>
        <w:ind w:firstLine="540"/>
        <w:jc w:val="both"/>
      </w:pPr>
      <w:r>
        <w:t xml:space="preserve">Допуск индивидуальных посетителей и организованных групп разрешается при условии наличия у посетителей, достигших 18-летнего возраста,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12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</w:t>
      </w:r>
      <w:proofErr w:type="gramStart"/>
      <w:r>
        <w:t>позднее</w:t>
      </w:r>
      <w:proofErr w:type="gramEnd"/>
      <w:r>
        <w:t xml:space="preserve"> чем за 48 часов, </w:t>
      </w:r>
      <w:proofErr w:type="gramStart"/>
      <w:r>
        <w:t>при соблюдении требований, предусмотренных приложением 2 к настоящему постановлению, а также с запретом на предоставление посетителям во временное пользование системы "Аудиогид" и других контактных средств для самостоятельного знакомства с экспозицией (за исключением выездных виртуальных экскурсий с использованием 3D-очков при их индивидуальной дезинфекции и наличии отрицательного результата теста на коронавирус у сотрудников музеев, допущенных к организации таких экскурсий) при условии соблюдения</w:t>
      </w:r>
      <w:proofErr w:type="gramEnd"/>
      <w:r>
        <w:t xml:space="preserve">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A53746" w:rsidRDefault="00A53746">
      <w:pPr>
        <w:pStyle w:val="ConsPlusNormal"/>
        <w:spacing w:before="220"/>
        <w:ind w:firstLine="540"/>
        <w:jc w:val="both"/>
      </w:pPr>
      <w:proofErr w:type="gramStart"/>
      <w:r>
        <w:t>Запрещается посещение лицами, не достигшими 18-летнего возраста, музеев и внемузейных пространств, за исключением организованных групп детей, состоящих из обучающихся одного класса (группы) общеобразовательной (дошкольной образовательной) организации, а также за исключением посещения таких объектов указанными лицами в составе семьи.</w:t>
      </w:r>
      <w:proofErr w:type="gramEnd"/>
    </w:p>
    <w:p w:rsidR="00A53746" w:rsidRDefault="00A53746">
      <w:pPr>
        <w:pStyle w:val="ConsPlusNormal"/>
        <w:spacing w:before="220"/>
        <w:ind w:firstLine="540"/>
        <w:jc w:val="both"/>
      </w:pPr>
      <w:r>
        <w:t xml:space="preserve">Деятельность театров Ленинградской области допускается при условии наличия у посетителей, достигших 18-летнего возраста,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12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</w:t>
      </w:r>
      <w:proofErr w:type="gramStart"/>
      <w:r>
        <w:t>позднее</w:t>
      </w:r>
      <w:proofErr w:type="gramEnd"/>
      <w:r>
        <w:t xml:space="preserve"> чем за 48 часов, и при </w:t>
      </w:r>
      <w:proofErr w:type="gramStart"/>
      <w:r>
        <w:t>соблюдении</w:t>
      </w:r>
      <w:proofErr w:type="gramEnd"/>
      <w:r>
        <w:t xml:space="preserve"> требований, предусмотренных приложением 2 к настоящему постановлению, а также при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A53746" w:rsidRDefault="00A53746">
      <w:pPr>
        <w:pStyle w:val="ConsPlusNormal"/>
        <w:spacing w:before="220"/>
        <w:ind w:firstLine="540"/>
        <w:jc w:val="both"/>
      </w:pPr>
      <w:proofErr w:type="gramStart"/>
      <w:r>
        <w:t>Запрещается посещение театров Ленинградской области лицами, не достигшими 18-летнего возраста, за исключением организованных групп детей, состоящих из обучающихся одного класса (группы) общеобразовательной (дошкольной образовательной) организации, а также за исключением посещения таких объектов указанными лицами в составе семьи.</w:t>
      </w:r>
      <w:proofErr w:type="gramEnd"/>
    </w:p>
    <w:p w:rsidR="00A53746" w:rsidRDefault="00A53746">
      <w:pPr>
        <w:pStyle w:val="ConsPlusNormal"/>
        <w:spacing w:before="220"/>
        <w:ind w:firstLine="540"/>
        <w:jc w:val="both"/>
      </w:pPr>
      <w:proofErr w:type="gramStart"/>
      <w:r>
        <w:t>Деятельность учреждений культурно-досугового типа Ленинградской области допускается для лиц старше 18 лет в части методической работы, репетиционного процесса, кружковой работы при соблюдении требований, предусмотренных приложением 2 к настоящему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  <w:proofErr w:type="gramEnd"/>
    </w:p>
    <w:p w:rsidR="00A53746" w:rsidRDefault="00A53746">
      <w:pPr>
        <w:pStyle w:val="ConsPlusNormal"/>
        <w:spacing w:before="220"/>
        <w:ind w:firstLine="540"/>
        <w:jc w:val="both"/>
      </w:pPr>
      <w:r>
        <w:lastRenderedPageBreak/>
        <w:t>До 20 февраля 2022 года включительно кружковая работа для лиц, не достигших 18-летнего возраста, допускается исключительно с использованием электронного обучения и дистанционных образовательных технологий.</w:t>
      </w:r>
    </w:p>
    <w:p w:rsidR="00A53746" w:rsidRDefault="00A53746">
      <w:pPr>
        <w:pStyle w:val="ConsPlusNormal"/>
        <w:spacing w:before="220"/>
        <w:ind w:firstLine="540"/>
        <w:jc w:val="both"/>
      </w:pPr>
      <w:proofErr w:type="gramStart"/>
      <w:r>
        <w:t>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-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санитайзеров), а также при соблюдении требований, предусмотренных приложением 2 к настоящему</w:t>
      </w:r>
      <w:proofErr w:type="gramEnd"/>
      <w:r>
        <w:t xml:space="preserve"> постановлению</w:t>
      </w:r>
      <w:proofErr w:type="gramStart"/>
      <w:r>
        <w:t>.";</w:t>
      </w:r>
      <w:proofErr w:type="gramEnd"/>
    </w:p>
    <w:p w:rsidR="00A53746" w:rsidRDefault="00A5374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1.19.2</w:t>
        </w:r>
      </w:hyperlink>
      <w:r>
        <w:t xml:space="preserve"> изложить в следующей редакции:</w:t>
      </w:r>
    </w:p>
    <w:p w:rsidR="00A53746" w:rsidRDefault="00A53746">
      <w:pPr>
        <w:pStyle w:val="ConsPlusNormal"/>
        <w:spacing w:before="220"/>
        <w:ind w:firstLine="540"/>
        <w:jc w:val="both"/>
      </w:pPr>
      <w:r>
        <w:t xml:space="preserve">"1.19.2. </w:t>
      </w:r>
      <w:proofErr w:type="gramStart"/>
      <w:r>
        <w:t>В зоне 1 и зоне 2 деятельность фитнес-центров (фитнес-клубов), стоматологий, бань, бассейнов осуществлять с учетом требований, предусмотренных приложением 2 к настоящему постановлению, при условии наличия у таких объектов паспорта коллективного иммунитета к COVID-19, а также при условии, что количество посетителей объектов в зоне 1 и зоне 2 будет составлять до 50 процентов заполняемости.</w:t>
      </w:r>
      <w:proofErr w:type="gramEnd"/>
      <w:r>
        <w:t xml:space="preserve"> В случае отсутствия паспорта коллективного иммунитета к COVID-19 деятельность разрешено осуществлять при наличии у работников и посетителей, достигших 18-летнего возраста, документов, подтверждающих прохождение полного курса вакцинации от COVID-19, или факт заболевания COVID-19 в течение последних 12 месяцев, или отрицательный результат лабораторного исследования методом полимеразной цепной реакции на наличие новой коронавирусной инфекции (COVID-19), проведенного не </w:t>
      </w:r>
      <w:proofErr w:type="gramStart"/>
      <w:r>
        <w:t>позднее</w:t>
      </w:r>
      <w:proofErr w:type="gramEnd"/>
      <w:r>
        <w:t xml:space="preserve"> чем за 48 часов. Допуск посетителей осуществлять исключительно по результатам проведенной дистанционной термометрии (при определяемой на открытой поверхности тела температуре не выше 37 градусов Цельсия), исключив допуск лиц с признаками ОРВИ и гриппа.</w:t>
      </w:r>
    </w:p>
    <w:p w:rsidR="00A53746" w:rsidRDefault="00A53746">
      <w:pPr>
        <w:pStyle w:val="ConsPlusNormal"/>
        <w:spacing w:before="220"/>
        <w:ind w:firstLine="540"/>
        <w:jc w:val="both"/>
      </w:pPr>
      <w:r>
        <w:t xml:space="preserve">Запрещается посещение лицами, не достигшими 18-летнего возраста, </w:t>
      </w:r>
      <w:proofErr w:type="gramStart"/>
      <w:r>
        <w:t>фитнес-центров</w:t>
      </w:r>
      <w:proofErr w:type="gramEnd"/>
      <w:r>
        <w:t xml:space="preserve"> (фитнес-клубов), плавательных бассейнов, иных организаций, оказывающих услуги в области физической культуры и спорта, за исключением лиц, проходящих спортивную подготовку, спортсменов профессиональных спортивных клубов, организованных групп детей, класса, группы одной образовательной организации в рамках реализации образовательных программ.</w:t>
      </w:r>
    </w:p>
    <w:p w:rsidR="00A53746" w:rsidRDefault="00A53746">
      <w:pPr>
        <w:pStyle w:val="ConsPlusNormal"/>
        <w:spacing w:before="220"/>
        <w:ind w:firstLine="540"/>
        <w:jc w:val="both"/>
      </w:pPr>
      <w:r>
        <w:t>Деятельность хозяйствующих субъектов (организаций), предоставляющих услуги музеев и внемузейных пространств, театров допускается при соблюдении условий, установленных абзацем первым настоящего пункта, а также при наличии у работников и посетителей медицинского отвода от вакцинации от COVID-19.</w:t>
      </w:r>
    </w:p>
    <w:p w:rsidR="00A53746" w:rsidRDefault="00A53746">
      <w:pPr>
        <w:pStyle w:val="ConsPlusNormal"/>
        <w:spacing w:before="220"/>
        <w:ind w:firstLine="540"/>
        <w:jc w:val="both"/>
      </w:pPr>
      <w:proofErr w:type="gramStart"/>
      <w:r>
        <w:t>Запрещается посещение лицами, не достигшими 18-летнего возраста, организаций, предоставляющих услуги музеев и внемузейных пространств, театров, за исключением организованных групп детей, состоящих из обучающихся одного класса (группы) общеобразовательной (дошкольной образовательной) организации, а также за исключением посещения таких объектов указанными лицами в составе семьи.";</w:t>
      </w:r>
      <w:proofErr w:type="gramEnd"/>
    </w:p>
    <w:p w:rsidR="00A53746" w:rsidRDefault="00A5374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1.19.5</w:t>
        </w:r>
      </w:hyperlink>
      <w:r>
        <w:t xml:space="preserve"> изложить в следующей редакции:</w:t>
      </w:r>
    </w:p>
    <w:p w:rsidR="00A53746" w:rsidRDefault="00A53746">
      <w:pPr>
        <w:pStyle w:val="ConsPlusNormal"/>
        <w:spacing w:before="220"/>
        <w:ind w:firstLine="540"/>
        <w:jc w:val="both"/>
      </w:pPr>
      <w:r>
        <w:t xml:space="preserve">"1.19.5. </w:t>
      </w:r>
      <w:proofErr w:type="gramStart"/>
      <w:r>
        <w:t>Деятельность кинотеатров и передвижных цирков шапито, а также гостиниц, иных средств размещения разрешена с учетом требований, предусмотренных приложением 2 к настоящему постановлению, при условии наличия у работников и посетителей, достигших 18-летнего возраста, документов, подтверждающих прохождение полного курса вакцинации от COVID-19, или факт заболевания COVID-19 в течение последних 12 месяцев, или отрицательный результат лабораторного исследования методом полимеразной цепной реакции на наличие</w:t>
      </w:r>
      <w:proofErr w:type="gramEnd"/>
      <w:r>
        <w:t xml:space="preserve"> коронавирусной инфекции (COVID-19), проведенного не </w:t>
      </w:r>
      <w:proofErr w:type="gramStart"/>
      <w:r>
        <w:t>позднее</w:t>
      </w:r>
      <w:proofErr w:type="gramEnd"/>
      <w:r>
        <w:t xml:space="preserve"> чем за 48 часов. При этом заселение в гостиницы, иные средства размещения возможно также при отрицательном результате исследования посетителей на наличие коронавирусной инфекции (COVID-19) </w:t>
      </w:r>
      <w:r>
        <w:lastRenderedPageBreak/>
        <w:t xml:space="preserve">посредством </w:t>
      </w:r>
      <w:proofErr w:type="gramStart"/>
      <w:r>
        <w:t>экспресс-теста</w:t>
      </w:r>
      <w:proofErr w:type="gramEnd"/>
      <w:r>
        <w:t>.</w:t>
      </w:r>
    </w:p>
    <w:p w:rsidR="00A53746" w:rsidRDefault="00A53746">
      <w:pPr>
        <w:pStyle w:val="ConsPlusNormal"/>
        <w:spacing w:before="220"/>
        <w:ind w:firstLine="540"/>
        <w:jc w:val="both"/>
      </w:pPr>
      <w:r>
        <w:t xml:space="preserve">В случае наличия у кинотеатров паспорта коллективного иммунитета к COVID-19 деятельность разрешена без предъявления посетителями, достигшими 18-летнего возраста, документов, подтверждающих прохождение полного курса вакцинации от COVID-19, или факт заболевания COVID-19 в течение последних 12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</w:t>
      </w:r>
      <w:proofErr w:type="gramStart"/>
      <w:r>
        <w:t>позднее</w:t>
      </w:r>
      <w:proofErr w:type="gramEnd"/>
      <w:r>
        <w:t xml:space="preserve"> чем за 48 часов.</w:t>
      </w:r>
    </w:p>
    <w:p w:rsidR="00A53746" w:rsidRDefault="00A53746">
      <w:pPr>
        <w:pStyle w:val="ConsPlusNormal"/>
        <w:spacing w:before="220"/>
        <w:ind w:firstLine="540"/>
        <w:jc w:val="both"/>
      </w:pPr>
      <w:r>
        <w:t>Допуск посетителей кинотеатров и передвижных цирков шапито осуществлять исключительно по результатам проведенной дистанционной термометрии (при определяемой на открытой поверхности тела температуре не выше 37 градусов Цельсия), исключив допуск лиц с признаками ОРВИ и гриппа.</w:t>
      </w:r>
    </w:p>
    <w:p w:rsidR="00A53746" w:rsidRDefault="00A53746">
      <w:pPr>
        <w:pStyle w:val="ConsPlusNormal"/>
        <w:spacing w:before="220"/>
        <w:ind w:firstLine="540"/>
        <w:jc w:val="both"/>
      </w:pPr>
      <w:proofErr w:type="gramStart"/>
      <w:r>
        <w:t>Запрещается посещение лицами, не достигшими 18-летнего возраста, кинотеатров и передвижных цирков шапито, за исключением организованных групп детей, состоящих из обучающихся одного класса (группы) общеобразовательной (дошкольной образовательной) организации, а также за исключением посещения таких объектов указанными лицами в составе семьи.";</w:t>
      </w:r>
      <w:proofErr w:type="gramEnd"/>
    </w:p>
    <w:p w:rsidR="00A53746" w:rsidRDefault="00A53746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пункте 1.27</w:t>
        </w:r>
      </w:hyperlink>
      <w:r>
        <w:t>:</w:t>
      </w:r>
    </w:p>
    <w:p w:rsidR="00A53746" w:rsidRDefault="00A53746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A53746" w:rsidRDefault="00A53746">
      <w:pPr>
        <w:pStyle w:val="ConsPlusNormal"/>
        <w:spacing w:before="220"/>
        <w:ind w:firstLine="540"/>
        <w:jc w:val="both"/>
      </w:pPr>
      <w:proofErr w:type="gramStart"/>
      <w:r>
        <w:t>"До 20 февраля 2022 года включительно проведение физкультурных и спортивных мероприятий разрешается исключительно на открытом воздухе с соблюдением требований, предусмотренных приложением 2 к настоящему постановлению, при условии, что количество участников и зрителей таких мероприятий будет составлять: в зоне 1 и в зоне 2 - до 500 человек, в зоне 3 - до 1000 человек, при этом численность зрителей не может превышать 50</w:t>
      </w:r>
      <w:proofErr w:type="gramEnd"/>
      <w:r>
        <w:t xml:space="preserve"> процентов от общей вместимости мест проведения таких мероприятий. Обязательным является наличие у участников и зрителей мероприятия документов, подтверждающих прохождение полного курса вакцинации от COVID-19, или факт заболевания COVID-19 в течение последних 12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</w:t>
      </w:r>
      <w:proofErr w:type="gramStart"/>
      <w:r>
        <w:t>позднее</w:t>
      </w:r>
      <w:proofErr w:type="gramEnd"/>
      <w:r>
        <w:t xml:space="preserve"> чем за 48 часов. Превышение установленного ограничения </w:t>
      </w:r>
      <w:proofErr w:type="gramStart"/>
      <w:r>
        <w:t>по количеству участников возможно при условии согласования с Управлением Федеральной службы по надзору в сфере</w:t>
      </w:r>
      <w:proofErr w:type="gramEnd"/>
      <w:r>
        <w:t xml:space="preserve"> защиты прав потребителей и благополучия человека по Ленинградской области.";</w:t>
      </w:r>
    </w:p>
    <w:p w:rsidR="00A53746" w:rsidRDefault="00A53746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абзацы двадцать восьмой</w:t>
        </w:r>
      </w:hyperlink>
      <w:r>
        <w:t xml:space="preserve"> и </w:t>
      </w:r>
      <w:hyperlink r:id="rId15" w:history="1">
        <w:r>
          <w:rPr>
            <w:color w:val="0000FF"/>
          </w:rPr>
          <w:t>двадцать девятый</w:t>
        </w:r>
      </w:hyperlink>
      <w:r>
        <w:t xml:space="preserve"> изложить в следующей редакции:</w:t>
      </w:r>
    </w:p>
    <w:p w:rsidR="00A53746" w:rsidRDefault="00A53746">
      <w:pPr>
        <w:pStyle w:val="ConsPlusNormal"/>
        <w:spacing w:before="220"/>
        <w:ind w:firstLine="540"/>
        <w:jc w:val="both"/>
      </w:pPr>
      <w:proofErr w:type="gramStart"/>
      <w:r>
        <w:t>"Запрещается посещение лицами, не достигшими 18-летнего возраста, объектов, предназначенных для развлечения и досуга, в том числе концертных организаций, за исключением организованных групп детей, состоящих из обучающихся одного класса (группы) общеобразовательной (дошкольной образовательной) организации, а также за исключением посещения таких объектов указанными лицами в составе семьи.</w:t>
      </w:r>
      <w:proofErr w:type="gramEnd"/>
    </w:p>
    <w:p w:rsidR="00A53746" w:rsidRDefault="00A53746">
      <w:pPr>
        <w:pStyle w:val="ConsPlusNormal"/>
        <w:spacing w:before="220"/>
        <w:ind w:firstLine="540"/>
        <w:jc w:val="both"/>
      </w:pPr>
      <w:proofErr w:type="gramStart"/>
      <w:r>
        <w:t xml:space="preserve">До 20 февраля 2022 года включительно запрещается проведение массовых гуляний, зрелищных и иных массовых мероприятий, в том числе мероприятий, предусмотренных в разделах "Мероприятия,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"Массовые мероприятия", "Мероприятия, организованные</w:t>
      </w:r>
      <w:proofErr w:type="gramEnd"/>
      <w:r>
        <w:t xml:space="preserve"> Правительством Ленинградской области, органами государственной власти Ленинградской области, государственными органами Ленинградской области" приложения 2 к настоящему постановлению</w:t>
      </w:r>
      <w:proofErr w:type="gramStart"/>
      <w:r>
        <w:t>.";</w:t>
      </w:r>
      <w:proofErr w:type="gramEnd"/>
    </w:p>
    <w:p w:rsidR="00A53746" w:rsidRDefault="00A53746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7" w:history="1">
        <w:r>
          <w:rPr>
            <w:color w:val="0000FF"/>
          </w:rPr>
          <w:t>приложении 2</w:t>
        </w:r>
      </w:hyperlink>
      <w:r>
        <w:t xml:space="preserve">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 </w:t>
      </w:r>
      <w:hyperlink r:id="rId18" w:history="1">
        <w:r>
          <w:rPr>
            <w:color w:val="0000FF"/>
          </w:rPr>
          <w:t>строку 10</w:t>
        </w:r>
      </w:hyperlink>
      <w:r>
        <w:t xml:space="preserve"> изложить в следующей редакции:</w:t>
      </w:r>
    </w:p>
    <w:p w:rsidR="00A53746" w:rsidRDefault="00A53746">
      <w:pPr>
        <w:pStyle w:val="ConsPlusNormal"/>
        <w:ind w:firstLine="540"/>
        <w:jc w:val="both"/>
      </w:pPr>
    </w:p>
    <w:p w:rsidR="00A53746" w:rsidRDefault="00A53746">
      <w:pPr>
        <w:pStyle w:val="ConsPlusNormal"/>
      </w:pPr>
      <w:r>
        <w:t>"</w:t>
      </w:r>
    </w:p>
    <w:p w:rsidR="00A53746" w:rsidRDefault="00A5374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827"/>
        <w:gridCol w:w="5664"/>
      </w:tblGrid>
      <w:tr w:rsidR="00A53746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A53746" w:rsidRDefault="00A537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A53746" w:rsidRDefault="00A53746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5664" w:type="dxa"/>
            <w:tcBorders>
              <w:top w:val="single" w:sz="4" w:space="0" w:color="auto"/>
              <w:bottom w:val="single" w:sz="4" w:space="0" w:color="auto"/>
            </w:tcBorders>
          </w:tcPr>
          <w:p w:rsidR="00A53746" w:rsidRDefault="00A53746">
            <w:pPr>
              <w:pStyle w:val="ConsPlusNormal"/>
              <w:jc w:val="center"/>
            </w:pPr>
            <w:r>
              <w:t>Деятельность разрешена исключительно с использованием электронного обучения и дистанционных образовательных технологий</w:t>
            </w:r>
          </w:p>
        </w:tc>
      </w:tr>
    </w:tbl>
    <w:p w:rsidR="00A53746" w:rsidRDefault="00A53746">
      <w:pPr>
        <w:pStyle w:val="ConsPlusNormal"/>
        <w:jc w:val="right"/>
      </w:pPr>
      <w:r>
        <w:t>".</w:t>
      </w:r>
    </w:p>
    <w:p w:rsidR="00A53746" w:rsidRDefault="00A53746">
      <w:pPr>
        <w:pStyle w:val="ConsPlusNormal"/>
        <w:ind w:firstLine="540"/>
        <w:jc w:val="both"/>
      </w:pPr>
    </w:p>
    <w:p w:rsidR="00A53746" w:rsidRDefault="00A53746">
      <w:pPr>
        <w:pStyle w:val="ConsPlusNormal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A53746" w:rsidRDefault="00A53746">
      <w:pPr>
        <w:pStyle w:val="ConsPlusNormal"/>
        <w:ind w:firstLine="540"/>
        <w:jc w:val="both"/>
      </w:pPr>
    </w:p>
    <w:p w:rsidR="00A53746" w:rsidRDefault="00A53746">
      <w:pPr>
        <w:pStyle w:val="ConsPlusNormal"/>
        <w:jc w:val="right"/>
      </w:pPr>
      <w:r>
        <w:t>Губернатор</w:t>
      </w:r>
    </w:p>
    <w:p w:rsidR="00A53746" w:rsidRDefault="00A53746">
      <w:pPr>
        <w:pStyle w:val="ConsPlusNormal"/>
        <w:jc w:val="right"/>
      </w:pPr>
      <w:r>
        <w:t>Ленинградской области</w:t>
      </w:r>
    </w:p>
    <w:p w:rsidR="00A53746" w:rsidRDefault="00A53746">
      <w:pPr>
        <w:pStyle w:val="ConsPlusNormal"/>
        <w:jc w:val="right"/>
      </w:pPr>
      <w:r>
        <w:t>А.Дрозденко</w:t>
      </w:r>
    </w:p>
    <w:p w:rsidR="00A53746" w:rsidRDefault="00A53746">
      <w:pPr>
        <w:pStyle w:val="ConsPlusNormal"/>
        <w:ind w:firstLine="540"/>
        <w:jc w:val="both"/>
      </w:pPr>
    </w:p>
    <w:p w:rsidR="00A53746" w:rsidRDefault="00A53746">
      <w:pPr>
        <w:pStyle w:val="ConsPlusNormal"/>
        <w:ind w:firstLine="540"/>
        <w:jc w:val="both"/>
      </w:pPr>
    </w:p>
    <w:p w:rsidR="00A53746" w:rsidRDefault="00A537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A9B" w:rsidRDefault="006A6A9B">
      <w:bookmarkStart w:id="0" w:name="_GoBack"/>
      <w:bookmarkEnd w:id="0"/>
    </w:p>
    <w:sectPr w:rsidR="006A6A9B" w:rsidSect="00CB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46"/>
    <w:rsid w:val="006A6A9B"/>
    <w:rsid w:val="00A5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37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37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95D16AEDEF10B7A921E6E99D77EA72802F31AACFE6DFF980C33E02EBA861E6EAFDBA32833236D0B3BCFDCD83C1C919DF85E87F9679B2Ay300M" TargetMode="External"/><Relationship Id="rId13" Type="http://schemas.openxmlformats.org/officeDocument/2006/relationships/hyperlink" Target="consultantplus://offline/ref=44B95D16AEDEF10B7A921E6E99D77EA72802F31AACFE6DFF980C33E02EBA861E6EAFDBA3283323690E3BCFDCD83C1C919DF85E87F9679B2Ay300M" TargetMode="External"/><Relationship Id="rId18" Type="http://schemas.openxmlformats.org/officeDocument/2006/relationships/hyperlink" Target="consultantplus://offline/ref=44B95D16AEDEF10B7A921E6E99D77EA72802F31AACFE6DFF980C33E02EBA861E6EAFDBA328332F6A0F3BCFDCD83C1C919DF85E87F9679B2Ay30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B95D16AEDEF10B7A921E6E99D77EA72802F31AACFE6DFF980C33E02EBA861E6EAFDBA328332F670E3BCFDCD83C1C919DF85E87F9679B2Ay300M" TargetMode="External"/><Relationship Id="rId12" Type="http://schemas.openxmlformats.org/officeDocument/2006/relationships/hyperlink" Target="consultantplus://offline/ref=44B95D16AEDEF10B7A921E6E99D77EA72802F31AACFE6DFF980C33E02EBA861E6EAFDBAA2A397F3F4865968D9F77119280E45E86yE05M" TargetMode="External"/><Relationship Id="rId17" Type="http://schemas.openxmlformats.org/officeDocument/2006/relationships/hyperlink" Target="consultantplus://offline/ref=44B95D16AEDEF10B7A921E6E99D77EA72802F31AACFE6DFF980C33E02EBA861E6EAFDBA328322C680A3BCFDCD83C1C919DF85E87F9679B2Ay30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B95D16AEDEF10B7A92017F8CD77EA72E07F413ABFC6DFF980C33E02EBA861E7CAF83AF2831356E0F2E998D9Ey60B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95D16AEDEF10B7A921E6E99D77EA72802F31AACFE6DFF980C33E02EBA861E7CAF83AF2831356E0F2E998D9Ey60BM" TargetMode="External"/><Relationship Id="rId11" Type="http://schemas.openxmlformats.org/officeDocument/2006/relationships/hyperlink" Target="consultantplus://offline/ref=44B95D16AEDEF10B7A921E6E99D77EA72802F31AACFE6DFF980C33E02EBA861E6EAFDBA328332368093BCFDCD83C1C919DF85E87F9679B2Ay300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4B95D16AEDEF10B7A921E6E99D77EA72802F31AACFE6DFF980C33E02EBA861E6EAFDBA32833226F0C3BCFDCD83C1C919DF85E87F9679B2Ay300M" TargetMode="External"/><Relationship Id="rId10" Type="http://schemas.openxmlformats.org/officeDocument/2006/relationships/hyperlink" Target="consultantplus://offline/ref=44B95D16AEDEF10B7A921E6E99D77EA72802F31AACFE6DFF980C33E02EBA861E6EAFDBA32833226F0A3BCFDCD83C1C919DF85E87F9679B2Ay300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B95D16AEDEF10B7A921E6E99D77EA72802F31AACFE6DFF980C33E02EBA861E6EAFDBA32833236A0D3BCFDCD83C1C919DF85E87F9679B2Ay300M" TargetMode="External"/><Relationship Id="rId14" Type="http://schemas.openxmlformats.org/officeDocument/2006/relationships/hyperlink" Target="consultantplus://offline/ref=44B95D16AEDEF10B7A921E6E99D77EA72802F31AACFE6DFF980C33E02EBA861E6EAFDBA3283323660D3BCFDCD83C1C919DF85E87F9679B2Ay30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2022-03-03T12:52:00Z</dcterms:created>
  <dcterms:modified xsi:type="dcterms:W3CDTF">2022-03-03T12:53:00Z</dcterms:modified>
</cp:coreProperties>
</file>