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Согласовано</w:t>
      </w: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_______________И.В. Плитус</w:t>
      </w: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заместитель главы администрации</w:t>
      </w: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 жилищно-коммунальному хозяйству </w:t>
      </w: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Приозерского муниципального района </w:t>
      </w: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Ленинградской области</w:t>
      </w: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right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ГОДОВОЙ ОТЧЕТ </w:t>
      </w: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ПО ИСПОЛНЕНИЮ МУНИЦИПАЛЬНОЙ ПРОГРАММЫ</w:t>
      </w: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  <w:r w:rsidRPr="00F83D7D">
        <w:rPr>
          <w:rFonts w:eastAsia="Calibri"/>
          <w:color w:val="000000"/>
        </w:rPr>
        <w:t>«Благоустройство городских территорий Приозерского городско</w:t>
      </w:r>
      <w:r>
        <w:rPr>
          <w:rFonts w:eastAsia="Calibri"/>
          <w:color w:val="000000"/>
        </w:rPr>
        <w:t xml:space="preserve">го поселения» </w:t>
      </w: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на 2025-2030 годы </w:t>
      </w: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за 2025 год</w:t>
      </w: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jc w:val="center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г. Приозерск</w:t>
      </w: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C33E00" w:rsidRDefault="00C33E00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outlineLvl w:val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Ведущий специалист отдела город</w:t>
      </w:r>
      <w:r w:rsidR="00E32B3F">
        <w:rPr>
          <w:rFonts w:eastAsia="Calibri"/>
          <w:color w:val="000000"/>
          <w:sz w:val="20"/>
          <w:szCs w:val="20"/>
        </w:rPr>
        <w:t>ского хозяйства – Галкина Е.А.___________________</w:t>
      </w: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  <w:r>
        <w:rPr>
          <w:rFonts w:eastAsia="Calibri"/>
          <w:color w:val="000000"/>
          <w:sz w:val="20"/>
          <w:szCs w:val="20"/>
        </w:rPr>
        <w:t xml:space="preserve">тел. 35 – 338, эл. почта </w:t>
      </w:r>
      <w:hyperlink r:id="rId6" w:history="1">
        <w:r>
          <w:rPr>
            <w:rStyle w:val="a3"/>
            <w:rFonts w:eastAsia="Calibri"/>
            <w:sz w:val="20"/>
            <w:szCs w:val="20"/>
            <w:lang w:val="en-US"/>
          </w:rPr>
          <w:t>admotdelpriozersk</w:t>
        </w:r>
        <w:r>
          <w:rPr>
            <w:rStyle w:val="a3"/>
            <w:rFonts w:eastAsia="Calibri"/>
            <w:sz w:val="20"/>
            <w:szCs w:val="20"/>
          </w:rPr>
          <w:t>@</w:t>
        </w:r>
        <w:r>
          <w:rPr>
            <w:rStyle w:val="a3"/>
            <w:rFonts w:eastAsia="Calibri"/>
            <w:sz w:val="20"/>
            <w:szCs w:val="20"/>
            <w:lang w:val="en-US"/>
          </w:rPr>
          <w:t>yandex</w:t>
        </w:r>
        <w:r>
          <w:rPr>
            <w:rStyle w:val="a3"/>
            <w:rFonts w:eastAsia="Calibri"/>
            <w:sz w:val="20"/>
            <w:szCs w:val="20"/>
          </w:rPr>
          <w:t>.</w:t>
        </w:r>
        <w:r>
          <w:rPr>
            <w:rStyle w:val="a3"/>
            <w:rFonts w:eastAsia="Calibri"/>
            <w:sz w:val="20"/>
            <w:szCs w:val="20"/>
            <w:lang w:val="en-US"/>
          </w:rPr>
          <w:t>ru</w:t>
        </w:r>
      </w:hyperlink>
      <w:r w:rsidRPr="00F83D7D">
        <w:rPr>
          <w:rFonts w:eastAsia="Calibri"/>
          <w:color w:val="000000"/>
        </w:rPr>
        <w:t xml:space="preserve"> </w:t>
      </w: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5034A8" w:rsidRDefault="005034A8" w:rsidP="00F83D7D">
      <w:pPr>
        <w:keepNext/>
        <w:outlineLvl w:val="0"/>
        <w:rPr>
          <w:rFonts w:eastAsia="Calibri"/>
          <w:color w:val="000000"/>
        </w:rPr>
      </w:pPr>
    </w:p>
    <w:p w:rsidR="005034A8" w:rsidRDefault="005034A8" w:rsidP="00F83D7D">
      <w:pPr>
        <w:keepNext/>
        <w:outlineLvl w:val="0"/>
        <w:rPr>
          <w:rFonts w:eastAsia="Calibri"/>
          <w:color w:val="000000"/>
        </w:rPr>
      </w:pPr>
    </w:p>
    <w:p w:rsidR="005034A8" w:rsidRDefault="005034A8" w:rsidP="00F83D7D">
      <w:pPr>
        <w:keepNext/>
        <w:outlineLvl w:val="0"/>
        <w:rPr>
          <w:rFonts w:eastAsia="Calibri"/>
          <w:color w:val="000000"/>
        </w:rPr>
      </w:pPr>
    </w:p>
    <w:p w:rsidR="005034A8" w:rsidRDefault="005034A8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keepNext/>
        <w:outlineLvl w:val="0"/>
        <w:rPr>
          <w:rFonts w:eastAsia="Calibri"/>
          <w:color w:val="000000"/>
        </w:rPr>
      </w:pPr>
    </w:p>
    <w:p w:rsidR="00F83D7D" w:rsidRDefault="00F83D7D" w:rsidP="00F83D7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F83D7D" w:rsidRDefault="00F83D7D" w:rsidP="00F83D7D">
      <w:pPr>
        <w:jc w:val="center"/>
        <w:outlineLvl w:val="0"/>
      </w:pPr>
      <w:r>
        <w:t>ПОЯСНИТЕЛЬНАЯ ЗАПИСКА</w:t>
      </w:r>
    </w:p>
    <w:p w:rsidR="00F83D7D" w:rsidRDefault="00F83D7D" w:rsidP="00F83D7D">
      <w:pPr>
        <w:jc w:val="center"/>
      </w:pPr>
      <w:r>
        <w:t>к отчету по исполнению муниципальной программы</w:t>
      </w:r>
    </w:p>
    <w:p w:rsidR="00C33E00" w:rsidRPr="00C33E00" w:rsidRDefault="00F83D7D" w:rsidP="00C33E0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C33E00" w:rsidRPr="00C33E00">
        <w:rPr>
          <w:rFonts w:eastAsia="Calibri"/>
          <w:lang w:eastAsia="en-US"/>
        </w:rPr>
        <w:t xml:space="preserve">Благоустройство городских территорий Приозерского городского поселения» </w:t>
      </w:r>
    </w:p>
    <w:p w:rsidR="00F83D7D" w:rsidRDefault="00C33E00" w:rsidP="00C33E00">
      <w:pPr>
        <w:jc w:val="center"/>
      </w:pPr>
      <w:r w:rsidRPr="00C33E00">
        <w:rPr>
          <w:rFonts w:eastAsia="Calibri"/>
          <w:lang w:eastAsia="en-US"/>
        </w:rPr>
        <w:t xml:space="preserve">на 2025-2030 годы </w:t>
      </w:r>
      <w:r w:rsidR="00F83D7D">
        <w:rPr>
          <w:rFonts w:eastAsia="Calibri"/>
          <w:lang w:eastAsia="en-US"/>
        </w:rPr>
        <w:t xml:space="preserve">  </w:t>
      </w:r>
      <w:r w:rsidR="00F83D7D">
        <w:t>за 2025 год</w:t>
      </w:r>
    </w:p>
    <w:p w:rsidR="00F83D7D" w:rsidRDefault="00F83D7D" w:rsidP="00F83D7D">
      <w:pPr>
        <w:jc w:val="center"/>
      </w:pPr>
    </w:p>
    <w:p w:rsidR="00F83D7D" w:rsidRDefault="00F83D7D" w:rsidP="00C33E00">
      <w:pPr>
        <w:ind w:firstLine="709"/>
        <w:jc w:val="both"/>
      </w:pPr>
      <w:r>
        <w:t xml:space="preserve">Муниципальная программа </w:t>
      </w:r>
      <w:r>
        <w:rPr>
          <w:rFonts w:eastAsia="Calibri"/>
          <w:lang w:eastAsia="en-US"/>
        </w:rPr>
        <w:t>«</w:t>
      </w:r>
      <w:r w:rsidR="00C33E00" w:rsidRPr="00C33E00">
        <w:rPr>
          <w:rFonts w:eastAsia="Calibri"/>
          <w:lang w:eastAsia="en-US"/>
        </w:rPr>
        <w:t xml:space="preserve">Благоустройство городских территорий Приозерского городского поселения» на 2025-2030 годы </w:t>
      </w:r>
      <w:r>
        <w:t xml:space="preserve"> (далее – Программа) утверждена Постановлением Администрации Приозерского муниципального района Ленинградской области </w:t>
      </w:r>
      <w:r w:rsidR="00C33E00" w:rsidRPr="00C33E00">
        <w:rPr>
          <w:rFonts w:eastAsia="Calibri"/>
          <w:lang w:eastAsia="en-US"/>
        </w:rPr>
        <w:t>№ 335 от 05 февраля 2025 года</w:t>
      </w:r>
      <w:r>
        <w:rPr>
          <w:rFonts w:eastAsia="Calibri"/>
          <w:lang w:eastAsia="en-US"/>
        </w:rPr>
        <w:t>.</w:t>
      </w:r>
    </w:p>
    <w:p w:rsidR="00F83D7D" w:rsidRDefault="00F83D7D" w:rsidP="00F83D7D">
      <w:pPr>
        <w:ind w:firstLine="709"/>
        <w:jc w:val="both"/>
      </w:pPr>
      <w:r>
        <w:t xml:space="preserve"> Изменения Программы утверждены постановлением администрации Приозерского муниципального района Ленинградской области </w:t>
      </w:r>
      <w:r>
        <w:rPr>
          <w:rFonts w:eastAsia="Calibri"/>
          <w:lang w:eastAsia="en-US"/>
        </w:rPr>
        <w:t xml:space="preserve">от </w:t>
      </w:r>
      <w:r w:rsidR="00E32B3F">
        <w:rPr>
          <w:rFonts w:eastAsia="Calibri"/>
          <w:lang w:eastAsia="en-US"/>
        </w:rPr>
        <w:t>18</w:t>
      </w:r>
      <w:r>
        <w:rPr>
          <w:rFonts w:eastAsia="Calibri"/>
          <w:lang w:eastAsia="en-US"/>
        </w:rPr>
        <w:t xml:space="preserve"> </w:t>
      </w:r>
      <w:r w:rsidR="00F1389C">
        <w:rPr>
          <w:rFonts w:eastAsia="Calibri"/>
          <w:lang w:eastAsia="en-US"/>
        </w:rPr>
        <w:t xml:space="preserve">февраля </w:t>
      </w:r>
      <w:r>
        <w:rPr>
          <w:rFonts w:eastAsia="Calibri"/>
          <w:lang w:eastAsia="en-US"/>
        </w:rPr>
        <w:t xml:space="preserve"> 2026 года № </w:t>
      </w:r>
      <w:r w:rsidR="00E32B3F">
        <w:rPr>
          <w:rFonts w:eastAsia="Calibri"/>
          <w:lang w:eastAsia="en-US"/>
        </w:rPr>
        <w:t>474</w:t>
      </w:r>
    </w:p>
    <w:p w:rsidR="00F83D7D" w:rsidRDefault="00F83D7D" w:rsidP="00F83D7D">
      <w:pPr>
        <w:ind w:firstLine="709"/>
        <w:jc w:val="both"/>
      </w:pPr>
    </w:p>
    <w:p w:rsidR="00F83D7D" w:rsidRDefault="00F83D7D" w:rsidP="00F83D7D">
      <w:pPr>
        <w:ind w:firstLine="709"/>
        <w:jc w:val="both"/>
      </w:pPr>
      <w:r>
        <w:t xml:space="preserve">Фактическое финансирование Программы в 2025 г. </w:t>
      </w:r>
      <w:r w:rsidRPr="003313E9">
        <w:t xml:space="preserve">составило </w:t>
      </w:r>
      <w:r w:rsidR="003313E9" w:rsidRPr="003313E9">
        <w:rPr>
          <w:sz w:val="26"/>
          <w:szCs w:val="26"/>
          <w:lang w:eastAsia="en-US"/>
        </w:rPr>
        <w:t xml:space="preserve">95 079,0 </w:t>
      </w:r>
      <w:r w:rsidRPr="003313E9">
        <w:t>тыс. руб</w:t>
      </w:r>
      <w:r>
        <w:t>., в том числе по источникам:</w:t>
      </w:r>
    </w:p>
    <w:p w:rsidR="00F83D7D" w:rsidRDefault="00F1389C" w:rsidP="00F83D7D">
      <w:pPr>
        <w:ind w:firstLine="709"/>
        <w:jc w:val="both"/>
      </w:pPr>
      <w:r>
        <w:t xml:space="preserve">Федеральный бюджет – 0 ,0 </w:t>
      </w:r>
      <w:r w:rsidR="00F83D7D">
        <w:t>тыс. руб.,</w:t>
      </w:r>
    </w:p>
    <w:p w:rsidR="00F83D7D" w:rsidRDefault="00F83D7D" w:rsidP="00F83D7D">
      <w:pPr>
        <w:ind w:firstLine="709"/>
        <w:jc w:val="both"/>
      </w:pPr>
      <w:r>
        <w:t xml:space="preserve">областной бюджет – </w:t>
      </w:r>
      <w:r w:rsidR="00F1389C" w:rsidRPr="00F1389C">
        <w:t>6 140,0</w:t>
      </w:r>
      <w:r>
        <w:t xml:space="preserve"> тыс. руб.,</w:t>
      </w:r>
    </w:p>
    <w:p w:rsidR="00F83D7D" w:rsidRDefault="00F83D7D" w:rsidP="00F83D7D">
      <w:pPr>
        <w:ind w:firstLine="709"/>
        <w:jc w:val="both"/>
      </w:pPr>
      <w:r>
        <w:t xml:space="preserve">бюджет Приозерского городского поселения – </w:t>
      </w:r>
      <w:r w:rsidR="003313E9" w:rsidRPr="003313E9">
        <w:t>88 939,0</w:t>
      </w:r>
      <w:r>
        <w:rPr>
          <w:color w:val="FF0000"/>
        </w:rPr>
        <w:t xml:space="preserve"> </w:t>
      </w:r>
      <w:r>
        <w:t>тыс. руб.</w:t>
      </w:r>
    </w:p>
    <w:p w:rsidR="00F83D7D" w:rsidRDefault="00F83D7D" w:rsidP="00F83D7D">
      <w:pPr>
        <w:jc w:val="both"/>
      </w:pPr>
      <w:r>
        <w:tab/>
        <w:t xml:space="preserve">Для реализации программных мероприятий наряду со средствами бюджета Приозерского городского поселения привлекались средства бюджета Ленинградской области. Объем привлеченных средств – </w:t>
      </w:r>
      <w:r w:rsidR="00573560">
        <w:t xml:space="preserve">6 140,0 тыс. руб., что составляет 6,3 </w:t>
      </w:r>
      <w:r>
        <w:t>% от исполненного бюджета Программы.</w:t>
      </w:r>
    </w:p>
    <w:p w:rsidR="00F83D7D" w:rsidRDefault="00F83D7D" w:rsidP="00F83D7D">
      <w:pPr>
        <w:ind w:firstLine="709"/>
        <w:jc w:val="both"/>
      </w:pPr>
      <w:r>
        <w:t>Программные мероприятия в 2025 году реализованы в полном объеме. Кассовое ис</w:t>
      </w:r>
      <w:r w:rsidR="00573560">
        <w:t>полнение Программы составляет 98</w:t>
      </w:r>
      <w:r>
        <w:t>,</w:t>
      </w:r>
      <w:r w:rsidR="00573560">
        <w:t>0</w:t>
      </w:r>
      <w:r>
        <w:t>7 %</w:t>
      </w:r>
      <w:r>
        <w:rPr>
          <w:color w:val="FF0000"/>
        </w:rPr>
        <w:t xml:space="preserve"> </w:t>
      </w:r>
      <w:r>
        <w:t xml:space="preserve">(при плане – </w:t>
      </w:r>
      <w:r w:rsidR="00573560">
        <w:t>96 947,9</w:t>
      </w:r>
      <w:r>
        <w:t xml:space="preserve">0 тыс. руб. исполнено – </w:t>
      </w:r>
      <w:r w:rsidR="00573560">
        <w:t>95</w:t>
      </w:r>
      <w:r w:rsidR="00F83AFA" w:rsidRPr="00F83AFA">
        <w:t xml:space="preserve"> </w:t>
      </w:r>
      <w:r w:rsidR="00573560">
        <w:t>079,0</w:t>
      </w:r>
      <w:r>
        <w:t xml:space="preserve"> тыс. руб.). </w:t>
      </w:r>
    </w:p>
    <w:p w:rsidR="00F83AFA" w:rsidRPr="00F83AFA" w:rsidRDefault="00F83AFA" w:rsidP="00F83AFA">
      <w:pPr>
        <w:ind w:firstLine="709"/>
        <w:jc w:val="both"/>
        <w:rPr>
          <w:sz w:val="26"/>
          <w:szCs w:val="26"/>
        </w:rPr>
      </w:pPr>
      <w:r w:rsidRPr="00F83AFA">
        <w:rPr>
          <w:sz w:val="26"/>
          <w:szCs w:val="26"/>
        </w:rPr>
        <w:t>Основными программными мероприятиями за отчетный период являлись:</w:t>
      </w:r>
    </w:p>
    <w:p w:rsidR="00F83AFA" w:rsidRPr="00F83AFA" w:rsidRDefault="00F83AFA" w:rsidP="00F83AFA">
      <w:pPr>
        <w:numPr>
          <w:ilvl w:val="0"/>
          <w:numId w:val="2"/>
        </w:numPr>
        <w:jc w:val="both"/>
        <w:rPr>
          <w:sz w:val="26"/>
          <w:szCs w:val="26"/>
        </w:rPr>
      </w:pPr>
      <w:r w:rsidRPr="00F83AFA">
        <w:rPr>
          <w:sz w:val="26"/>
          <w:szCs w:val="26"/>
        </w:rPr>
        <w:t xml:space="preserve">текущее содержание, ремонт сетей уличного освещения, в </w:t>
      </w:r>
      <w:proofErr w:type="spellStart"/>
      <w:r w:rsidRPr="00F83AFA">
        <w:rPr>
          <w:sz w:val="26"/>
          <w:szCs w:val="26"/>
        </w:rPr>
        <w:t>т.ч</w:t>
      </w:r>
      <w:proofErr w:type="spellEnd"/>
      <w:r w:rsidRPr="00F83AFA">
        <w:rPr>
          <w:sz w:val="26"/>
          <w:szCs w:val="26"/>
        </w:rPr>
        <w:t xml:space="preserve">. оплата электроэнергии; </w:t>
      </w:r>
    </w:p>
    <w:p w:rsidR="00F83AFA" w:rsidRPr="00F83AFA" w:rsidRDefault="00F83AFA" w:rsidP="00F83AFA">
      <w:pPr>
        <w:numPr>
          <w:ilvl w:val="0"/>
          <w:numId w:val="2"/>
        </w:numPr>
        <w:jc w:val="both"/>
        <w:rPr>
          <w:sz w:val="26"/>
          <w:szCs w:val="26"/>
        </w:rPr>
      </w:pPr>
      <w:r w:rsidRPr="00F83AFA">
        <w:rPr>
          <w:sz w:val="26"/>
          <w:szCs w:val="26"/>
        </w:rPr>
        <w:t>обеспечение деятельности МБУ «Зеленый город»;</w:t>
      </w:r>
    </w:p>
    <w:p w:rsidR="00F83AFA" w:rsidRPr="00F83AFA" w:rsidRDefault="00F83AFA" w:rsidP="00F83AFA">
      <w:pPr>
        <w:numPr>
          <w:ilvl w:val="0"/>
          <w:numId w:val="2"/>
        </w:numPr>
        <w:jc w:val="both"/>
        <w:rPr>
          <w:sz w:val="26"/>
          <w:szCs w:val="26"/>
        </w:rPr>
      </w:pPr>
      <w:r w:rsidRPr="00F83AFA">
        <w:rPr>
          <w:sz w:val="26"/>
          <w:szCs w:val="26"/>
        </w:rPr>
        <w:t>сбор, транспортировка и размещение твердых бытовых отходов с общегородских территорий;</w:t>
      </w:r>
    </w:p>
    <w:p w:rsidR="00F83AFA" w:rsidRPr="00F83AFA" w:rsidRDefault="00F83AFA" w:rsidP="00F83AFA">
      <w:pPr>
        <w:numPr>
          <w:ilvl w:val="0"/>
          <w:numId w:val="2"/>
        </w:numPr>
        <w:jc w:val="both"/>
        <w:rPr>
          <w:sz w:val="26"/>
          <w:szCs w:val="26"/>
        </w:rPr>
      </w:pPr>
      <w:r w:rsidRPr="00F83AFA">
        <w:rPr>
          <w:sz w:val="26"/>
          <w:szCs w:val="26"/>
        </w:rPr>
        <w:t>осуществление мероприятий в борьбе с борщевиком Сосновского;</w:t>
      </w:r>
    </w:p>
    <w:p w:rsidR="00F83AFA" w:rsidRPr="00F83AFA" w:rsidRDefault="00F83AFA" w:rsidP="00F83AFA">
      <w:pPr>
        <w:numPr>
          <w:ilvl w:val="0"/>
          <w:numId w:val="2"/>
        </w:numPr>
        <w:jc w:val="both"/>
        <w:rPr>
          <w:sz w:val="26"/>
          <w:szCs w:val="26"/>
        </w:rPr>
      </w:pPr>
      <w:r w:rsidRPr="00F83AFA">
        <w:rPr>
          <w:sz w:val="26"/>
          <w:szCs w:val="26"/>
        </w:rPr>
        <w:t>мероприятия по охране окружающей среды (ликвидация несанкционированных свалок, проведение работ по ликвидации накопленного вреда окружающей среде).</w:t>
      </w:r>
    </w:p>
    <w:p w:rsidR="00F83AFA" w:rsidRPr="00F83AFA" w:rsidRDefault="00F83AFA" w:rsidP="00F83AFA">
      <w:pPr>
        <w:numPr>
          <w:ilvl w:val="0"/>
          <w:numId w:val="2"/>
        </w:numPr>
        <w:jc w:val="both"/>
        <w:rPr>
          <w:sz w:val="26"/>
          <w:szCs w:val="26"/>
        </w:rPr>
      </w:pPr>
      <w:r w:rsidRPr="00F83AFA">
        <w:rPr>
          <w:sz w:val="26"/>
          <w:szCs w:val="26"/>
        </w:rPr>
        <w:t>Обустройство детской площадки по адресу: г. Приозерск, ул. Суворова, д.34, 36, 38, 40, 42</w:t>
      </w:r>
    </w:p>
    <w:p w:rsidR="00F83AFA" w:rsidRPr="00F83AFA" w:rsidRDefault="00F83AFA" w:rsidP="00F83AFA">
      <w:pPr>
        <w:numPr>
          <w:ilvl w:val="0"/>
          <w:numId w:val="2"/>
        </w:numPr>
        <w:jc w:val="both"/>
        <w:rPr>
          <w:sz w:val="26"/>
          <w:szCs w:val="26"/>
        </w:rPr>
      </w:pPr>
      <w:r w:rsidRPr="00F83AFA">
        <w:rPr>
          <w:sz w:val="26"/>
          <w:szCs w:val="26"/>
        </w:rPr>
        <w:t>Реализация мероприятий по цифровизации городского хозяйства.</w:t>
      </w:r>
      <w:r w:rsidRPr="00F83AFA">
        <w:rPr>
          <w:sz w:val="26"/>
          <w:szCs w:val="26"/>
        </w:rPr>
        <w:tab/>
      </w:r>
    </w:p>
    <w:p w:rsidR="00F83AFA" w:rsidRPr="00F83AFA" w:rsidRDefault="00F83AFA" w:rsidP="00F83AFA">
      <w:pPr>
        <w:rPr>
          <w:sz w:val="26"/>
          <w:szCs w:val="26"/>
        </w:rPr>
      </w:pPr>
      <w:r w:rsidRPr="00F83AFA">
        <w:rPr>
          <w:sz w:val="26"/>
          <w:szCs w:val="26"/>
        </w:rPr>
        <w:tab/>
      </w:r>
    </w:p>
    <w:p w:rsidR="00F83AFA" w:rsidRPr="00F83AFA" w:rsidRDefault="00F83AFA" w:rsidP="00F83AFA">
      <w:pPr>
        <w:ind w:firstLine="709"/>
        <w:jc w:val="center"/>
        <w:rPr>
          <w:sz w:val="26"/>
          <w:szCs w:val="26"/>
        </w:rPr>
      </w:pPr>
      <w:r w:rsidRPr="00F83AFA">
        <w:rPr>
          <w:sz w:val="26"/>
          <w:szCs w:val="26"/>
        </w:rPr>
        <w:t>Финансирование Программы за 2025 г. составило:</w:t>
      </w:r>
    </w:p>
    <w:p w:rsidR="00F83AFA" w:rsidRPr="00F83AFA" w:rsidRDefault="00F83AFA" w:rsidP="00F83AFA">
      <w:pPr>
        <w:ind w:firstLine="709"/>
        <w:jc w:val="center"/>
        <w:rPr>
          <w:sz w:val="26"/>
          <w:szCs w:val="26"/>
        </w:rPr>
      </w:pPr>
    </w:p>
    <w:tbl>
      <w:tblPr>
        <w:tblW w:w="1078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821"/>
        <w:gridCol w:w="59"/>
        <w:gridCol w:w="3061"/>
        <w:gridCol w:w="2268"/>
        <w:gridCol w:w="1985"/>
        <w:gridCol w:w="2416"/>
      </w:tblGrid>
      <w:tr w:rsidR="00F83AFA" w:rsidRPr="00F83AFA" w:rsidTr="008119B4">
        <w:trPr>
          <w:trHeight w:val="800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№ строки</w:t>
            </w:r>
          </w:p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Наименование плановых мероприятий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F83AFA" w:rsidRPr="00F83AFA" w:rsidTr="008119B4">
        <w:trPr>
          <w:trHeight w:val="600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планируемое</w:t>
            </w:r>
          </w:p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на текущий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фактическое</w:t>
            </w:r>
          </w:p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за отчетный период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rPr>
                <w:sz w:val="26"/>
                <w:szCs w:val="26"/>
                <w:lang w:eastAsia="en-US"/>
              </w:rPr>
            </w:pPr>
          </w:p>
        </w:tc>
      </w:tr>
      <w:tr w:rsidR="00F83AFA" w:rsidRPr="00F83AFA" w:rsidTr="008119B4"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F83AFA" w:rsidRPr="00F83AFA" w:rsidTr="008119B4">
        <w:tc>
          <w:tcPr>
            <w:tcW w:w="10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83AFA">
              <w:rPr>
                <w:b/>
                <w:sz w:val="26"/>
                <w:szCs w:val="26"/>
                <w:lang w:eastAsia="en-US"/>
              </w:rPr>
              <w:t>Комплекс процессных мероприятий</w:t>
            </w:r>
          </w:p>
        </w:tc>
      </w:tr>
      <w:tr w:rsidR="00F83AFA" w:rsidRPr="00F83AFA" w:rsidTr="008119B4">
        <w:tc>
          <w:tcPr>
            <w:tcW w:w="10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F83AFA" w:rsidRDefault="00C61A8C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1.</w:t>
            </w:r>
            <w:r w:rsidR="00F83AFA" w:rsidRPr="00F83AFA">
              <w:rPr>
                <w:b/>
                <w:sz w:val="26"/>
                <w:szCs w:val="26"/>
                <w:lang w:eastAsia="en-US"/>
              </w:rPr>
              <w:t xml:space="preserve">Комплекс процессных мероприятий «Совершенствование системы благоустройства» </w:t>
            </w:r>
          </w:p>
        </w:tc>
      </w:tr>
      <w:tr w:rsidR="00F83AFA" w:rsidRPr="00F83AFA" w:rsidTr="008119B4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C61A8C" w:rsidP="00F83AF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Субсидии</w:t>
            </w:r>
            <w:r w:rsidR="00F83AFA" w:rsidRPr="00F83AFA">
              <w:rPr>
                <w:sz w:val="26"/>
                <w:szCs w:val="26"/>
                <w:lang w:eastAsia="en-US"/>
              </w:rPr>
              <w:t xml:space="preserve"> МБУ «Зеленый </w:t>
            </w:r>
            <w:r w:rsidR="00F83AFA" w:rsidRPr="00F83AFA">
              <w:rPr>
                <w:sz w:val="26"/>
                <w:szCs w:val="26"/>
                <w:lang w:eastAsia="en-US"/>
              </w:rPr>
              <w:lastRenderedPageBreak/>
              <w:t>город»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lastRenderedPageBreak/>
              <w:t>43</w:t>
            </w:r>
            <w:r w:rsidR="007138E1">
              <w:rPr>
                <w:sz w:val="26"/>
                <w:szCs w:val="26"/>
                <w:lang w:eastAsia="en-US"/>
              </w:rPr>
              <w:t> </w:t>
            </w:r>
            <w:r w:rsidRPr="00F83AFA">
              <w:rPr>
                <w:sz w:val="26"/>
                <w:szCs w:val="26"/>
                <w:lang w:eastAsia="en-US"/>
              </w:rPr>
              <w:t>7</w:t>
            </w:r>
            <w:r w:rsidR="007138E1">
              <w:rPr>
                <w:sz w:val="26"/>
                <w:szCs w:val="26"/>
                <w:lang w:eastAsia="en-US"/>
              </w:rPr>
              <w:t>50,0</w:t>
            </w:r>
            <w:r w:rsidRPr="00F83AFA">
              <w:rPr>
                <w:sz w:val="26"/>
                <w:szCs w:val="26"/>
                <w:lang w:eastAsia="en-US"/>
              </w:rPr>
              <w:t xml:space="preserve"> в т. ч.:</w:t>
            </w:r>
          </w:p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lastRenderedPageBreak/>
              <w:t>ОБ – 0;</w:t>
            </w:r>
          </w:p>
          <w:p w:rsidR="00F83AFA" w:rsidRPr="00F83AFA" w:rsidRDefault="00F83AFA" w:rsidP="00713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МБ – 43 7</w:t>
            </w:r>
            <w:r w:rsidR="007138E1">
              <w:rPr>
                <w:sz w:val="26"/>
                <w:szCs w:val="26"/>
                <w:lang w:eastAsia="en-US"/>
              </w:rPr>
              <w:t>50</w:t>
            </w:r>
            <w:r w:rsidRPr="00F83AFA">
              <w:rPr>
                <w:sz w:val="26"/>
                <w:szCs w:val="26"/>
                <w:lang w:eastAsia="en-US"/>
              </w:rPr>
              <w:t>,</w:t>
            </w:r>
            <w:r w:rsidR="007138E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lastRenderedPageBreak/>
              <w:t>43</w:t>
            </w:r>
            <w:r w:rsidR="007138E1">
              <w:rPr>
                <w:sz w:val="26"/>
                <w:szCs w:val="26"/>
                <w:lang w:eastAsia="en-US"/>
              </w:rPr>
              <w:t> </w:t>
            </w:r>
            <w:r w:rsidRPr="00F83AFA">
              <w:rPr>
                <w:sz w:val="26"/>
                <w:szCs w:val="26"/>
                <w:lang w:eastAsia="en-US"/>
              </w:rPr>
              <w:t>7</w:t>
            </w:r>
            <w:r w:rsidR="007138E1">
              <w:rPr>
                <w:sz w:val="26"/>
                <w:szCs w:val="26"/>
                <w:lang w:eastAsia="en-US"/>
              </w:rPr>
              <w:t>50,0</w:t>
            </w:r>
            <w:r w:rsidR="00425EF7">
              <w:rPr>
                <w:sz w:val="26"/>
                <w:szCs w:val="26"/>
                <w:lang w:eastAsia="en-US"/>
              </w:rPr>
              <w:t xml:space="preserve"> </w:t>
            </w:r>
            <w:r w:rsidRPr="00F83AFA">
              <w:rPr>
                <w:sz w:val="26"/>
                <w:szCs w:val="26"/>
                <w:lang w:eastAsia="en-US"/>
              </w:rPr>
              <w:t>в т. ч.:</w:t>
            </w:r>
          </w:p>
          <w:p w:rsidR="00F83AFA" w:rsidRPr="00F83AFA" w:rsidRDefault="00F83A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lastRenderedPageBreak/>
              <w:t xml:space="preserve">ОБ – 0; </w:t>
            </w:r>
          </w:p>
          <w:p w:rsidR="00F83AFA" w:rsidRPr="00F83AFA" w:rsidRDefault="00F83AFA" w:rsidP="00713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МБ – 43 7</w:t>
            </w:r>
            <w:r w:rsidR="007138E1">
              <w:rPr>
                <w:sz w:val="26"/>
                <w:szCs w:val="26"/>
                <w:lang w:eastAsia="en-US"/>
              </w:rPr>
              <w:t>50</w:t>
            </w:r>
            <w:r w:rsidRPr="00F83AFA">
              <w:rPr>
                <w:sz w:val="26"/>
                <w:szCs w:val="26"/>
                <w:lang w:eastAsia="en-US"/>
              </w:rPr>
              <w:t>,</w:t>
            </w:r>
            <w:r w:rsidR="007138E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A" w:rsidRPr="00F83AFA" w:rsidRDefault="00F83AFA" w:rsidP="00F83A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lastRenderedPageBreak/>
              <w:t>100%</w:t>
            </w:r>
          </w:p>
        </w:tc>
      </w:tr>
      <w:tr w:rsidR="004279FA" w:rsidRPr="00F83AFA" w:rsidTr="008119B4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83AFA" w:rsidRDefault="004279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lastRenderedPageBreak/>
              <w:t>1.2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83AFA" w:rsidRDefault="00C61A8C" w:rsidP="00C61A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Обустройство и ремонт сетей</w:t>
            </w:r>
            <w:r w:rsidR="004279FA" w:rsidRPr="00F83AFA">
              <w:rPr>
                <w:sz w:val="26"/>
                <w:szCs w:val="26"/>
                <w:lang w:eastAsia="en-US"/>
              </w:rPr>
              <w:t xml:space="preserve"> улично</w:t>
            </w:r>
            <w:r>
              <w:rPr>
                <w:sz w:val="26"/>
                <w:szCs w:val="26"/>
                <w:lang w:eastAsia="en-US"/>
              </w:rPr>
              <w:t>го</w:t>
            </w:r>
            <w:r w:rsidR="004279FA" w:rsidRPr="00F83AFA">
              <w:rPr>
                <w:sz w:val="26"/>
                <w:szCs w:val="26"/>
                <w:lang w:eastAsia="en-US"/>
              </w:rPr>
              <w:t xml:space="preserve"> освещени</w:t>
            </w:r>
            <w:r>
              <w:rPr>
                <w:sz w:val="26"/>
                <w:szCs w:val="26"/>
                <w:lang w:eastAsia="en-US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7C61A6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9 631,5</w:t>
            </w:r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т.ч</w:t>
            </w:r>
            <w:proofErr w:type="spellEnd"/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.:</w:t>
            </w:r>
          </w:p>
          <w:p w:rsidR="004279FA" w:rsidRPr="007C61A6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</w:t>
            </w:r>
          </w:p>
          <w:p w:rsidR="004279FA" w:rsidRPr="007C61A6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МБ – </w:t>
            </w:r>
            <w:r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631,5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7C61A6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9 313,2</w:t>
            </w:r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т.ч</w:t>
            </w:r>
            <w:proofErr w:type="spellEnd"/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.:</w:t>
            </w:r>
          </w:p>
          <w:p w:rsidR="004279FA" w:rsidRPr="007C61A6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0,0</w:t>
            </w:r>
          </w:p>
          <w:p w:rsidR="004279FA" w:rsidRPr="007C61A6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C61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МБ – </w:t>
            </w:r>
            <w:r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F4FA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313,1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83AFA" w:rsidRDefault="007138E1" w:rsidP="00F83A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138E1">
              <w:rPr>
                <w:sz w:val="26"/>
                <w:szCs w:val="26"/>
              </w:rPr>
              <w:t xml:space="preserve">96,7 </w:t>
            </w:r>
            <w:r w:rsidR="004279FA" w:rsidRPr="007138E1">
              <w:rPr>
                <w:sz w:val="26"/>
                <w:szCs w:val="26"/>
              </w:rPr>
              <w:t>%</w:t>
            </w:r>
          </w:p>
        </w:tc>
      </w:tr>
      <w:tr w:rsidR="004279FA" w:rsidRPr="00F83AFA" w:rsidTr="008119B4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83AFA" w:rsidRDefault="004279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Default="004279FA" w:rsidP="00EB10D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Прочие мероприятия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B3754" w:rsidRDefault="007138E1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33 032,2</w:t>
            </w:r>
            <w:r w:rsidR="004279FA"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4279FA"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т.ч</w:t>
            </w:r>
            <w:proofErr w:type="spellEnd"/>
            <w:r w:rsidR="004279FA"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.:</w:t>
            </w:r>
          </w:p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0,0;</w:t>
            </w:r>
          </w:p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МБ – </w:t>
            </w:r>
            <w:r w:rsidR="007138E1" w:rsidRPr="007138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33 032,2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0A089C" w:rsidRDefault="007138E1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32 098,9 </w:t>
            </w:r>
            <w:r w:rsidR="004279FA"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="004279FA"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т.ч</w:t>
            </w:r>
            <w:proofErr w:type="spellEnd"/>
            <w:r w:rsidR="004279FA"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.:</w:t>
            </w:r>
          </w:p>
          <w:p w:rsidR="004279FA" w:rsidRPr="000A089C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0,0;</w:t>
            </w:r>
          </w:p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8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МБ – </w:t>
            </w:r>
            <w:r w:rsidR="007138E1" w:rsidRPr="007138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32 098,9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B3754" w:rsidRDefault="004279FA" w:rsidP="007138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138E1">
              <w:rPr>
                <w:sz w:val="26"/>
                <w:szCs w:val="26"/>
              </w:rPr>
              <w:t>9</w:t>
            </w:r>
            <w:r w:rsidR="007138E1" w:rsidRPr="007138E1">
              <w:rPr>
                <w:sz w:val="26"/>
                <w:szCs w:val="26"/>
              </w:rPr>
              <w:t xml:space="preserve">7,2 </w:t>
            </w:r>
            <w:r w:rsidRPr="007138E1">
              <w:rPr>
                <w:sz w:val="26"/>
                <w:szCs w:val="26"/>
              </w:rPr>
              <w:t>%</w:t>
            </w:r>
          </w:p>
        </w:tc>
      </w:tr>
      <w:tr w:rsidR="004279FA" w:rsidRPr="00F83AFA" w:rsidTr="008119B4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83AFA" w:rsidRDefault="004279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83AFA">
              <w:rPr>
                <w:sz w:val="26"/>
                <w:szCs w:val="26"/>
                <w:lang w:eastAsia="en-US"/>
              </w:rPr>
              <w:t>1.4</w:t>
            </w:r>
            <w:r w:rsidR="00C61A8C">
              <w:rPr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Default="004279FA" w:rsidP="00EB10D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Обустройство детской площадки по адресу: г. Приозерск, ул. Суворова, д.34, 36, 38, 40,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6 000,0 в </w:t>
            </w:r>
            <w:proofErr w:type="spellStart"/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т.ч</w:t>
            </w:r>
            <w:proofErr w:type="spellEnd"/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.:</w:t>
            </w:r>
          </w:p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5 700,0;</w:t>
            </w:r>
          </w:p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МБ – 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000,0 в </w:t>
            </w:r>
            <w:proofErr w:type="spellStart"/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т.ч</w:t>
            </w:r>
            <w:proofErr w:type="spellEnd"/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.:</w:t>
            </w:r>
          </w:p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700,0;</w:t>
            </w:r>
          </w:p>
          <w:p w:rsidR="004279FA" w:rsidRPr="00FB3754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37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МБ – 300,0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B3754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3754">
              <w:rPr>
                <w:sz w:val="26"/>
                <w:szCs w:val="26"/>
              </w:rPr>
              <w:t>100%</w:t>
            </w:r>
          </w:p>
        </w:tc>
      </w:tr>
      <w:tr w:rsidR="004279FA" w:rsidRPr="00F83AFA" w:rsidTr="00FA6D3E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FA" w:rsidRPr="00F83AFA" w:rsidRDefault="004279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FA" w:rsidRPr="00F83AFA" w:rsidRDefault="004279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83AFA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221A95" w:rsidRDefault="007138E1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92 413,7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221A95" w:rsidRDefault="007138E1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91 </w:t>
            </w:r>
            <w:r w:rsidR="00AF4FA6" w:rsidRPr="00221A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162,0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7138E1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98,6 </w:t>
            </w:r>
            <w:r w:rsidR="00425EF7">
              <w:rPr>
                <w:b/>
                <w:sz w:val="26"/>
                <w:szCs w:val="26"/>
              </w:rPr>
              <w:t>%</w:t>
            </w:r>
          </w:p>
        </w:tc>
      </w:tr>
      <w:tr w:rsidR="00F83AFA" w:rsidRPr="00F83AFA" w:rsidTr="008119B4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A" w:rsidRPr="00221A95" w:rsidRDefault="00C61A8C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C00CF7" w:rsidRPr="00221A95">
              <w:rPr>
                <w:b/>
                <w:sz w:val="26"/>
                <w:szCs w:val="26"/>
              </w:rPr>
              <w:t>Комплекс процессных мероприятий «Охрана окружающей среды»</w:t>
            </w:r>
          </w:p>
        </w:tc>
      </w:tr>
      <w:tr w:rsidR="004279FA" w:rsidRPr="00F83AFA" w:rsidTr="00C00CF7">
        <w:trPr>
          <w:trHeight w:val="1896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13E07"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autoSpaceDE w:val="0"/>
              <w:autoSpaceDN w:val="0"/>
              <w:adjustRightInd w:val="0"/>
              <w:ind w:right="6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Ликвидация несанкционированных свалок, сбор и вывоз ТКО после субботников, сбор и вывоз строительного мусора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221A95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279FA" w:rsidRPr="00221A95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2 931,</w:t>
            </w:r>
            <w:r w:rsidR="00491B6B"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т. ч.:</w:t>
            </w:r>
          </w:p>
          <w:p w:rsidR="004279FA" w:rsidRPr="00221A95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0,0;</w:t>
            </w:r>
          </w:p>
          <w:p w:rsidR="004279FA" w:rsidRPr="00221A95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МБ – 2</w:t>
            </w:r>
            <w:r w:rsidR="00491B6B"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</w:t>
            </w:r>
            <w:r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93</w:t>
            </w:r>
            <w:r w:rsidR="00491B6B"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1,9</w:t>
            </w:r>
          </w:p>
          <w:p w:rsidR="004279FA" w:rsidRPr="00221A95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221A95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2 915,9 в т. ч.:</w:t>
            </w:r>
          </w:p>
          <w:p w:rsidR="004279FA" w:rsidRPr="00221A95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0,0;</w:t>
            </w:r>
          </w:p>
          <w:p w:rsidR="004279FA" w:rsidRPr="00221A95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21A95">
              <w:rPr>
                <w:sz w:val="26"/>
                <w:szCs w:val="26"/>
                <w:lang w:eastAsia="en-US"/>
              </w:rPr>
              <w:t>МБ – 2 915,9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99,5  </w:t>
            </w:r>
            <w:r w:rsidRPr="00A13E07">
              <w:rPr>
                <w:sz w:val="26"/>
                <w:szCs w:val="26"/>
              </w:rPr>
              <w:t>%</w:t>
            </w:r>
          </w:p>
        </w:tc>
      </w:tr>
      <w:tr w:rsidR="004279FA" w:rsidRPr="00F83AFA" w:rsidTr="00613497">
        <w:trPr>
          <w:trHeight w:val="421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13E07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221A95" w:rsidRDefault="004279FA" w:rsidP="00491B6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1A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2 931,</w:t>
            </w:r>
            <w:r w:rsidR="00491B6B" w:rsidRPr="00221A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221A95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221A95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2 915,9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99,5 %</w:t>
            </w:r>
          </w:p>
        </w:tc>
      </w:tr>
      <w:tr w:rsidR="00C00CF7" w:rsidRPr="00F83AFA" w:rsidTr="004C7019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F7" w:rsidRPr="004279FA" w:rsidRDefault="00C61A8C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C00CF7" w:rsidRPr="004279FA">
              <w:rPr>
                <w:b/>
                <w:sz w:val="26"/>
                <w:szCs w:val="26"/>
              </w:rPr>
              <w:t>Комплекс процессных мероприятий «Реализация функций в сфере обращения с отходами»</w:t>
            </w:r>
          </w:p>
        </w:tc>
      </w:tr>
      <w:tr w:rsidR="004279FA" w:rsidRPr="00F83AFA" w:rsidTr="00BA50D8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13E07">
              <w:rPr>
                <w:rFonts w:ascii="Times New Roman" w:hAnsi="Times New Roman" w:cs="Times New Roman"/>
                <w:sz w:val="26"/>
                <w:szCs w:val="26"/>
              </w:rPr>
              <w:t xml:space="preserve">Сбор, вывоз, утилизация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твердых коммунальных отходов с </w:t>
            </w:r>
            <w:r w:rsidRPr="00A13E07">
              <w:rPr>
                <w:rFonts w:ascii="Times New Roman" w:hAnsi="Times New Roman" w:cs="Times New Roman"/>
                <w:sz w:val="26"/>
                <w:szCs w:val="26"/>
              </w:rPr>
              <w:t>общегородских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279FA" w:rsidRPr="00A13E07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</w:t>
            </w: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45,0</w:t>
            </w: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т. ч.:</w:t>
            </w:r>
          </w:p>
          <w:p w:rsidR="004279FA" w:rsidRPr="00A13E07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</w:t>
            </w: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4279FA" w:rsidRPr="00A13E07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МБ – 1 045</w:t>
            </w: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4279FA" w:rsidRPr="00A13E07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CB523A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279FA" w:rsidRPr="00EB1288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12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443,8 в т. ч.:</w:t>
            </w:r>
          </w:p>
          <w:p w:rsidR="004279FA" w:rsidRPr="00EB1288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12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0,0;</w:t>
            </w:r>
          </w:p>
          <w:p w:rsidR="004279FA" w:rsidRPr="00CB523A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12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МБ – 443,8</w:t>
            </w:r>
          </w:p>
          <w:p w:rsidR="004279FA" w:rsidRPr="00CB523A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CB523A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42,4</w:t>
            </w:r>
            <w:r w:rsidRPr="00CB523A">
              <w:rPr>
                <w:sz w:val="26"/>
                <w:szCs w:val="26"/>
              </w:rPr>
              <w:t>%</w:t>
            </w:r>
          </w:p>
        </w:tc>
      </w:tr>
      <w:tr w:rsidR="004279FA" w:rsidRPr="00F83AFA" w:rsidTr="0035534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FA" w:rsidRPr="00F83AFA" w:rsidRDefault="004279FA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83AFA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1 045</w:t>
            </w:r>
            <w:r w:rsidRPr="00A13E0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F603B0" w:rsidRDefault="004279FA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B128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443,8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A13E07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42,4 %</w:t>
            </w:r>
          </w:p>
        </w:tc>
      </w:tr>
      <w:tr w:rsidR="00C00CF7" w:rsidRPr="00F83AFA" w:rsidTr="00F83BCB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F7" w:rsidRPr="00A13E07" w:rsidRDefault="00C00CF7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13E07">
              <w:rPr>
                <w:b/>
                <w:sz w:val="26"/>
                <w:szCs w:val="26"/>
              </w:rPr>
              <w:t>Отраслевые проекты</w:t>
            </w:r>
          </w:p>
        </w:tc>
      </w:tr>
      <w:tr w:rsidR="00C00CF7" w:rsidRPr="00F83AFA" w:rsidTr="00F83BCB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F7" w:rsidRPr="00A13E07" w:rsidRDefault="00C61A8C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C00CF7">
              <w:rPr>
                <w:b/>
                <w:sz w:val="26"/>
                <w:szCs w:val="26"/>
              </w:rPr>
              <w:t xml:space="preserve">Отраслевой проект «Благоустройство сельских территорий» </w:t>
            </w:r>
          </w:p>
        </w:tc>
      </w:tr>
      <w:tr w:rsidR="004279FA" w:rsidRPr="00F83AFA" w:rsidTr="00BE4C6D"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753B9B" w:rsidRDefault="00C61A8C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79FA" w:rsidRPr="00753B9B">
              <w:rPr>
                <w:sz w:val="26"/>
                <w:szCs w:val="26"/>
              </w:rPr>
              <w:t>.1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753B9B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мероприятий по борьбе с борщевиком Сосновского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 ,0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4279FA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– 0,0;</w:t>
            </w:r>
          </w:p>
          <w:p w:rsidR="004279FA" w:rsidRPr="00753B9B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 – 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753B9B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  <w:r w:rsidRPr="00753B9B">
              <w:rPr>
                <w:sz w:val="26"/>
                <w:szCs w:val="26"/>
              </w:rPr>
              <w:t xml:space="preserve">,0 в </w:t>
            </w:r>
            <w:proofErr w:type="spellStart"/>
            <w:r w:rsidRPr="00753B9B">
              <w:rPr>
                <w:sz w:val="26"/>
                <w:szCs w:val="26"/>
              </w:rPr>
              <w:t>т.ч</w:t>
            </w:r>
            <w:proofErr w:type="spellEnd"/>
            <w:r w:rsidRPr="00753B9B">
              <w:rPr>
                <w:sz w:val="26"/>
                <w:szCs w:val="26"/>
              </w:rPr>
              <w:t>.:</w:t>
            </w:r>
          </w:p>
          <w:p w:rsidR="004279FA" w:rsidRPr="00753B9B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3B9B">
              <w:rPr>
                <w:sz w:val="26"/>
                <w:szCs w:val="26"/>
              </w:rPr>
              <w:t>ОБ – 0,0;</w:t>
            </w:r>
          </w:p>
          <w:p w:rsidR="004279FA" w:rsidRPr="00753B9B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 – 79</w:t>
            </w:r>
            <w:r w:rsidRPr="00753B9B">
              <w:rPr>
                <w:sz w:val="26"/>
                <w:szCs w:val="26"/>
              </w:rPr>
              <w:t>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753B9B" w:rsidRDefault="004279FA" w:rsidP="00EB10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4279FA" w:rsidRPr="00F83AFA" w:rsidTr="00D56B2F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EB1288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B1288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EB1288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EB1288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FA" w:rsidRPr="00EB1288" w:rsidRDefault="004279FA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100 %</w:t>
            </w:r>
          </w:p>
        </w:tc>
      </w:tr>
      <w:tr w:rsidR="00DE0050" w:rsidRPr="00F83AFA" w:rsidTr="0070791B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50" w:rsidRPr="00524CAC" w:rsidRDefault="00C61A8C" w:rsidP="00EB10D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DE0050" w:rsidRPr="00524CAC">
              <w:rPr>
                <w:b/>
                <w:sz w:val="26"/>
                <w:szCs w:val="26"/>
              </w:rPr>
              <w:t>Отраслевой проект «Благоустройство общественных, дворовых пространств и цифровизация городского хозяйства»</w:t>
            </w:r>
          </w:p>
        </w:tc>
      </w:tr>
      <w:tr w:rsidR="00DE0050" w:rsidRPr="00F83AFA" w:rsidTr="00900865"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50" w:rsidRPr="00A13E07" w:rsidRDefault="00C61A8C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bookmarkStart w:id="0" w:name="_GoBack"/>
            <w:bookmarkEnd w:id="0"/>
            <w:r w:rsidR="00DE0050"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50" w:rsidRPr="00A13E07" w:rsidRDefault="00DE0050" w:rsidP="00EB10D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мероприятий по цифровизации городского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50" w:rsidRPr="00A13E07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478,3</w:t>
            </w: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т. ч.:</w:t>
            </w:r>
          </w:p>
          <w:p w:rsidR="00DE0050" w:rsidRPr="00A13E07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440,0</w:t>
            </w:r>
            <w:r w:rsidRPr="00A13E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DE0050" w:rsidRPr="00A13E07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МБ – 38,3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50" w:rsidRPr="00520626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206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478,3 в т. ч.:</w:t>
            </w:r>
          </w:p>
          <w:p w:rsidR="00DE0050" w:rsidRPr="00520626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206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– 440,0;</w:t>
            </w:r>
          </w:p>
          <w:p w:rsidR="00DE0050" w:rsidRPr="00A13E07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206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МБ – 38,3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50" w:rsidRPr="00A13E07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E0050" w:rsidRPr="008B0914" w:rsidRDefault="00DE0050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B091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100%</w:t>
            </w:r>
          </w:p>
        </w:tc>
      </w:tr>
      <w:tr w:rsidR="00524CAC" w:rsidRPr="00F83AFA" w:rsidTr="00CE426A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A13E07" w:rsidRDefault="00524CAC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13E0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A13E07" w:rsidRDefault="00524CAC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478,3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A13E07" w:rsidRDefault="00524CAC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478,3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A13E07" w:rsidRDefault="00524CAC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524CAC" w:rsidRPr="00F83AFA" w:rsidTr="008119B4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F83AFA" w:rsidRDefault="00524CAC" w:rsidP="00F83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83AFA">
              <w:rPr>
                <w:b/>
                <w:sz w:val="26"/>
                <w:szCs w:val="26"/>
                <w:lang w:eastAsia="en-US"/>
              </w:rPr>
              <w:t>Итого по программе: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D420A2" w:rsidRDefault="00425EF7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F4FA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96 947,9</w:t>
            </w:r>
            <w:r w:rsidR="00524CAC" w:rsidRPr="00D420A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в т. ч. </w:t>
            </w:r>
          </w:p>
          <w:p w:rsidR="00524CAC" w:rsidRPr="00D420A2" w:rsidRDefault="00524CAC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420A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 – 6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 140,0</w:t>
            </w:r>
          </w:p>
          <w:p w:rsidR="00524CAC" w:rsidRPr="006E6DA2" w:rsidRDefault="00524CAC" w:rsidP="00425EF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eastAsia="en-US"/>
              </w:rPr>
            </w:pPr>
            <w:r w:rsidRPr="00D420A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МБ –</w:t>
            </w:r>
            <w:r w:rsidR="00425EF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90 807,9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69549B" w:rsidRDefault="00425EF7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95 079,</w:t>
            </w:r>
            <w:r w:rsidR="00AF4FA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="00524CAC" w:rsidRPr="0069549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 т. ч.</w:t>
            </w:r>
          </w:p>
          <w:p w:rsidR="00524CAC" w:rsidRPr="0069549B" w:rsidRDefault="00524CAC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69549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 – 6 140,0</w:t>
            </w:r>
          </w:p>
          <w:p w:rsidR="00524CAC" w:rsidRPr="00CE3711" w:rsidRDefault="00524CAC" w:rsidP="00425EF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D117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МБ – </w:t>
            </w:r>
            <w:r w:rsidR="00425EF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88 939,0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C" w:rsidRPr="00A13E07" w:rsidRDefault="00524CAC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24CAC" w:rsidRPr="00A13E07" w:rsidRDefault="00425EF7" w:rsidP="00EB10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98,1</w:t>
            </w:r>
          </w:p>
        </w:tc>
      </w:tr>
      <w:tr w:rsidR="00315E92" w:rsidRPr="00315E92" w:rsidTr="008119B4">
        <w:trPr>
          <w:gridAfter w:val="6"/>
          <w:wAfter w:w="10610" w:type="dxa"/>
        </w:trPr>
        <w:tc>
          <w:tcPr>
            <w:tcW w:w="170" w:type="dxa"/>
            <w:vAlign w:val="center"/>
          </w:tcPr>
          <w:p w:rsidR="00F83AFA" w:rsidRPr="00315E92" w:rsidRDefault="00F83AFA" w:rsidP="00F83A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F83AFA" w:rsidRPr="00F83AFA" w:rsidRDefault="00F83AFA" w:rsidP="00F83AFA">
      <w:pPr>
        <w:ind w:firstLine="709"/>
        <w:jc w:val="both"/>
        <w:rPr>
          <w:color w:val="FF0000"/>
          <w:sz w:val="26"/>
          <w:szCs w:val="26"/>
        </w:rPr>
        <w:sectPr w:rsidR="00F83AFA" w:rsidRPr="00F83AFA" w:rsidSect="000E7557">
          <w:pgSz w:w="11906" w:h="16838"/>
          <w:pgMar w:top="851" w:right="567" w:bottom="993" w:left="993" w:header="709" w:footer="709" w:gutter="0"/>
          <w:cols w:space="708"/>
          <w:docGrid w:linePitch="360"/>
        </w:sectPr>
      </w:pPr>
      <w:r w:rsidRPr="00315E92">
        <w:rPr>
          <w:color w:val="FF0000"/>
          <w:sz w:val="26"/>
          <w:szCs w:val="26"/>
        </w:rPr>
        <w:t xml:space="preserve"> </w:t>
      </w:r>
      <w:r w:rsidRPr="00F83AFA">
        <w:rPr>
          <w:sz w:val="26"/>
          <w:szCs w:val="26"/>
        </w:rPr>
        <w:t xml:space="preserve">Общее финансирование программы составило </w:t>
      </w:r>
      <w:r w:rsidR="00425EF7">
        <w:rPr>
          <w:sz w:val="26"/>
          <w:szCs w:val="26"/>
        </w:rPr>
        <w:t>98,1</w:t>
      </w:r>
      <w:r w:rsidRPr="00F83AFA">
        <w:rPr>
          <w:sz w:val="26"/>
          <w:szCs w:val="26"/>
        </w:rPr>
        <w:t xml:space="preserve"> %.</w:t>
      </w:r>
    </w:p>
    <w:p w:rsidR="00F83AFA" w:rsidRPr="00F83AFA" w:rsidRDefault="00BA6FF0" w:rsidP="00BA6FF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83AFA" w:rsidRPr="00F83AFA">
        <w:rPr>
          <w:sz w:val="28"/>
          <w:szCs w:val="28"/>
        </w:rPr>
        <w:t>Полученные результаты реализации Программы.</w:t>
      </w:r>
    </w:p>
    <w:p w:rsidR="00F83AFA" w:rsidRPr="00F83AFA" w:rsidRDefault="00F83AFA" w:rsidP="00F83AFA">
      <w:pPr>
        <w:ind w:hanging="851"/>
        <w:jc w:val="both"/>
        <w:rPr>
          <w:sz w:val="28"/>
          <w:szCs w:val="28"/>
        </w:rPr>
      </w:pPr>
    </w:p>
    <w:p w:rsidR="00F83AFA" w:rsidRPr="00F83AFA" w:rsidRDefault="00F83AFA" w:rsidP="00F83AFA">
      <w:pPr>
        <w:ind w:hanging="851"/>
        <w:jc w:val="both"/>
        <w:rPr>
          <w:sz w:val="28"/>
          <w:szCs w:val="28"/>
        </w:rPr>
      </w:pPr>
    </w:p>
    <w:tbl>
      <w:tblPr>
        <w:tblW w:w="15548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4146"/>
        <w:gridCol w:w="1283"/>
        <w:gridCol w:w="2370"/>
        <w:gridCol w:w="1203"/>
        <w:gridCol w:w="2323"/>
        <w:gridCol w:w="3738"/>
      </w:tblGrid>
      <w:tr w:rsidR="00F83AFA" w:rsidRPr="00F83AFA" w:rsidTr="008119B4">
        <w:trPr>
          <w:trHeight w:val="372"/>
        </w:trPr>
        <w:tc>
          <w:tcPr>
            <w:tcW w:w="485" w:type="dxa"/>
            <w:vMerge w:val="restart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N п/п</w:t>
            </w:r>
          </w:p>
        </w:tc>
        <w:tc>
          <w:tcPr>
            <w:tcW w:w="4146" w:type="dxa"/>
            <w:vMerge w:val="restart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283" w:type="dxa"/>
            <w:vMerge w:val="restart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5896" w:type="dxa"/>
            <w:gridSpan w:val="3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3738" w:type="dxa"/>
            <w:vMerge w:val="restart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Обоснование отклонений значений показателя (индикатора)</w:t>
            </w:r>
          </w:p>
        </w:tc>
      </w:tr>
      <w:tr w:rsidR="00F83AFA" w:rsidRPr="00F83AFA" w:rsidTr="008119B4">
        <w:trPr>
          <w:trHeight w:val="147"/>
        </w:trPr>
        <w:tc>
          <w:tcPr>
            <w:tcW w:w="485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46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vMerge w:val="restart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Год, предшествующий отчетному</w:t>
            </w:r>
          </w:p>
        </w:tc>
        <w:tc>
          <w:tcPr>
            <w:tcW w:w="3526" w:type="dxa"/>
            <w:gridSpan w:val="2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738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3AFA" w:rsidRPr="00F83AFA" w:rsidTr="008119B4">
        <w:trPr>
          <w:trHeight w:val="147"/>
        </w:trPr>
        <w:tc>
          <w:tcPr>
            <w:tcW w:w="485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46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План</w:t>
            </w:r>
          </w:p>
        </w:tc>
        <w:tc>
          <w:tcPr>
            <w:tcW w:w="2323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 xml:space="preserve">Факт </w:t>
            </w:r>
          </w:p>
        </w:tc>
        <w:tc>
          <w:tcPr>
            <w:tcW w:w="3738" w:type="dxa"/>
            <w:vMerge/>
          </w:tcPr>
          <w:p w:rsidR="00F83AFA" w:rsidRPr="00F83AFA" w:rsidRDefault="00F83AFA" w:rsidP="00F83AFA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3AFA" w:rsidRPr="00F83AFA" w:rsidTr="008119B4">
        <w:trPr>
          <w:trHeight w:val="290"/>
        </w:trPr>
        <w:tc>
          <w:tcPr>
            <w:tcW w:w="485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2</w:t>
            </w:r>
          </w:p>
        </w:tc>
        <w:tc>
          <w:tcPr>
            <w:tcW w:w="1283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3</w:t>
            </w:r>
          </w:p>
        </w:tc>
        <w:tc>
          <w:tcPr>
            <w:tcW w:w="2370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5</w:t>
            </w:r>
          </w:p>
        </w:tc>
        <w:tc>
          <w:tcPr>
            <w:tcW w:w="2323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6</w:t>
            </w:r>
          </w:p>
        </w:tc>
        <w:tc>
          <w:tcPr>
            <w:tcW w:w="3738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7</w:t>
            </w:r>
          </w:p>
        </w:tc>
      </w:tr>
      <w:tr w:rsidR="00F83AFA" w:rsidRPr="00F83AFA" w:rsidTr="008119B4">
        <w:trPr>
          <w:trHeight w:val="275"/>
        </w:trPr>
        <w:tc>
          <w:tcPr>
            <w:tcW w:w="485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63" w:type="dxa"/>
            <w:gridSpan w:val="6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3AFA">
              <w:rPr>
                <w:b/>
                <w:sz w:val="28"/>
                <w:szCs w:val="28"/>
              </w:rPr>
              <w:t>Программа «Благоустройство городских территорий Приозерского городского поселения»</w:t>
            </w:r>
          </w:p>
        </w:tc>
      </w:tr>
      <w:tr w:rsidR="00F83AFA" w:rsidRPr="00F83AFA" w:rsidTr="008119B4">
        <w:trPr>
          <w:trHeight w:val="290"/>
        </w:trPr>
        <w:tc>
          <w:tcPr>
            <w:tcW w:w="485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Оборудование места массового отдыха населения у воды</w:t>
            </w:r>
          </w:p>
        </w:tc>
        <w:tc>
          <w:tcPr>
            <w:tcW w:w="1283" w:type="dxa"/>
            <w:vAlign w:val="center"/>
          </w:tcPr>
          <w:p w:rsidR="00F83AFA" w:rsidRPr="00F83AFA" w:rsidRDefault="00315E92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6453B6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2370" w:type="dxa"/>
            <w:vAlign w:val="center"/>
          </w:tcPr>
          <w:p w:rsidR="00F83AFA" w:rsidRPr="00F83AFA" w:rsidRDefault="00491B6B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3" w:type="dxa"/>
            <w:vAlign w:val="center"/>
          </w:tcPr>
          <w:p w:rsidR="00F83AFA" w:rsidRPr="00F83AFA" w:rsidRDefault="006453B6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vAlign w:val="center"/>
          </w:tcPr>
          <w:p w:rsidR="00F83AFA" w:rsidRPr="00F83AFA" w:rsidRDefault="006453B6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8" w:type="dxa"/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100%</w:t>
            </w:r>
          </w:p>
        </w:tc>
      </w:tr>
      <w:tr w:rsidR="00F83AFA" w:rsidRPr="00F83AFA" w:rsidTr="008119B4">
        <w:trPr>
          <w:trHeight w:val="290"/>
        </w:trPr>
        <w:tc>
          <w:tcPr>
            <w:tcW w:w="485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283" w:type="dxa"/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шт.</w:t>
            </w:r>
          </w:p>
        </w:tc>
        <w:tc>
          <w:tcPr>
            <w:tcW w:w="2370" w:type="dxa"/>
            <w:vAlign w:val="center"/>
          </w:tcPr>
          <w:p w:rsidR="00F83AFA" w:rsidRPr="00F83AFA" w:rsidRDefault="00491B6B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3" w:type="dxa"/>
            <w:vAlign w:val="center"/>
          </w:tcPr>
          <w:p w:rsidR="00F83AFA" w:rsidRPr="00F83AFA" w:rsidRDefault="006453B6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vAlign w:val="center"/>
          </w:tcPr>
          <w:p w:rsidR="00F83AFA" w:rsidRPr="00F83AFA" w:rsidRDefault="006453B6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8" w:type="dxa"/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100%</w:t>
            </w:r>
          </w:p>
        </w:tc>
      </w:tr>
      <w:tr w:rsidR="00F83AFA" w:rsidRPr="00F83AFA" w:rsidTr="001C6784">
        <w:trPr>
          <w:trHeight w:val="1005"/>
        </w:trPr>
        <w:tc>
          <w:tcPr>
            <w:tcW w:w="485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3</w:t>
            </w:r>
          </w:p>
        </w:tc>
        <w:tc>
          <w:tcPr>
            <w:tcW w:w="4146" w:type="dxa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Площадь территории, освобожденной от борщевика Сосновского</w:t>
            </w:r>
          </w:p>
        </w:tc>
        <w:tc>
          <w:tcPr>
            <w:tcW w:w="1283" w:type="dxa"/>
            <w:vAlign w:val="center"/>
          </w:tcPr>
          <w:p w:rsidR="00F83AFA" w:rsidRPr="00F83AFA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3AFA">
              <w:rPr>
                <w:sz w:val="28"/>
                <w:szCs w:val="28"/>
              </w:rPr>
              <w:t>га</w:t>
            </w:r>
          </w:p>
        </w:tc>
        <w:tc>
          <w:tcPr>
            <w:tcW w:w="2370" w:type="dxa"/>
            <w:vAlign w:val="center"/>
          </w:tcPr>
          <w:p w:rsidR="00F83AFA" w:rsidRPr="006453B6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F83AFA" w:rsidRPr="006453B6" w:rsidRDefault="00491B6B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F83AFA" w:rsidRPr="006453B6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F83AFA" w:rsidRPr="006453B6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53B6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vAlign w:val="center"/>
          </w:tcPr>
          <w:p w:rsidR="00F83AFA" w:rsidRPr="006453B6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F83AFA" w:rsidRPr="006453B6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53B6">
              <w:rPr>
                <w:sz w:val="28"/>
                <w:szCs w:val="28"/>
              </w:rPr>
              <w:t>2</w:t>
            </w:r>
          </w:p>
        </w:tc>
        <w:tc>
          <w:tcPr>
            <w:tcW w:w="3738" w:type="dxa"/>
            <w:vAlign w:val="center"/>
          </w:tcPr>
          <w:p w:rsidR="00F83AFA" w:rsidRPr="00315E92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</w:p>
          <w:p w:rsidR="00F83AFA" w:rsidRPr="00315E92" w:rsidRDefault="00F83AFA" w:rsidP="00F83A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6453B6">
              <w:rPr>
                <w:sz w:val="28"/>
                <w:szCs w:val="28"/>
              </w:rPr>
              <w:t>100%</w:t>
            </w:r>
          </w:p>
        </w:tc>
      </w:tr>
      <w:tr w:rsidR="001C6784" w:rsidRPr="00F83AFA" w:rsidTr="00104635">
        <w:trPr>
          <w:trHeight w:val="290"/>
        </w:trPr>
        <w:tc>
          <w:tcPr>
            <w:tcW w:w="485" w:type="dxa"/>
          </w:tcPr>
          <w:p w:rsidR="001C6784" w:rsidRPr="001C6784" w:rsidRDefault="001C6784" w:rsidP="009073AF">
            <w:pPr>
              <w:rPr>
                <w:sz w:val="28"/>
                <w:szCs w:val="28"/>
              </w:rPr>
            </w:pPr>
            <w:r w:rsidRPr="001C6784">
              <w:rPr>
                <w:sz w:val="28"/>
                <w:szCs w:val="28"/>
              </w:rPr>
              <w:t>4.</w:t>
            </w:r>
          </w:p>
        </w:tc>
        <w:tc>
          <w:tcPr>
            <w:tcW w:w="4146" w:type="dxa"/>
          </w:tcPr>
          <w:p w:rsidR="001C6784" w:rsidRPr="001C6784" w:rsidRDefault="001C6784" w:rsidP="009073AF">
            <w:pPr>
              <w:rPr>
                <w:sz w:val="28"/>
                <w:szCs w:val="28"/>
              </w:rPr>
            </w:pPr>
            <w:r w:rsidRPr="001C6784">
              <w:rPr>
                <w:sz w:val="28"/>
                <w:szCs w:val="28"/>
              </w:rPr>
              <w:t xml:space="preserve">Установка систем видеонаблюдения </w:t>
            </w:r>
          </w:p>
        </w:tc>
        <w:tc>
          <w:tcPr>
            <w:tcW w:w="1283" w:type="dxa"/>
          </w:tcPr>
          <w:p w:rsidR="001C6784" w:rsidRPr="001C6784" w:rsidRDefault="001C6784" w:rsidP="001C6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е</w:t>
            </w:r>
            <w:r w:rsidRPr="001C6784">
              <w:rPr>
                <w:sz w:val="28"/>
                <w:szCs w:val="28"/>
              </w:rPr>
              <w:t>д.</w:t>
            </w:r>
          </w:p>
        </w:tc>
        <w:tc>
          <w:tcPr>
            <w:tcW w:w="2370" w:type="dxa"/>
          </w:tcPr>
          <w:p w:rsidR="001C6784" w:rsidRPr="001C6784" w:rsidRDefault="001C6784" w:rsidP="001C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3" w:type="dxa"/>
          </w:tcPr>
          <w:p w:rsidR="001C6784" w:rsidRPr="001C6784" w:rsidRDefault="001C6784" w:rsidP="001C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3" w:type="dxa"/>
          </w:tcPr>
          <w:p w:rsidR="001C6784" w:rsidRPr="001C6784" w:rsidRDefault="001C6784" w:rsidP="001C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38" w:type="dxa"/>
          </w:tcPr>
          <w:p w:rsidR="001C6784" w:rsidRPr="001C6784" w:rsidRDefault="001C6784" w:rsidP="001C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C67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</w:t>
            </w:r>
          </w:p>
        </w:tc>
      </w:tr>
    </w:tbl>
    <w:p w:rsidR="00315E92" w:rsidRPr="00315E92" w:rsidRDefault="00315E92" w:rsidP="00F83AFA">
      <w:pPr>
        <w:ind w:firstLine="709"/>
        <w:jc w:val="both"/>
        <w:rPr>
          <w:color w:val="FF0000"/>
          <w:sz w:val="28"/>
          <w:szCs w:val="28"/>
        </w:rPr>
      </w:pPr>
    </w:p>
    <w:p w:rsidR="00F83AFA" w:rsidRPr="00315E92" w:rsidRDefault="00315E92" w:rsidP="00315E92">
      <w:pPr>
        <w:tabs>
          <w:tab w:val="left" w:pos="4830"/>
        </w:tabs>
        <w:rPr>
          <w:sz w:val="28"/>
          <w:szCs w:val="28"/>
        </w:rPr>
        <w:sectPr w:rsidR="00F83AFA" w:rsidRPr="00315E92" w:rsidSect="00823DDC">
          <w:pgSz w:w="16838" w:h="11906" w:orient="landscape"/>
          <w:pgMar w:top="993" w:right="851" w:bottom="567" w:left="142" w:header="709" w:footer="709" w:gutter="0"/>
          <w:cols w:space="708"/>
          <w:docGrid w:linePitch="360"/>
        </w:sectPr>
      </w:pPr>
      <w:r w:rsidRPr="00315E9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</w:p>
    <w:p w:rsidR="00F83AFA" w:rsidRPr="00F83AFA" w:rsidRDefault="00F83AFA" w:rsidP="00F83AFA">
      <w:pPr>
        <w:ind w:firstLine="709"/>
        <w:jc w:val="both"/>
        <w:rPr>
          <w:color w:val="FF0000"/>
          <w:sz w:val="28"/>
          <w:szCs w:val="28"/>
        </w:rPr>
      </w:pPr>
      <w:r w:rsidRPr="00F83AFA">
        <w:rPr>
          <w:sz w:val="28"/>
          <w:szCs w:val="28"/>
        </w:rPr>
        <w:lastRenderedPageBreak/>
        <w:t>В целом при реализации мероприятий Программы достигнуты запланированные результаты</w:t>
      </w:r>
      <w:r w:rsidR="00BA6FF0">
        <w:rPr>
          <w:sz w:val="28"/>
          <w:szCs w:val="28"/>
        </w:rPr>
        <w:t xml:space="preserve">. Целевые индикаторы Программы </w:t>
      </w:r>
      <w:r w:rsidRPr="00F83AFA">
        <w:rPr>
          <w:sz w:val="28"/>
          <w:szCs w:val="28"/>
        </w:rPr>
        <w:t xml:space="preserve">имеют положительную динамику. </w:t>
      </w:r>
    </w:p>
    <w:p w:rsidR="00F83AFA" w:rsidRPr="00F83AFA" w:rsidRDefault="00F83AFA" w:rsidP="00F83AFA">
      <w:pPr>
        <w:ind w:firstLine="708"/>
        <w:jc w:val="both"/>
        <w:rPr>
          <w:color w:val="FF0000"/>
          <w:sz w:val="28"/>
          <w:szCs w:val="28"/>
        </w:rPr>
      </w:pPr>
    </w:p>
    <w:p w:rsidR="00F83AFA" w:rsidRPr="00F83AFA" w:rsidRDefault="00F83AFA" w:rsidP="00F83AFA">
      <w:pPr>
        <w:ind w:firstLine="709"/>
        <w:rPr>
          <w:sz w:val="28"/>
          <w:szCs w:val="28"/>
        </w:rPr>
      </w:pPr>
      <w:r w:rsidRPr="00F83AFA">
        <w:rPr>
          <w:sz w:val="28"/>
          <w:szCs w:val="28"/>
        </w:rPr>
        <w:t>Интегральная оценка результативности Программы рассчитана на основании значений целевых показателей в соответствии с утвержденной Методикой оценки эффективности муниципальных программ:</w:t>
      </w:r>
    </w:p>
    <w:p w:rsidR="00F83AFA" w:rsidRPr="00F83AFA" w:rsidRDefault="00F83AFA" w:rsidP="00F83AFA">
      <w:pPr>
        <w:ind w:firstLine="709"/>
        <w:rPr>
          <w:sz w:val="28"/>
          <w:szCs w:val="28"/>
        </w:rPr>
      </w:pPr>
    </w:p>
    <w:p w:rsidR="00F83AFA" w:rsidRPr="001C6784" w:rsidRDefault="00E32B3F" w:rsidP="00F83AFA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Ht</w:t>
      </w:r>
      <w:proofErr w:type="spellEnd"/>
      <w:r w:rsidR="00F83AFA" w:rsidRPr="00F83AFA">
        <w:rPr>
          <w:sz w:val="28"/>
          <w:szCs w:val="28"/>
        </w:rPr>
        <w:t xml:space="preserve"> = </w:t>
      </w:r>
      <w:r w:rsidR="00F83AFA" w:rsidRPr="001C6784">
        <w:rPr>
          <w:sz w:val="28"/>
          <w:szCs w:val="28"/>
        </w:rPr>
        <w:t>(</w:t>
      </w:r>
      <w:r w:rsidRPr="001C6784">
        <w:rPr>
          <w:sz w:val="28"/>
          <w:szCs w:val="28"/>
        </w:rPr>
        <w:t>100+100+100</w:t>
      </w:r>
      <w:r w:rsidR="001C6784" w:rsidRPr="001C6784">
        <w:rPr>
          <w:sz w:val="28"/>
          <w:szCs w:val="28"/>
        </w:rPr>
        <w:t>+100</w:t>
      </w:r>
      <w:r w:rsidRPr="001C6784">
        <w:rPr>
          <w:sz w:val="28"/>
          <w:szCs w:val="28"/>
        </w:rPr>
        <w:t xml:space="preserve">) / </w:t>
      </w:r>
      <w:r w:rsidR="001C6784" w:rsidRPr="001C6784">
        <w:rPr>
          <w:sz w:val="28"/>
          <w:szCs w:val="28"/>
        </w:rPr>
        <w:t>4</w:t>
      </w:r>
      <w:r w:rsidR="00CD76FE" w:rsidRPr="001C6784">
        <w:rPr>
          <w:sz w:val="28"/>
          <w:szCs w:val="28"/>
        </w:rPr>
        <w:t>=100</w:t>
      </w:r>
      <w:r w:rsidR="00F83AFA" w:rsidRPr="001C6784">
        <w:rPr>
          <w:sz w:val="28"/>
          <w:szCs w:val="28"/>
        </w:rPr>
        <w:t xml:space="preserve">% </w:t>
      </w:r>
    </w:p>
    <w:p w:rsidR="00F83AFA" w:rsidRPr="001C6784" w:rsidRDefault="00F83AFA" w:rsidP="00F83AFA">
      <w:pPr>
        <w:rPr>
          <w:sz w:val="28"/>
          <w:szCs w:val="28"/>
        </w:rPr>
      </w:pPr>
    </w:p>
    <w:p w:rsidR="00F83AFA" w:rsidRPr="001C6784" w:rsidRDefault="00F83AFA" w:rsidP="00F83AFA">
      <w:pPr>
        <w:ind w:firstLine="709"/>
        <w:rPr>
          <w:sz w:val="28"/>
          <w:szCs w:val="28"/>
        </w:rPr>
      </w:pPr>
      <w:r w:rsidRPr="001C6784">
        <w:rPr>
          <w:sz w:val="28"/>
          <w:szCs w:val="28"/>
        </w:rPr>
        <w:t>Эффективность реализации Программы:</w:t>
      </w:r>
    </w:p>
    <w:p w:rsidR="00F83AFA" w:rsidRPr="001C6784" w:rsidRDefault="00F83AFA" w:rsidP="00F83AFA">
      <w:pPr>
        <w:ind w:firstLine="709"/>
        <w:rPr>
          <w:sz w:val="28"/>
          <w:szCs w:val="28"/>
        </w:rPr>
      </w:pPr>
    </w:p>
    <w:p w:rsidR="00F83AFA" w:rsidRPr="00F83AFA" w:rsidRDefault="00F83AFA" w:rsidP="00F83AFA">
      <w:pPr>
        <w:ind w:firstLine="709"/>
        <w:rPr>
          <w:sz w:val="28"/>
          <w:szCs w:val="28"/>
        </w:rPr>
      </w:pPr>
      <w:r w:rsidRPr="001C6784">
        <w:rPr>
          <w:sz w:val="28"/>
          <w:szCs w:val="28"/>
        </w:rPr>
        <w:t>Э</w:t>
      </w:r>
      <w:r w:rsidRPr="001C6784">
        <w:rPr>
          <w:sz w:val="28"/>
          <w:szCs w:val="28"/>
          <w:lang w:val="en-US"/>
        </w:rPr>
        <w:t>t</w:t>
      </w:r>
      <w:r w:rsidRPr="001C6784">
        <w:rPr>
          <w:sz w:val="28"/>
          <w:szCs w:val="28"/>
        </w:rPr>
        <w:t xml:space="preserve"> = </w:t>
      </w:r>
      <w:r w:rsidR="00CD76FE" w:rsidRPr="001C6784">
        <w:rPr>
          <w:sz w:val="28"/>
          <w:szCs w:val="28"/>
        </w:rPr>
        <w:t>100</w:t>
      </w:r>
      <w:r w:rsidRPr="001C6784">
        <w:rPr>
          <w:sz w:val="28"/>
          <w:szCs w:val="28"/>
        </w:rPr>
        <w:t>/ 9</w:t>
      </w:r>
      <w:r w:rsidR="008B0914" w:rsidRPr="001C6784">
        <w:rPr>
          <w:sz w:val="28"/>
          <w:szCs w:val="28"/>
        </w:rPr>
        <w:t>8</w:t>
      </w:r>
      <w:r w:rsidRPr="001C6784">
        <w:rPr>
          <w:sz w:val="28"/>
          <w:szCs w:val="28"/>
        </w:rPr>
        <w:t>,</w:t>
      </w:r>
      <w:r w:rsidR="00E32B3F" w:rsidRPr="001C6784">
        <w:rPr>
          <w:sz w:val="28"/>
          <w:szCs w:val="28"/>
        </w:rPr>
        <w:t xml:space="preserve">1* 100= </w:t>
      </w:r>
      <w:r w:rsidR="007A13E8" w:rsidRPr="001C6784">
        <w:rPr>
          <w:sz w:val="28"/>
          <w:szCs w:val="28"/>
        </w:rPr>
        <w:t>102 %</w:t>
      </w:r>
    </w:p>
    <w:p w:rsidR="00F83AFA" w:rsidRPr="00F83AFA" w:rsidRDefault="00F83AFA" w:rsidP="00F83AFA">
      <w:pPr>
        <w:ind w:firstLine="709"/>
        <w:jc w:val="both"/>
        <w:rPr>
          <w:sz w:val="28"/>
          <w:szCs w:val="28"/>
        </w:rPr>
      </w:pPr>
    </w:p>
    <w:p w:rsidR="00F83AFA" w:rsidRPr="00F83AFA" w:rsidRDefault="00F83AFA" w:rsidP="00F83AFA">
      <w:pPr>
        <w:ind w:firstLine="709"/>
        <w:jc w:val="both"/>
        <w:rPr>
          <w:sz w:val="28"/>
          <w:szCs w:val="28"/>
        </w:rPr>
      </w:pPr>
      <w:r w:rsidRPr="00F83AFA">
        <w:rPr>
          <w:sz w:val="28"/>
          <w:szCs w:val="28"/>
        </w:rPr>
        <w:t>Эффективность реализации Программы в 202</w:t>
      </w:r>
      <w:r w:rsidR="002148D9">
        <w:rPr>
          <w:sz w:val="28"/>
          <w:szCs w:val="28"/>
        </w:rPr>
        <w:t>5</w:t>
      </w:r>
      <w:r w:rsidRPr="00F83AFA">
        <w:rPr>
          <w:sz w:val="28"/>
          <w:szCs w:val="28"/>
        </w:rPr>
        <w:t xml:space="preserve"> году </w:t>
      </w:r>
      <w:r w:rsidR="00E32B3F">
        <w:rPr>
          <w:sz w:val="28"/>
          <w:szCs w:val="28"/>
        </w:rPr>
        <w:t xml:space="preserve">соответствует  запланированным результатам при запланированном </w:t>
      </w:r>
      <w:r w:rsidR="004F5533">
        <w:rPr>
          <w:sz w:val="28"/>
          <w:szCs w:val="28"/>
        </w:rPr>
        <w:t>объеме</w:t>
      </w:r>
      <w:r w:rsidR="00E32B3F">
        <w:rPr>
          <w:sz w:val="28"/>
          <w:szCs w:val="28"/>
        </w:rPr>
        <w:t xml:space="preserve"> расходов</w:t>
      </w:r>
      <w:r w:rsidR="004F5533">
        <w:rPr>
          <w:sz w:val="28"/>
          <w:szCs w:val="28"/>
        </w:rPr>
        <w:t>.</w:t>
      </w:r>
    </w:p>
    <w:p w:rsidR="00F83AFA" w:rsidRPr="00F83AFA" w:rsidRDefault="00F83AFA" w:rsidP="00F83AFA">
      <w:pPr>
        <w:jc w:val="both"/>
        <w:rPr>
          <w:sz w:val="28"/>
          <w:szCs w:val="28"/>
        </w:rPr>
      </w:pPr>
    </w:p>
    <w:p w:rsidR="00831265" w:rsidRDefault="00831265" w:rsidP="00F83AFA">
      <w:pPr>
        <w:ind w:firstLine="709"/>
        <w:jc w:val="both"/>
      </w:pPr>
    </w:p>
    <w:sectPr w:rsidR="0083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D1726"/>
    <w:multiLevelType w:val="hybridMultilevel"/>
    <w:tmpl w:val="2FD45EE0"/>
    <w:lvl w:ilvl="0" w:tplc="0F1866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E3"/>
    <w:rsid w:val="000E7557"/>
    <w:rsid w:val="001C6784"/>
    <w:rsid w:val="002148D9"/>
    <w:rsid w:val="00221A95"/>
    <w:rsid w:val="002C02D2"/>
    <w:rsid w:val="00315E92"/>
    <w:rsid w:val="003313E9"/>
    <w:rsid w:val="00347569"/>
    <w:rsid w:val="00425EF7"/>
    <w:rsid w:val="004279FA"/>
    <w:rsid w:val="00491B6B"/>
    <w:rsid w:val="004F5533"/>
    <w:rsid w:val="005034A8"/>
    <w:rsid w:val="00524CAC"/>
    <w:rsid w:val="00573560"/>
    <w:rsid w:val="006277E3"/>
    <w:rsid w:val="006453B6"/>
    <w:rsid w:val="007138E1"/>
    <w:rsid w:val="007A13E8"/>
    <w:rsid w:val="00831265"/>
    <w:rsid w:val="008B0914"/>
    <w:rsid w:val="00A41BBC"/>
    <w:rsid w:val="00AF4FA6"/>
    <w:rsid w:val="00BA6FF0"/>
    <w:rsid w:val="00C00CF7"/>
    <w:rsid w:val="00C33E00"/>
    <w:rsid w:val="00C61A8C"/>
    <w:rsid w:val="00C979FE"/>
    <w:rsid w:val="00CD76FE"/>
    <w:rsid w:val="00D86CAF"/>
    <w:rsid w:val="00DE0050"/>
    <w:rsid w:val="00E32B3F"/>
    <w:rsid w:val="00F1389C"/>
    <w:rsid w:val="00F83AFA"/>
    <w:rsid w:val="00F83D7D"/>
    <w:rsid w:val="00F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E86EC-3125-4898-9547-81634093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83D7D"/>
    <w:rPr>
      <w:color w:val="0000FF"/>
      <w:u w:val="single"/>
    </w:rPr>
  </w:style>
  <w:style w:type="paragraph" w:customStyle="1" w:styleId="ConsPlusCell">
    <w:name w:val="ConsPlusCell"/>
    <w:rsid w:val="00F83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C6784"/>
    <w:pPr>
      <w:widowControl w:val="0"/>
      <w:autoSpaceDE w:val="0"/>
      <w:autoSpaceDN w:val="0"/>
      <w:jc w:val="center"/>
    </w:pPr>
    <w:rPr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1A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A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otdelpriozer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058F6-9D90-4E03-80A0-696693C8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</cp:lastModifiedBy>
  <cp:revision>4</cp:revision>
  <cp:lastPrinted>2026-03-25T15:51:00Z</cp:lastPrinted>
  <dcterms:created xsi:type="dcterms:W3CDTF">2026-02-27T09:23:00Z</dcterms:created>
  <dcterms:modified xsi:type="dcterms:W3CDTF">2026-03-25T15:56:00Z</dcterms:modified>
</cp:coreProperties>
</file>