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DC" w:rsidRPr="006719DC" w:rsidRDefault="00D07092" w:rsidP="00671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719DC" w:rsidRPr="00671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6719DC" w:rsidRPr="006719DC" w:rsidRDefault="006719DC" w:rsidP="0067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DC" w:rsidRPr="006719DC" w:rsidRDefault="006719DC" w:rsidP="0067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9DC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состоянии окружающей среды в Ленинградской области </w:t>
      </w:r>
    </w:p>
    <w:p w:rsidR="006719DC" w:rsidRPr="006719DC" w:rsidRDefault="006719DC" w:rsidP="0067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9DC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B33915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="000B5F6B">
        <w:rPr>
          <w:rFonts w:ascii="Times New Roman" w:eastAsia="Times New Roman" w:hAnsi="Times New Roman" w:cs="Times New Roman"/>
          <w:b/>
          <w:sz w:val="24"/>
          <w:szCs w:val="24"/>
        </w:rPr>
        <w:t xml:space="preserve"> 2015 года</w:t>
      </w:r>
    </w:p>
    <w:p w:rsidR="006719DC" w:rsidRPr="006719DC" w:rsidRDefault="006719DC" w:rsidP="006719D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DC" w:rsidRPr="00EA7417" w:rsidRDefault="006719DC" w:rsidP="00EA741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/>
          <w:sz w:val="24"/>
          <w:szCs w:val="24"/>
        </w:rPr>
        <w:t>Качество поверхностных вод</w:t>
      </w:r>
    </w:p>
    <w:p w:rsidR="00EA7417" w:rsidRPr="00EA7417" w:rsidRDefault="00EA7417" w:rsidP="00EA7417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9DC" w:rsidRPr="006719DC" w:rsidRDefault="000B5F6B" w:rsidP="0067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19DC" w:rsidRPr="006719DC">
        <w:rPr>
          <w:rFonts w:ascii="Times New Roman" w:eastAsia="Times New Roman" w:hAnsi="Times New Roman" w:cs="Times New Roman"/>
          <w:sz w:val="24"/>
          <w:szCs w:val="24"/>
        </w:rPr>
        <w:t>аблюдения в пунктах Государственной сети наблюдений (ГСН)</w:t>
      </w:r>
      <w:r w:rsidRPr="000B5F6B">
        <w:rPr>
          <w:rFonts w:ascii="Times New Roman" w:eastAsia="Times New Roman" w:hAnsi="Times New Roman" w:cs="Times New Roman"/>
          <w:sz w:val="24"/>
          <w:szCs w:val="24"/>
        </w:rPr>
        <w:t xml:space="preserve"> в Ленинградской области</w:t>
      </w:r>
      <w:r w:rsidR="006719DC" w:rsidRPr="0067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F6B">
        <w:rPr>
          <w:rFonts w:ascii="Times New Roman" w:eastAsia="Times New Roman" w:hAnsi="Times New Roman" w:cs="Times New Roman"/>
          <w:sz w:val="24"/>
          <w:szCs w:val="24"/>
        </w:rPr>
        <w:t>проводились в январе-</w:t>
      </w:r>
      <w:r w:rsidR="00B33915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0B5F6B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DC" w:rsidRPr="006719D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719DC" w:rsidRPr="006719DC">
        <w:rPr>
          <w:rFonts w:ascii="Times New Roman" w:eastAsia="Times New Roman" w:hAnsi="Times New Roman" w:cs="Times New Roman"/>
          <w:sz w:val="24"/>
          <w:szCs w:val="24"/>
        </w:rPr>
        <w:t xml:space="preserve"> на 23 реках и 2 озерах (35 пунктов, 50 створов). </w:t>
      </w:r>
    </w:p>
    <w:p w:rsidR="006719DC" w:rsidRPr="006719DC" w:rsidRDefault="006719DC" w:rsidP="00671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D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территории Ленинградской области случаев </w:t>
      </w:r>
      <w:r w:rsidRPr="006719D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экстремально высокого загрязнения (ЭВЗ)</w:t>
      </w:r>
      <w:r w:rsidRPr="006719D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не зафиксировано.</w:t>
      </w:r>
      <w:r w:rsidRPr="006719D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671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Случаи высокого загрязнения (ВЗ) наблюдались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Сяберо</w:t>
      </w:r>
      <w:proofErr w:type="spellEnd"/>
      <w:r w:rsidR="001B7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реке </w:t>
      </w:r>
      <w:proofErr w:type="spellStart"/>
      <w:r w:rsidR="001B746A">
        <w:rPr>
          <w:rFonts w:ascii="Times New Roman" w:eastAsia="Times New Roman" w:hAnsi="Times New Roman" w:cs="Times New Roman"/>
          <w:color w:val="000000"/>
          <w:sz w:val="24"/>
          <w:szCs w:val="24"/>
        </w:rPr>
        <w:t>Охта</w:t>
      </w:r>
      <w:proofErr w:type="spellEnd"/>
      <w:r w:rsidR="001B7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границе </w:t>
      </w:r>
      <w:r w:rsidR="001B746A" w:rsidRPr="001B746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и Санкт-Петербурга</w:t>
      </w:r>
      <w:r w:rsidR="001B746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71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719DC" w:rsidRPr="006719DC" w:rsidRDefault="006719DC" w:rsidP="006719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Случаи ВЗ представлены в таблице 1. </w:t>
      </w:r>
    </w:p>
    <w:p w:rsidR="006719DC" w:rsidRPr="006719DC" w:rsidRDefault="006719DC" w:rsidP="006719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6719DC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</w:t>
      </w:r>
      <w:r w:rsidRPr="006719DC">
        <w:rPr>
          <w:rFonts w:ascii="Times New Roman" w:eastAsia="Times New Roman" w:hAnsi="Times New Roman" w:cs="Times New Roman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3119"/>
        <w:gridCol w:w="992"/>
        <w:gridCol w:w="2410"/>
      </w:tblGrid>
      <w:tr w:rsidR="006719DC" w:rsidRPr="006719DC" w:rsidTr="006719DC">
        <w:tc>
          <w:tcPr>
            <w:tcW w:w="1134" w:type="dxa"/>
            <w:shd w:val="clear" w:color="auto" w:fill="auto"/>
            <w:vAlign w:val="center"/>
          </w:tcPr>
          <w:p w:rsidR="006719DC" w:rsidRPr="006719DC" w:rsidRDefault="006719DC" w:rsidP="0067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Водный объект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9DC" w:rsidRPr="006719DC" w:rsidRDefault="006719DC" w:rsidP="0067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19DC" w:rsidRPr="006719DC" w:rsidRDefault="006719DC" w:rsidP="0067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Створ, вертикаль, горизонт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9DC" w:rsidRPr="006719DC" w:rsidRDefault="006719DC" w:rsidP="0067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6719DC" w:rsidRPr="006719DC" w:rsidRDefault="006719DC" w:rsidP="0067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отбора</w:t>
            </w:r>
          </w:p>
        </w:tc>
        <w:tc>
          <w:tcPr>
            <w:tcW w:w="2410" w:type="dxa"/>
            <w:shd w:val="clear" w:color="auto" w:fill="auto"/>
          </w:tcPr>
          <w:p w:rsidR="006719DC" w:rsidRPr="006719DC" w:rsidRDefault="006719DC" w:rsidP="0067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качества, по которым зафиксированы случаи ВЗ, концентрации</w:t>
            </w:r>
          </w:p>
        </w:tc>
      </w:tr>
      <w:tr w:rsidR="00D07092" w:rsidRPr="006719DC" w:rsidTr="000B5F6B">
        <w:trPr>
          <w:trHeight w:val="274"/>
        </w:trPr>
        <w:tc>
          <w:tcPr>
            <w:tcW w:w="1134" w:type="dxa"/>
            <w:vMerge w:val="restart"/>
            <w:shd w:val="clear" w:color="auto" w:fill="auto"/>
          </w:tcPr>
          <w:p w:rsidR="00D07092" w:rsidRPr="006719DC" w:rsidRDefault="00D07092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C">
              <w:rPr>
                <w:rFonts w:ascii="Times New Roman" w:hAnsi="Times New Roman" w:cs="Times New Roman"/>
                <w:sz w:val="20"/>
                <w:szCs w:val="20"/>
              </w:rPr>
              <w:t xml:space="preserve">оз. </w:t>
            </w:r>
            <w:proofErr w:type="spellStart"/>
            <w:r w:rsidRPr="006719DC">
              <w:rPr>
                <w:rFonts w:ascii="Times New Roman" w:hAnsi="Times New Roman" w:cs="Times New Roman"/>
                <w:sz w:val="20"/>
                <w:szCs w:val="20"/>
              </w:rPr>
              <w:t>Сяберо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D07092" w:rsidRPr="006719DC" w:rsidRDefault="00D07092" w:rsidP="000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719DC">
              <w:rPr>
                <w:rFonts w:ascii="Times New Roman" w:hAnsi="Times New Roman" w:cs="Times New Roman"/>
                <w:sz w:val="20"/>
                <w:szCs w:val="20"/>
              </w:rPr>
              <w:t>Сяберо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</w:tcPr>
          <w:p w:rsidR="00D07092" w:rsidRPr="006719DC" w:rsidRDefault="00D07092" w:rsidP="000B5F6B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6719DC">
              <w:rPr>
                <w:sz w:val="20"/>
                <w:szCs w:val="20"/>
              </w:rPr>
              <w:t xml:space="preserve">1) </w:t>
            </w:r>
            <w:proofErr w:type="spellStart"/>
            <w:r w:rsidRPr="006719DC">
              <w:rPr>
                <w:sz w:val="20"/>
                <w:szCs w:val="20"/>
              </w:rPr>
              <w:t>ств</w:t>
            </w:r>
            <w:proofErr w:type="spellEnd"/>
            <w:r w:rsidRPr="006719DC">
              <w:rPr>
                <w:sz w:val="20"/>
                <w:szCs w:val="20"/>
              </w:rPr>
              <w:t xml:space="preserve">. 1 </w:t>
            </w:r>
            <w:proofErr w:type="spellStart"/>
            <w:r w:rsidRPr="006719DC">
              <w:rPr>
                <w:sz w:val="20"/>
                <w:szCs w:val="20"/>
              </w:rPr>
              <w:t>верт</w:t>
            </w:r>
            <w:proofErr w:type="spellEnd"/>
            <w:r w:rsidRPr="006719DC">
              <w:rPr>
                <w:sz w:val="20"/>
                <w:szCs w:val="20"/>
              </w:rPr>
              <w:t xml:space="preserve">. 1 –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6719DC">
                <w:rPr>
                  <w:sz w:val="20"/>
                  <w:szCs w:val="20"/>
                </w:rPr>
                <w:t>0,1 км</w:t>
              </w:r>
            </w:smartTag>
            <w:r w:rsidRPr="006719DC">
              <w:rPr>
                <w:sz w:val="20"/>
                <w:szCs w:val="20"/>
              </w:rPr>
              <w:t xml:space="preserve"> по аз. 20 град. от ОГП </w:t>
            </w:r>
            <w:proofErr w:type="spellStart"/>
            <w:r w:rsidRPr="006719DC">
              <w:rPr>
                <w:sz w:val="20"/>
                <w:szCs w:val="20"/>
              </w:rPr>
              <w:t>Сяберо</w:t>
            </w:r>
            <w:proofErr w:type="spellEnd"/>
            <w:r w:rsidRPr="006719DC">
              <w:rPr>
                <w:sz w:val="20"/>
                <w:szCs w:val="20"/>
              </w:rPr>
              <w:t xml:space="preserve">, </w:t>
            </w:r>
            <w:proofErr w:type="spellStart"/>
            <w:r w:rsidRPr="006719DC">
              <w:rPr>
                <w:sz w:val="20"/>
                <w:szCs w:val="20"/>
              </w:rPr>
              <w:t>пов</w:t>
            </w:r>
            <w:proofErr w:type="spellEnd"/>
            <w:r w:rsidRPr="006719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07092" w:rsidRPr="006719DC" w:rsidRDefault="00D07092" w:rsidP="001B746A">
            <w:pPr>
              <w:pStyle w:val="a3"/>
              <w:ind w:firstLine="51"/>
              <w:rPr>
                <w:b w:val="0"/>
                <w:sz w:val="20"/>
              </w:rPr>
            </w:pPr>
            <w:r w:rsidRPr="006719DC">
              <w:rPr>
                <w:b w:val="0"/>
                <w:sz w:val="20"/>
              </w:rPr>
              <w:t>01.04</w:t>
            </w:r>
          </w:p>
        </w:tc>
        <w:tc>
          <w:tcPr>
            <w:tcW w:w="2410" w:type="dxa"/>
            <w:shd w:val="clear" w:color="auto" w:fill="auto"/>
          </w:tcPr>
          <w:p w:rsidR="00D07092" w:rsidRPr="006719DC" w:rsidRDefault="00D07092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C">
              <w:rPr>
                <w:rFonts w:ascii="Times New Roman" w:hAnsi="Times New Roman" w:cs="Times New Roman"/>
                <w:sz w:val="20"/>
                <w:szCs w:val="20"/>
              </w:rPr>
              <w:t>Азот нитритный – 0,729 мг/дм</w:t>
            </w:r>
            <w:r w:rsidRPr="006719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719DC">
              <w:rPr>
                <w:rFonts w:ascii="Times New Roman" w:hAnsi="Times New Roman" w:cs="Times New Roman"/>
                <w:sz w:val="20"/>
                <w:szCs w:val="20"/>
              </w:rPr>
              <w:t xml:space="preserve"> (36,5 ПДК)</w:t>
            </w:r>
          </w:p>
        </w:tc>
      </w:tr>
      <w:tr w:rsidR="00D07092" w:rsidRPr="006719DC" w:rsidTr="00D07092">
        <w:trPr>
          <w:trHeight w:val="58"/>
        </w:trPr>
        <w:tc>
          <w:tcPr>
            <w:tcW w:w="1134" w:type="dxa"/>
            <w:vMerge/>
            <w:shd w:val="clear" w:color="auto" w:fill="auto"/>
          </w:tcPr>
          <w:p w:rsidR="00D07092" w:rsidRPr="006719DC" w:rsidRDefault="00D07092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7092" w:rsidRPr="006719DC" w:rsidRDefault="00D07092" w:rsidP="000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092" w:rsidRPr="006719DC" w:rsidRDefault="00D07092" w:rsidP="000B5F6B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7092" w:rsidRPr="00D07092" w:rsidRDefault="00D07092" w:rsidP="001B746A">
            <w:pPr>
              <w:pStyle w:val="a3"/>
              <w:ind w:left="-108" w:right="-108"/>
              <w:rPr>
                <w:b w:val="0"/>
                <w:sz w:val="20"/>
              </w:rPr>
            </w:pPr>
            <w:r w:rsidRPr="00D07092">
              <w:rPr>
                <w:b w:val="0"/>
                <w:sz w:val="20"/>
              </w:rPr>
              <w:t>04.08</w:t>
            </w:r>
          </w:p>
        </w:tc>
        <w:tc>
          <w:tcPr>
            <w:tcW w:w="2410" w:type="dxa"/>
            <w:shd w:val="clear" w:color="auto" w:fill="auto"/>
          </w:tcPr>
          <w:p w:rsidR="00D07092" w:rsidRPr="00D07092" w:rsidRDefault="00D07092" w:rsidP="00D070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092">
              <w:rPr>
                <w:rFonts w:ascii="Times New Roman" w:hAnsi="Times New Roman" w:cs="Times New Roman"/>
                <w:sz w:val="20"/>
                <w:szCs w:val="20"/>
              </w:rPr>
              <w:t>Азот нитритный – 0,20 мг/дм</w:t>
            </w:r>
            <w:r w:rsidRPr="00D070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07092">
              <w:rPr>
                <w:rFonts w:ascii="Times New Roman" w:hAnsi="Times New Roman" w:cs="Times New Roman"/>
                <w:sz w:val="20"/>
                <w:szCs w:val="20"/>
              </w:rPr>
              <w:t xml:space="preserve"> (10,0 ПДК)</w:t>
            </w:r>
          </w:p>
        </w:tc>
      </w:tr>
      <w:tr w:rsidR="001B746A" w:rsidRPr="006719DC" w:rsidTr="00D07092">
        <w:trPr>
          <w:trHeight w:val="58"/>
        </w:trPr>
        <w:tc>
          <w:tcPr>
            <w:tcW w:w="1134" w:type="dxa"/>
            <w:vMerge w:val="restart"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>р. Охта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>(на границе Ленинградской области и</w:t>
            </w:r>
            <w:proofErr w:type="gramStart"/>
            <w:r w:rsidRPr="001B746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B746A">
              <w:rPr>
                <w:rFonts w:ascii="Times New Roman" w:hAnsi="Times New Roman" w:cs="Times New Roman"/>
                <w:sz w:val="20"/>
                <w:szCs w:val="20"/>
              </w:rPr>
              <w:t>анкт- Петербурга)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B746A" w:rsidRDefault="001B746A" w:rsidP="001B746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1B746A">
              <w:rPr>
                <w:sz w:val="20"/>
                <w:szCs w:val="20"/>
              </w:rPr>
              <w:t>3) граница Санкт-Петербурга,</w:t>
            </w:r>
          </w:p>
          <w:p w:rsidR="001B746A" w:rsidRPr="006719DC" w:rsidRDefault="001B746A" w:rsidP="001B746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1B746A">
              <w:rPr>
                <w:sz w:val="20"/>
                <w:szCs w:val="20"/>
              </w:rPr>
              <w:t xml:space="preserve">0,9 км выше впадения </w:t>
            </w:r>
            <w:proofErr w:type="spellStart"/>
            <w:r w:rsidRPr="001B746A">
              <w:rPr>
                <w:sz w:val="20"/>
                <w:szCs w:val="20"/>
              </w:rPr>
              <w:t>руч</w:t>
            </w:r>
            <w:proofErr w:type="spellEnd"/>
            <w:r w:rsidRPr="001B746A">
              <w:rPr>
                <w:sz w:val="20"/>
                <w:szCs w:val="20"/>
              </w:rPr>
              <w:t>. </w:t>
            </w:r>
            <w:proofErr w:type="spellStart"/>
            <w:r w:rsidRPr="001B746A">
              <w:rPr>
                <w:sz w:val="20"/>
                <w:szCs w:val="20"/>
              </w:rPr>
              <w:t>Капральев</w:t>
            </w:r>
            <w:proofErr w:type="spellEnd"/>
            <w:r w:rsidRPr="001B746A">
              <w:rPr>
                <w:sz w:val="20"/>
                <w:szCs w:val="20"/>
              </w:rPr>
              <w:t xml:space="preserve">, середина, </w:t>
            </w:r>
            <w:proofErr w:type="spellStart"/>
            <w:r w:rsidRPr="001B746A">
              <w:rPr>
                <w:sz w:val="20"/>
                <w:szCs w:val="20"/>
              </w:rPr>
              <w:t>пов</w:t>
            </w:r>
            <w:proofErr w:type="spellEnd"/>
            <w:r w:rsidRPr="001B746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B746A" w:rsidRPr="001B746A" w:rsidRDefault="001B746A" w:rsidP="001B746A">
            <w:pPr>
              <w:pStyle w:val="a5"/>
              <w:jc w:val="center"/>
              <w:rPr>
                <w:rFonts w:ascii="Times New Roman" w:hAnsi="Times New Roman"/>
              </w:rPr>
            </w:pPr>
            <w:r w:rsidRPr="001B746A">
              <w:rPr>
                <w:rFonts w:ascii="Times New Roman" w:hAnsi="Times New Roman"/>
              </w:rPr>
              <w:t>02.02</w:t>
            </w:r>
          </w:p>
        </w:tc>
        <w:tc>
          <w:tcPr>
            <w:tcW w:w="2410" w:type="dxa"/>
            <w:shd w:val="clear" w:color="auto" w:fill="auto"/>
          </w:tcPr>
          <w:p w:rsidR="001B746A" w:rsidRPr="001B746A" w:rsidRDefault="001B746A" w:rsidP="001B746A">
            <w:pPr>
              <w:pStyle w:val="a5"/>
              <w:rPr>
                <w:rFonts w:ascii="Times New Roman" w:hAnsi="Times New Roman"/>
              </w:rPr>
            </w:pPr>
            <w:r w:rsidRPr="001B746A">
              <w:rPr>
                <w:rFonts w:ascii="Times New Roman" w:hAnsi="Times New Roman"/>
              </w:rPr>
              <w:t>Азот нитритный –</w:t>
            </w:r>
          </w:p>
          <w:p w:rsidR="001B746A" w:rsidRPr="001B746A" w:rsidRDefault="001B746A" w:rsidP="001B746A">
            <w:pPr>
              <w:pStyle w:val="a5"/>
              <w:rPr>
                <w:rFonts w:ascii="Times New Roman" w:hAnsi="Times New Roman"/>
              </w:rPr>
            </w:pPr>
            <w:r w:rsidRPr="001B746A">
              <w:rPr>
                <w:rFonts w:ascii="Times New Roman" w:hAnsi="Times New Roman"/>
              </w:rPr>
              <w:t>0,528 мг/дм</w:t>
            </w:r>
            <w:r w:rsidRPr="001B746A">
              <w:rPr>
                <w:rFonts w:ascii="Times New Roman" w:hAnsi="Times New Roman"/>
                <w:vertAlign w:val="superscript"/>
              </w:rPr>
              <w:t>3</w:t>
            </w:r>
            <w:r w:rsidRPr="001B746A">
              <w:rPr>
                <w:rFonts w:ascii="Times New Roman" w:hAnsi="Times New Roman"/>
              </w:rPr>
              <w:t xml:space="preserve"> (26,4 ПДК)</w:t>
            </w:r>
          </w:p>
        </w:tc>
      </w:tr>
      <w:tr w:rsidR="001B746A" w:rsidRPr="006719DC" w:rsidTr="00D07092">
        <w:trPr>
          <w:trHeight w:val="58"/>
        </w:trPr>
        <w:tc>
          <w:tcPr>
            <w:tcW w:w="1134" w:type="dxa"/>
            <w:vMerge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B746A" w:rsidRPr="006719DC" w:rsidRDefault="001B746A" w:rsidP="000B5F6B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746A" w:rsidRPr="001B746A" w:rsidRDefault="001B746A" w:rsidP="001B746A">
            <w:pPr>
              <w:pStyle w:val="a3"/>
              <w:ind w:firstLine="51"/>
              <w:rPr>
                <w:b w:val="0"/>
                <w:sz w:val="20"/>
              </w:rPr>
            </w:pPr>
            <w:r w:rsidRPr="001B746A">
              <w:rPr>
                <w:b w:val="0"/>
                <w:sz w:val="20"/>
              </w:rPr>
              <w:t>10.03</w:t>
            </w:r>
          </w:p>
        </w:tc>
        <w:tc>
          <w:tcPr>
            <w:tcW w:w="2410" w:type="dxa"/>
            <w:shd w:val="clear" w:color="auto" w:fill="auto"/>
          </w:tcPr>
          <w:p w:rsidR="001B746A" w:rsidRPr="001B746A" w:rsidRDefault="001B746A" w:rsidP="001B74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>Марганец – 0,456 мг/дм</w:t>
            </w:r>
            <w:r w:rsidRPr="001B7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 xml:space="preserve"> (45,6 ПДК)</w:t>
            </w:r>
          </w:p>
        </w:tc>
      </w:tr>
      <w:tr w:rsidR="001B746A" w:rsidRPr="006719DC" w:rsidTr="00D07092">
        <w:trPr>
          <w:trHeight w:val="58"/>
        </w:trPr>
        <w:tc>
          <w:tcPr>
            <w:tcW w:w="1134" w:type="dxa"/>
            <w:vMerge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B746A" w:rsidRPr="006719DC" w:rsidRDefault="001B746A" w:rsidP="000B5F6B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746A" w:rsidRPr="001B746A" w:rsidRDefault="001B746A" w:rsidP="001B746A">
            <w:pPr>
              <w:pStyle w:val="31"/>
              <w:ind w:firstLine="51"/>
              <w:rPr>
                <w:b w:val="0"/>
              </w:rPr>
            </w:pPr>
            <w:r w:rsidRPr="001B746A">
              <w:rPr>
                <w:b w:val="0"/>
              </w:rPr>
              <w:t>02.04</w:t>
            </w:r>
          </w:p>
        </w:tc>
        <w:tc>
          <w:tcPr>
            <w:tcW w:w="2410" w:type="dxa"/>
            <w:shd w:val="clear" w:color="auto" w:fill="auto"/>
          </w:tcPr>
          <w:p w:rsidR="001B746A" w:rsidRPr="001B746A" w:rsidRDefault="001B746A" w:rsidP="001B74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>Марганец – 0,410 мг/дм</w:t>
            </w:r>
            <w:r w:rsidRPr="001B7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 xml:space="preserve"> (41,0 ПДК)</w:t>
            </w:r>
          </w:p>
        </w:tc>
      </w:tr>
      <w:tr w:rsidR="001B746A" w:rsidRPr="006719DC" w:rsidTr="00D07092">
        <w:trPr>
          <w:trHeight w:val="58"/>
        </w:trPr>
        <w:tc>
          <w:tcPr>
            <w:tcW w:w="1134" w:type="dxa"/>
            <w:vMerge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746A" w:rsidRPr="006719DC" w:rsidRDefault="001B746A" w:rsidP="000B5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B746A" w:rsidRPr="006719DC" w:rsidRDefault="001B746A" w:rsidP="000B5F6B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746A" w:rsidRPr="001B746A" w:rsidRDefault="001B746A" w:rsidP="001B746A">
            <w:pPr>
              <w:pStyle w:val="31"/>
              <w:ind w:firstLine="51"/>
              <w:rPr>
                <w:b w:val="0"/>
              </w:rPr>
            </w:pPr>
            <w:r w:rsidRPr="001B746A">
              <w:rPr>
                <w:b w:val="0"/>
              </w:rPr>
              <w:t>02.06</w:t>
            </w:r>
          </w:p>
        </w:tc>
        <w:tc>
          <w:tcPr>
            <w:tcW w:w="2410" w:type="dxa"/>
            <w:shd w:val="clear" w:color="auto" w:fill="auto"/>
          </w:tcPr>
          <w:p w:rsidR="001B746A" w:rsidRPr="001B746A" w:rsidRDefault="001B746A" w:rsidP="001B74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>Марганец – 0,382 мг/дм</w:t>
            </w:r>
            <w:r w:rsidRPr="001B74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B746A">
              <w:rPr>
                <w:rFonts w:ascii="Times New Roman" w:hAnsi="Times New Roman" w:cs="Times New Roman"/>
                <w:sz w:val="20"/>
                <w:szCs w:val="20"/>
              </w:rPr>
              <w:t xml:space="preserve"> (38,2 ПДК)</w:t>
            </w:r>
          </w:p>
        </w:tc>
      </w:tr>
    </w:tbl>
    <w:p w:rsidR="006719DC" w:rsidRDefault="006719DC" w:rsidP="0067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съемок во всех водных объектах наличие запаха в воде не наблюдалось, за исключением рек Волхов и Черная (район г. Кириши), Шарья и Тигода (февраль, август), где был отмечен запах интенсивностью 2 балла. 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Значения рН ниже нормы (6,29–6,48) зафиксированы в Волчьей (апрель), Свири (февраль, август),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Пярдомле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(апрель),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Тихвинке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(январь, май, июнь), Назии (февраль, август), Черной (январь-март).</w:t>
      </w:r>
      <w:proofErr w:type="gram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Ниже нормы значения рН (6,11–6,46) наблюдались в обоих горизонтах озера Шугозеро (февраль, апрель). Остальные значения рН не выходили за пределы интервала 6,50–8,50.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092">
        <w:rPr>
          <w:rFonts w:ascii="Times New Roman" w:eastAsia="Times New Roman" w:hAnsi="Times New Roman" w:cs="Times New Roman"/>
          <w:sz w:val="24"/>
          <w:szCs w:val="24"/>
        </w:rPr>
        <w:t>Содержание взвешенных веществ выше 10 мг/дм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было отмечено в Мге (март),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Тосне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(март, июнь),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(март-июль, сентябрь),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Тихвинке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(февраль, апрель),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Сяси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черте г. Сясьстрой (апрель), Волхове ниже г. Волхов и в устье (март, апрель), Луге ниже пгт Толмачево (январь, февраль, март), Оредеже (апрель), Нарве у с.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Степановщина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и ниже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>Ивангорода (февраль, июль, август).</w:t>
      </w:r>
      <w:proofErr w:type="gram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значение 41 мг/дм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наблюдалось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апреле. В оз.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августе в обоих горизонтах содержание взвешенных веществ составило 20 мг/дм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>Абсолютное содержание кислорода ниже нормы (4,1–5,9 мгО</w:t>
      </w:r>
      <w:proofErr w:type="gramStart"/>
      <w:r w:rsidRPr="00D070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07092">
        <w:rPr>
          <w:rFonts w:ascii="Times New Roman" w:eastAsia="Times New Roman" w:hAnsi="Times New Roman" w:cs="Times New Roman"/>
          <w:sz w:val="24"/>
          <w:szCs w:val="24"/>
        </w:rPr>
        <w:t>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) было зафиксировано в отдельных пробах, отобранных в Мге (июнь),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Тосне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(июнь),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(июль-сентябрь), Волхове выше г. Кириши (сентябрь),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Тигоде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районе г. Любань (февраль, август), Луге выше и в черте г. Луга (июнь), в обоих горизонтах в озере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(август). В остальных пробах абсолютное содержание растворенного в воде кислорода было в норме.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В реках Нева, Свирь, Оять, Паша, Назия, Луга, Оредеж,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Суйда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Плюсса и в озере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значения БПК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оставались в пределах нормы. В остальных водных объектах в 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пробах значения БПК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загрязненность водных объектов легкоокисляемой органикой, были выше нормы (1,1–3,6 нормы).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во всех отобранных пробах значения БПК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были выше нормы. Наиболее высокие значения БПК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были отмечены в апреле в озере Шугозеро (3,6 нормы); в мае -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(3,4 нормы). 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Превышающие норму значения ХПК, свидетельствующие о наличии органических веществ, были отмечены во всех водных объектах. </w:t>
      </w:r>
      <w:proofErr w:type="gramStart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В Волхове ниже г. Кириши (январь) и в Черной (февраль) наблюдались наиболее высокие значения ХПК (6,7 нормы). </w:t>
      </w:r>
      <w:proofErr w:type="gramEnd"/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Концентрации азота аммонийного выше ПДК (1,6–2,4 ПДК) были зафиксированы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пробах, отобранных в озере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(февраль, апрель) и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(август). Концентрации азота нитратного не превышали ПДК. Превысившие ПДК концентрации азота нитритного наблюдались в отдельных пробах, отобранных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Селезневке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Мге,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Тосне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Тихвинке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Волхове, Шаре,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Тигоде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Назии, Луге, Оредеже и в озере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. Квалифицируемые как ВЗ концентрации азота нитритного были отмечены феврале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на границе города и области (26,4 ПДК); в апреле и августе - в озере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(36,5 и 10 ПДК).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Концентрации фосфора минерального выше ПДК (1,06–1,7 ПДК) зафиксированы в феврале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(август),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Пярдомле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(февраль) и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Тихвинке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(февраль, август). Наиболее высокое содержание азота общего, фосфора общего и валового было отмечено во все съемки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>: азот общий (1,51–3,31 мг/дм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>), фосфор общий (0,145–0262 мг/дм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>), фосфор валовый (0,197–0,42 мг/дм</w:t>
      </w:r>
      <w:r w:rsidRPr="00D070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Превысившие ПДК концентрации нефтепродуктов (до 2,6 ПДК) наблюдались в феврале в Шугозере, в феврале и августе - в Шарье; остальные концентрации не превышали ПДК. </w:t>
      </w:r>
      <w:proofErr w:type="gramStart"/>
      <w:r w:rsidRPr="00D07092">
        <w:rPr>
          <w:rFonts w:ascii="Times New Roman" w:eastAsia="Times New Roman" w:hAnsi="Times New Roman" w:cs="Times New Roman"/>
          <w:sz w:val="24"/>
          <w:szCs w:val="24"/>
        </w:rPr>
        <w:t>Концентрации</w:t>
      </w:r>
      <w:proofErr w:type="gram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СПАВ выше ПДК (до 2,5 ПДК) были зафиксированы в отдельных пробах, отобранных в Волхове и Черной в районе г. Кириши. Концентрации фенола не превышали ПДК.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Превышающие ПДК концентрации железа общего (до 23 ПДК) были обнаружены во всех пробах, отобранных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Селезневке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Волчьей,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Сяси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Воложбе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Ояти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Паше,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Пярдомле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Шарье,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Тигоде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Тихвинке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Черной, Назии; в большинстве проб –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Тосне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Волхове, Луге, Оредеже,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Суйде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, Плюссе, в озерах Шугозеро и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>; в остальных реках в единичных пробах.</w:t>
      </w:r>
      <w:proofErr w:type="gramEnd"/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Во всех отобранных пробах концентрации меди составили 1–23 ПДК, наибольшие значения были зафиксированы в Шарье (февраль) и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Сяси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черте г. Сясьстрой (март). Концентрация свинца выше ПДК (1,07 ПДК) зафиксирована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феврале. Концентрации марганца ниже ПДК наблюдались в Волчьей,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Воложбе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Суйде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. Превысившие ПДК концентрации марганца были обнаружены практически во всех пробах, отобранных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Селезневке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; в остальных водных объектах концентрации марганца выше ПДК наблюдались в отдельных пробах. Наиболее высокие квалифицируемые как ВЗ концентрации марганца были зафиксированы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(на границе города и области). Концентрации кадмия выше ПДК (до 2,7 ПДК) были зафиксированы в отдельных пробах, отобранных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Вуоксе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в апреле и мае, в районе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г. Каменногорск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Лесогорский. Наблюдения за содержанием в воде цинка, кобальта и никеля проводились в отдельных водных объектах. Концентрации кобальта не выходили за пределы установленных норм. Превышающие ПДК концентрации цинка были зафиксированы во всех водных объектах, за исключением Плюссы. Наибольшее значение (5,8 ПДК) было зафиксировано в истоке Невы в июле. Концентрации никеля выше ПДК (до 2,3 ПДК) были обнаружены в отдельных пробах в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Охте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092" w:rsidRPr="00D07092" w:rsidRDefault="00D07092" w:rsidP="00D07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В 2015 году наиболее загрязненными являются река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Охта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 xml:space="preserve"> и озеро </w:t>
      </w:r>
      <w:proofErr w:type="spellStart"/>
      <w:r w:rsidRPr="00D07092">
        <w:rPr>
          <w:rFonts w:ascii="Times New Roman" w:eastAsia="Times New Roman" w:hAnsi="Times New Roman" w:cs="Times New Roman"/>
          <w:sz w:val="24"/>
          <w:szCs w:val="24"/>
        </w:rPr>
        <w:t>Сяберо</w:t>
      </w:r>
      <w:proofErr w:type="spellEnd"/>
      <w:r w:rsidRPr="00D07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DC" w:rsidRDefault="006719DC" w:rsidP="0067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085F2C" w:rsidRPr="00085F2C" w:rsidRDefault="00085F2C" w:rsidP="0008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85F2C">
        <w:rPr>
          <w:rFonts w:ascii="Times New Roman" w:eastAsia="Times New Roman" w:hAnsi="Times New Roman" w:cs="Times New Roman"/>
          <w:b/>
          <w:sz w:val="24"/>
          <w:szCs w:val="24"/>
        </w:rPr>
        <w:t>. Качество атмосферного воздуха</w:t>
      </w:r>
    </w:p>
    <w:p w:rsidR="00085F2C" w:rsidRPr="00085F2C" w:rsidRDefault="00085F2C" w:rsidP="00085F2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Мониторинг качества атмосферного воздуха в </w:t>
      </w:r>
      <w:r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1B746A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проводился на 5-ти стационарных постах Государственной службы наблюдений и расположенных в </w:t>
      </w:r>
      <w:proofErr w:type="spellStart"/>
      <w:r w:rsidRPr="00085F2C">
        <w:rPr>
          <w:rFonts w:ascii="Times New Roman" w:eastAsia="Times New Roman" w:hAnsi="Times New Roman" w:cs="Times New Roman"/>
          <w:sz w:val="24"/>
          <w:szCs w:val="24"/>
        </w:rPr>
        <w:t>Кингисеппском</w:t>
      </w:r>
      <w:proofErr w:type="spellEnd"/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 (1 пост), </w:t>
      </w:r>
      <w:proofErr w:type="spellStart"/>
      <w:r w:rsidRPr="00085F2C">
        <w:rPr>
          <w:rFonts w:ascii="Times New Roman" w:eastAsia="Times New Roman" w:hAnsi="Times New Roman" w:cs="Times New Roman"/>
          <w:sz w:val="24"/>
          <w:szCs w:val="24"/>
        </w:rPr>
        <w:t>Лужском</w:t>
      </w:r>
      <w:proofErr w:type="spellEnd"/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 (1 пост), Выборгском (1 пост) и 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lastRenderedPageBreak/>
        <w:t>Киришском (2 поста) районах; на ПНЗА г. Светогорска, расположенном в Выборгском районе Ленинградской области.</w:t>
      </w:r>
    </w:p>
    <w:p w:rsidR="00085F2C" w:rsidRPr="00085F2C" w:rsidRDefault="00085F2C" w:rsidP="0008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sz w:val="24"/>
          <w:szCs w:val="24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(НП):</w:t>
      </w:r>
    </w:p>
    <w:p w:rsidR="00085F2C" w:rsidRPr="00085F2C" w:rsidRDefault="00085F2C" w:rsidP="0008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085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5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t>наибольшая разовая концентрация любого вещества, деленная на ПДК;</w:t>
      </w:r>
    </w:p>
    <w:p w:rsidR="00085F2C" w:rsidRPr="00085F2C" w:rsidRDefault="00085F2C" w:rsidP="0008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sz w:val="24"/>
          <w:szCs w:val="24"/>
        </w:rPr>
        <w:t>НП</w:t>
      </w:r>
      <w:r w:rsidRPr="00085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5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наибольшая повторяемость превышения ПДК, выраженная </w:t>
      </w:r>
      <w:proofErr w:type="gramStart"/>
      <w:r w:rsidRPr="00085F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085F2C" w:rsidRPr="00085F2C" w:rsidRDefault="00085F2C" w:rsidP="0008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sz w:val="24"/>
          <w:szCs w:val="24"/>
        </w:rPr>
        <w:t xml:space="preserve">Если СИ и НП попадают в разные градации, то степень загрязнения атмосферы оценивается по наибольшему значению из этих показателей. </w:t>
      </w:r>
    </w:p>
    <w:p w:rsidR="00085F2C" w:rsidRPr="00085F2C" w:rsidRDefault="00085F2C" w:rsidP="00085F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085F2C">
        <w:rPr>
          <w:rFonts w:ascii="Times New Roman" w:eastAsia="Times New Roman" w:hAnsi="Times New Roman" w:cs="Times New Roman"/>
        </w:rPr>
        <w:t>Таблица 2</w:t>
      </w:r>
    </w:p>
    <w:tbl>
      <w:tblPr>
        <w:tblW w:w="9217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3569"/>
        <w:gridCol w:w="1918"/>
        <w:gridCol w:w="1800"/>
      </w:tblGrid>
      <w:tr w:rsidR="00085F2C" w:rsidRPr="00085F2C" w:rsidTr="00085F2C">
        <w:trPr>
          <w:jc w:val="center"/>
        </w:trPr>
        <w:tc>
          <w:tcPr>
            <w:tcW w:w="193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Градации</w:t>
            </w:r>
          </w:p>
        </w:tc>
        <w:tc>
          <w:tcPr>
            <w:tcW w:w="3569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Загрязнение атмосферы</w:t>
            </w:r>
          </w:p>
        </w:tc>
        <w:tc>
          <w:tcPr>
            <w:tcW w:w="1918" w:type="dxa"/>
            <w:vAlign w:val="center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СИ</w:t>
            </w:r>
          </w:p>
        </w:tc>
        <w:tc>
          <w:tcPr>
            <w:tcW w:w="180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НП, %</w:t>
            </w:r>
          </w:p>
        </w:tc>
      </w:tr>
      <w:tr w:rsidR="00085F2C" w:rsidRPr="00085F2C" w:rsidTr="00085F2C">
        <w:trPr>
          <w:jc w:val="center"/>
        </w:trPr>
        <w:tc>
          <w:tcPr>
            <w:tcW w:w="1930" w:type="dxa"/>
          </w:tcPr>
          <w:p w:rsidR="00085F2C" w:rsidRPr="00085F2C" w:rsidRDefault="00085F2C" w:rsidP="00085F2C">
            <w:pPr>
              <w:spacing w:after="0" w:line="240" w:lineRule="auto"/>
              <w:ind w:left="-369" w:firstLine="36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F2C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569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Низкое</w:t>
            </w:r>
          </w:p>
        </w:tc>
        <w:tc>
          <w:tcPr>
            <w:tcW w:w="1918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от 0 до 1</w:t>
            </w:r>
          </w:p>
        </w:tc>
        <w:tc>
          <w:tcPr>
            <w:tcW w:w="180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5F2C" w:rsidRPr="00085F2C" w:rsidTr="00085F2C">
        <w:trPr>
          <w:jc w:val="center"/>
        </w:trPr>
        <w:tc>
          <w:tcPr>
            <w:tcW w:w="193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F2C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3569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Повышенное</w:t>
            </w:r>
          </w:p>
        </w:tc>
        <w:tc>
          <w:tcPr>
            <w:tcW w:w="1918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от 2 до 4</w:t>
            </w:r>
          </w:p>
        </w:tc>
        <w:tc>
          <w:tcPr>
            <w:tcW w:w="180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от 1 до 19</w:t>
            </w:r>
          </w:p>
        </w:tc>
      </w:tr>
      <w:tr w:rsidR="00085F2C" w:rsidRPr="00085F2C" w:rsidTr="00085F2C">
        <w:trPr>
          <w:jc w:val="center"/>
        </w:trPr>
        <w:tc>
          <w:tcPr>
            <w:tcW w:w="193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F2C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3569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Высокое</w:t>
            </w:r>
          </w:p>
        </w:tc>
        <w:tc>
          <w:tcPr>
            <w:tcW w:w="1918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от 5 до 10</w:t>
            </w:r>
          </w:p>
        </w:tc>
        <w:tc>
          <w:tcPr>
            <w:tcW w:w="180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от 20 до 49</w:t>
            </w:r>
          </w:p>
        </w:tc>
      </w:tr>
      <w:tr w:rsidR="00085F2C" w:rsidRPr="00085F2C" w:rsidTr="00085F2C">
        <w:trPr>
          <w:jc w:val="center"/>
        </w:trPr>
        <w:tc>
          <w:tcPr>
            <w:tcW w:w="193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F2C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3569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F2C">
              <w:rPr>
                <w:rFonts w:ascii="Times New Roman" w:eastAsia="Times New Roman" w:hAnsi="Times New Roman" w:cs="Times New Roman"/>
              </w:rPr>
              <w:t>Очень высокое</w:t>
            </w:r>
          </w:p>
        </w:tc>
        <w:tc>
          <w:tcPr>
            <w:tcW w:w="1918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F2C">
              <w:rPr>
                <w:rFonts w:ascii="Times New Roman" w:eastAsia="Times New Roman" w:hAnsi="Times New Roman" w:cs="Times New Roman"/>
                <w:lang w:val="en-US"/>
              </w:rPr>
              <w:t>&gt; 10</w:t>
            </w:r>
          </w:p>
        </w:tc>
        <w:tc>
          <w:tcPr>
            <w:tcW w:w="1800" w:type="dxa"/>
          </w:tcPr>
          <w:p w:rsidR="00085F2C" w:rsidRPr="00085F2C" w:rsidRDefault="00085F2C" w:rsidP="0008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5F2C">
              <w:rPr>
                <w:rFonts w:ascii="Times New Roman" w:eastAsia="Times New Roman" w:hAnsi="Times New Roman" w:cs="Times New Roman"/>
                <w:lang w:val="en-US"/>
              </w:rPr>
              <w:t>&gt; 50</w:t>
            </w:r>
          </w:p>
        </w:tc>
      </w:tr>
    </w:tbl>
    <w:p w:rsidR="00085F2C" w:rsidRPr="006719DC" w:rsidRDefault="00085F2C" w:rsidP="0067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085F2C" w:rsidRPr="00085F2C" w:rsidRDefault="00085F2C" w:rsidP="00085F2C">
      <w:pPr>
        <w:tabs>
          <w:tab w:val="left" w:pos="316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085F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Город Выборг</w:t>
      </w:r>
    </w:p>
    <w:p w:rsidR="001B746A" w:rsidRPr="001B746A" w:rsidRDefault="001B746A" w:rsidP="001B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1B746A">
        <w:rPr>
          <w:rFonts w:ascii="Times New Roman" w:eastAsia="Times New Roman" w:hAnsi="Times New Roman" w:cs="Times New Roman"/>
          <w:sz w:val="24"/>
          <w:szCs w:val="24"/>
        </w:rPr>
        <w:t xml:space="preserve">Наблюдения проводятся на посту Государственной службы наблюдений за состоянием окружающей природной среды, принадлежащем ФГБУ «Северо-Западное УГМС». Пост расположен по адресу: Ленинградский пр., 15, отбор проб проводился ежедневно 4 раза в сутки. Измерялись концентрации взвешенных веществ, диоксида серы, оксида углерода, диоксида азота, тяжелых металлов, ароматических углеводородов. Не проводились измерения оксида углерода в апреле, мае и июне, ароматических углеводородов - с апреля по сентябрь. </w:t>
      </w:r>
    </w:p>
    <w:p w:rsidR="001B746A" w:rsidRPr="001B746A" w:rsidRDefault="001B746A" w:rsidP="001B746A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B74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Концентрации взвешенных веществ</w:t>
      </w:r>
      <w:r w:rsidR="00E138B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Pr="001B74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1B746A">
        <w:rPr>
          <w:rFonts w:ascii="Times New Roman" w:eastAsia="Times New Roman" w:hAnsi="Times New Roman" w:cs="Times New Roman"/>
          <w:sz w:val="24"/>
          <w:szCs w:val="24"/>
        </w:rPr>
        <w:t>Средние за месяц концентрации изменялись в диапазоне от 0,4 до 1,6 </w:t>
      </w:r>
      <w:proofErr w:type="spellStart"/>
      <w:r w:rsidRPr="001B746A">
        <w:rPr>
          <w:rFonts w:ascii="Times New Roman" w:eastAsia="Times New Roman" w:hAnsi="Times New Roman" w:cs="Times New Roman"/>
          <w:sz w:val="24"/>
          <w:szCs w:val="24"/>
        </w:rPr>
        <w:t>ПДКс.с</w:t>
      </w:r>
      <w:proofErr w:type="spellEnd"/>
      <w:r w:rsidRPr="001B746A">
        <w:rPr>
          <w:rFonts w:ascii="Times New Roman" w:eastAsia="Times New Roman" w:hAnsi="Times New Roman" w:cs="Times New Roman"/>
          <w:sz w:val="24"/>
          <w:szCs w:val="24"/>
        </w:rPr>
        <w:t>., наибольшая из них наблюдалась в марте.</w:t>
      </w:r>
      <w:proofErr w:type="gramEnd"/>
      <w:r w:rsidRPr="001B746A">
        <w:rPr>
          <w:rFonts w:ascii="Times New Roman" w:eastAsia="Times New Roman" w:hAnsi="Times New Roman" w:cs="Times New Roman"/>
          <w:sz w:val="24"/>
          <w:szCs w:val="24"/>
        </w:rPr>
        <w:t xml:space="preserve"> Уровень загрязнения воздуха пылью оценивается как повышенный в январе (НП - 2,8 %), марте (НП - 4 %, СИ - 3,2) апреле (НП - 8 %, СИ - 2,8) и июле (НП - 3,8 %), в феврале, мае, июне, августе и сентябре - как низкий. </w:t>
      </w:r>
    </w:p>
    <w:p w:rsidR="001B746A" w:rsidRPr="001B746A" w:rsidRDefault="001B746A" w:rsidP="001B746A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4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Концентрации диоксида серы и оксида углерода. </w:t>
      </w:r>
      <w:r w:rsidRPr="001B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Средние значения за месяц и максимальные из разовых концентраций не превышали установленных санитарных норм.</w:t>
      </w:r>
    </w:p>
    <w:p w:rsidR="001B746A" w:rsidRPr="001B746A" w:rsidRDefault="001B746A" w:rsidP="001B7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Концентрации диоксида азота</w:t>
      </w:r>
      <w:r w:rsidRPr="001B7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B746A">
        <w:rPr>
          <w:rFonts w:ascii="Times New Roman" w:eastAsia="Times New Roman" w:hAnsi="Times New Roman" w:cs="Times New Roman"/>
          <w:sz w:val="24"/>
          <w:szCs w:val="24"/>
        </w:rPr>
        <w:t xml:space="preserve">Средние концентрации за месяц изменялись от 0,7 до 1,4 </w:t>
      </w:r>
      <w:proofErr w:type="spellStart"/>
      <w:r w:rsidRPr="001B746A">
        <w:rPr>
          <w:rFonts w:ascii="Times New Roman" w:eastAsia="Times New Roman" w:hAnsi="Times New Roman" w:cs="Times New Roman"/>
          <w:sz w:val="24"/>
          <w:szCs w:val="24"/>
        </w:rPr>
        <w:t>ПДКс.с</w:t>
      </w:r>
      <w:proofErr w:type="spellEnd"/>
      <w:r w:rsidRPr="001B746A">
        <w:rPr>
          <w:rFonts w:ascii="Times New Roman" w:eastAsia="Times New Roman" w:hAnsi="Times New Roman" w:cs="Times New Roman"/>
          <w:sz w:val="24"/>
          <w:szCs w:val="24"/>
        </w:rPr>
        <w:t>., наибольшая из них была в августе.</w:t>
      </w:r>
      <w:proofErr w:type="gramEnd"/>
      <w:r w:rsidRPr="001B746A">
        <w:rPr>
          <w:rFonts w:ascii="Times New Roman" w:eastAsia="Times New Roman" w:hAnsi="Times New Roman" w:cs="Times New Roman"/>
          <w:sz w:val="24"/>
          <w:szCs w:val="24"/>
        </w:rPr>
        <w:t xml:space="preserve"> Загрязненность воздуха диоксидом азота квалифицируется как повышенная в январе, марте, в период с мая по август (значения НП изменялись от 1 % до 2,9 %), как низкая  - в феврале, апреле и сентябре. </w:t>
      </w:r>
    </w:p>
    <w:p w:rsidR="001B746A" w:rsidRPr="001B746A" w:rsidRDefault="001B746A" w:rsidP="001B746A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74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Концентрации специфических примесей.</w:t>
      </w:r>
      <w:r w:rsidRPr="001B74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B7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Содержание в воздухе бензола, ксилолов, толуола и этилбензола в январе, феврале и марте было незначительным: концентрации не превышали ПДК. </w:t>
      </w:r>
    </w:p>
    <w:p w:rsidR="001B746A" w:rsidRDefault="001B746A" w:rsidP="001B746A">
      <w:pPr>
        <w:tabs>
          <w:tab w:val="left" w:pos="384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46A">
        <w:rPr>
          <w:rFonts w:ascii="Times New Roman" w:eastAsia="Times New Roman" w:hAnsi="Times New Roman" w:cs="Times New Roman"/>
          <w:sz w:val="24"/>
          <w:szCs w:val="24"/>
        </w:rPr>
        <w:t>Содержание тяжелых металлов с января по август в воздухе не превышало ПДК.</w:t>
      </w:r>
    </w:p>
    <w:p w:rsidR="00E138BB" w:rsidRPr="00CE319E" w:rsidRDefault="00E138BB" w:rsidP="00E13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9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загрязнения атмосферного воздуха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3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8BB" w:rsidRPr="00CE319E" w:rsidRDefault="00E138BB" w:rsidP="00E138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CE319E">
        <w:rPr>
          <w:rFonts w:ascii="Times New Roman" w:eastAsia="Times New Roman" w:hAnsi="Times New Roman" w:cs="Times New Roman"/>
        </w:rPr>
        <w:t xml:space="preserve">Таблица </w:t>
      </w:r>
      <w:r>
        <w:rPr>
          <w:rFonts w:ascii="Times New Roman" w:eastAsia="Times New Roman" w:hAnsi="Times New Roman" w:cs="Times New Roman"/>
        </w:rPr>
        <w:t>3</w:t>
      </w:r>
      <w:r w:rsidR="00DE1B96">
        <w:rPr>
          <w:rFonts w:ascii="Times New Roman" w:eastAsia="Times New Roman" w:hAnsi="Times New Roman" w:cs="Times New Roman"/>
        </w:rPr>
        <w:t xml:space="preserve">  </w:t>
      </w:r>
      <w:r w:rsidR="006E22D0">
        <w:rPr>
          <w:rFonts w:ascii="Times New Roman" w:eastAsia="Times New Roman" w:hAnsi="Times New Roman" w:cs="Times New Roman"/>
        </w:rPr>
        <w:t xml:space="preserve">  </w:t>
      </w:r>
      <w:r w:rsidR="00ED4DBE">
        <w:rPr>
          <w:rFonts w:ascii="Times New Roman" w:eastAsia="Times New Roman" w:hAnsi="Times New Roman" w:cs="Times New Roman"/>
        </w:rPr>
        <w:t xml:space="preserve"> </w:t>
      </w:r>
    </w:p>
    <w:tbl>
      <w:tblPr>
        <w:tblW w:w="9091" w:type="dxa"/>
        <w:jc w:val="center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240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73953" w:rsidRPr="001B746A" w:rsidTr="00673953">
        <w:trPr>
          <w:jc w:val="center"/>
        </w:trPr>
        <w:tc>
          <w:tcPr>
            <w:tcW w:w="2127" w:type="dxa"/>
            <w:vMerge w:val="restart"/>
            <w:vAlign w:val="center"/>
          </w:tcPr>
          <w:p w:rsidR="00673953" w:rsidRPr="001B746A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240" w:type="dxa"/>
            <w:vMerge w:val="restart"/>
          </w:tcPr>
          <w:p w:rsidR="00673953" w:rsidRPr="001B746A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5724" w:type="dxa"/>
            <w:gridSpan w:val="9"/>
          </w:tcPr>
          <w:p w:rsidR="00673953" w:rsidRPr="001B746A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1B746A" w:rsidRPr="001B746A" w:rsidTr="00ED4DBE">
        <w:trPr>
          <w:jc w:val="center"/>
        </w:trPr>
        <w:tc>
          <w:tcPr>
            <w:tcW w:w="2127" w:type="dxa"/>
            <w:vMerge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36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36" w:type="dxa"/>
            <w:shd w:val="clear" w:color="auto" w:fill="auto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1B746A" w:rsidRPr="001B746A" w:rsidTr="00ED4DBE">
        <w:trPr>
          <w:jc w:val="center"/>
        </w:trPr>
        <w:tc>
          <w:tcPr>
            <w:tcW w:w="2127" w:type="dxa"/>
            <w:vMerge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4" w:type="dxa"/>
            <w:gridSpan w:val="9"/>
            <w:shd w:val="clear" w:color="auto" w:fill="auto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Концентрация, в долях ПДК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 w:val="restart"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 w:val="restart"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 w:val="restart"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 w:val="restart"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/>
            <w:vAlign w:val="center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 w:val="restart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  <w:vMerge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Ксилолы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Толуол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B746A" w:rsidRPr="001B746A" w:rsidTr="00673953">
        <w:trPr>
          <w:jc w:val="center"/>
        </w:trPr>
        <w:tc>
          <w:tcPr>
            <w:tcW w:w="2127" w:type="dxa"/>
          </w:tcPr>
          <w:p w:rsidR="001B746A" w:rsidRPr="001B746A" w:rsidRDefault="001B746A" w:rsidP="001B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240" w:type="dxa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1B7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746A" w:rsidRPr="001B746A" w:rsidRDefault="001B746A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85F2C" w:rsidRPr="00710375" w:rsidRDefault="00085F2C" w:rsidP="00442027">
      <w:pPr>
        <w:tabs>
          <w:tab w:val="left" w:pos="38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03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Город Кириши</w:t>
      </w:r>
    </w:p>
    <w:p w:rsidR="00673953" w:rsidRPr="00673953" w:rsidRDefault="00673953" w:rsidP="00673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Наблюдения проводятся на 2-х стационарных постах Государственной службы наблюдений за состоянием окружающей среды, принадлежащих ФГБУ «Северо-Западное УГМС». </w:t>
      </w:r>
      <w:r w:rsidRPr="00673953">
        <w:rPr>
          <w:rFonts w:ascii="Times New Roman" w:eastAsia="Times New Roman" w:hAnsi="Times New Roman" w:cs="Times New Roman"/>
          <w:sz w:val="24"/>
        </w:rPr>
        <w:t>Пост № 4 расположен по адресу пр. Ленина, 6 и пост № 5 - Волховская набережная, 17, отбор проб проводился ежедневно 4 раза в сутки. Измерялись концентрации взвешенных веществ, диоксида серы, диоксида азота, оксида азота, сероводорода, окиси углерода, аммиака, ароматических углеводородов, бен</w:t>
      </w:r>
      <w:proofErr w:type="gramStart"/>
      <w:r w:rsidRPr="00673953">
        <w:rPr>
          <w:rFonts w:ascii="Times New Roman" w:eastAsia="Times New Roman" w:hAnsi="Times New Roman" w:cs="Times New Roman"/>
          <w:sz w:val="24"/>
        </w:rPr>
        <w:t>з(</w:t>
      </w:r>
      <w:proofErr w:type="gramEnd"/>
      <w:r w:rsidRPr="00673953">
        <w:rPr>
          <w:rFonts w:ascii="Times New Roman" w:eastAsia="Times New Roman" w:hAnsi="Times New Roman" w:cs="Times New Roman"/>
          <w:sz w:val="24"/>
        </w:rPr>
        <w:t>а)пирена и тяжелых металлов.</w:t>
      </w:r>
      <w:r w:rsidRPr="0067395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673953">
        <w:rPr>
          <w:rFonts w:ascii="Times New Roman" w:eastAsia="Times New Roman" w:hAnsi="Times New Roman" w:cs="Times New Roman"/>
          <w:sz w:val="24"/>
        </w:rPr>
        <w:t xml:space="preserve">Результаты анализа данных </w:t>
      </w:r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этилбензола, бензола, ксилолов и толуола за сентябрь предварительные.</w:t>
      </w:r>
    </w:p>
    <w:p w:rsidR="00673953" w:rsidRPr="00673953" w:rsidRDefault="00673953" w:rsidP="00673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Концентрации взвешенных веществ. 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Средние 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месяц концентрации взвешенных веществ в целом по городу с января по сентябрь</w:t>
      </w:r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были от 0,2 до 0,7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ПДКс.с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Максимальные разовые концентрации пыли, измеренные  на посту № 4, превышали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марте (СИ - 3), апреле (СИ - 4,6), июле (СИ - 2,4) и августе (СИ - 4,2) соответственно. Уровень загрязнения воздуха пылью в целом по городу в январе, феврале, мае, июне и сентябре квалифицировался как низкий, а в марте (СИ - 3, НП - 6,9 %), апреле (СИ - 4,6, НП - 4,12 %), июле (СИ - 2,4, НП - 2,1 %)  и августе (СИ - 4,2, НП - 2,6 %) оценивался как повышенный.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оксида углерода.</w:t>
      </w:r>
      <w:r w:rsidRPr="00673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Средние за месяц концентрации в целом по городу составляли 0,1 - 0,5 </w:t>
      </w:r>
      <w:proofErr w:type="spellStart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ПДКс.с</w:t>
      </w:r>
      <w:proofErr w:type="spellEnd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На посту № 4 были измерены максимальные </w:t>
      </w:r>
      <w:proofErr w:type="gramStart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концентрации</w:t>
      </w:r>
      <w:proofErr w:type="gramEnd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превысившие </w:t>
      </w:r>
      <w:proofErr w:type="spellStart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.: в марте - в 2,6 раза, в июне  - в 1,5 раз, в августе в -  1,8 раз. Уровень загрязнения воздуха оксидом углерода в целом по городу в январе, феврале, апреле, мае, июле и сентябре  квалифицируется как низкий, в марте (СИ - 2,6, НП - 1,3 %), июне (НП - 2,8 %, СИ - 1,5) и августе (НП - 1,3 %, СИ - 1,8)  - как повышенный.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диоксида серы, диоксида и оксида азота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Уровень загрязнения воздуха этими веществами низкий. Средние за месяц и максимальные разовые концентрации не превышали установленных норм.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бен</w:t>
      </w:r>
      <w:proofErr w:type="gramStart"/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з(</w:t>
      </w:r>
      <w:proofErr w:type="gramEnd"/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а)пирена.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Среднемесячные концентрации в целом по городу с января по август были от 0,1 до 0,6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spellEnd"/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., наибольшая среднемесячная концентрация измерена в январе на посту № 4. Степень загрязнения воздуха бен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з(</w:t>
      </w:r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а)пиреном характеризуется как низкая.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специфических примесей.</w:t>
      </w:r>
      <w:r w:rsidRPr="00673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Уровень загрязнения воздуха данной примесью в период с января по сентябрь оценивается как низкий. Содержание аммиака, этилбензола, бензола, ксилолов и толуола было незначительным: средние за месяц и максимальные разовые концентрации не превышали ПДК.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тяжелых металлов с января по август в воздухе города не превышало ПДК.</w:t>
      </w:r>
    </w:p>
    <w:p w:rsidR="00673953" w:rsidRPr="00CE319E" w:rsidRDefault="00673953" w:rsidP="00673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19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загрязнения атмосферного воздуха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31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3953" w:rsidRPr="00CE319E" w:rsidRDefault="00673953" w:rsidP="0067395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CE319E">
        <w:rPr>
          <w:rFonts w:ascii="Times New Roman" w:eastAsia="Times New Roman" w:hAnsi="Times New Roman" w:cs="Times New Roman"/>
        </w:rPr>
        <w:t xml:space="preserve">Таблица </w:t>
      </w:r>
      <w:r>
        <w:rPr>
          <w:rFonts w:ascii="Times New Roman" w:eastAsia="Times New Roman" w:hAnsi="Times New Roman" w:cs="Times New Roman"/>
        </w:rPr>
        <w:t>4</w:t>
      </w:r>
    </w:p>
    <w:tbl>
      <w:tblPr>
        <w:tblW w:w="9199" w:type="dxa"/>
        <w:jc w:val="center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1131"/>
        <w:gridCol w:w="636"/>
        <w:gridCol w:w="636"/>
        <w:gridCol w:w="636"/>
        <w:gridCol w:w="665"/>
        <w:gridCol w:w="636"/>
        <w:gridCol w:w="636"/>
        <w:gridCol w:w="636"/>
        <w:gridCol w:w="636"/>
        <w:gridCol w:w="795"/>
      </w:tblGrid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131" w:type="dxa"/>
            <w:vMerge w:val="restart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5912" w:type="dxa"/>
            <w:gridSpan w:val="9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6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79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2" w:type="dxa"/>
            <w:gridSpan w:val="9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Концентрация, в долях ПДК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73953" w:rsidRPr="00673953" w:rsidTr="00673953">
        <w:trPr>
          <w:trHeight w:val="257"/>
          <w:jc w:val="center"/>
        </w:trPr>
        <w:tc>
          <w:tcPr>
            <w:tcW w:w="215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Аммиак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Ксилолы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Бенз (а</w:t>
            </w: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)п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ирен</w:t>
            </w: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3953" w:rsidRPr="00673953" w:rsidTr="00673953">
        <w:trPr>
          <w:jc w:val="center"/>
        </w:trPr>
        <w:tc>
          <w:tcPr>
            <w:tcW w:w="2156" w:type="dxa"/>
            <w:vMerge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6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5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10375" w:rsidRDefault="00710375" w:rsidP="0071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5F2C" w:rsidRPr="00710375" w:rsidRDefault="00085F2C" w:rsidP="007103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71037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Город Светогорск</w:t>
      </w:r>
    </w:p>
    <w:p w:rsidR="00673953" w:rsidRPr="00673953" w:rsidRDefault="00673953" w:rsidP="00673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Наблюдения проводятся на стационарном посту, принадлежащем ЗАО «Интернешнл Пейпер». Пост расположен в жилой 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застройке города</w:t>
      </w:r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3953">
        <w:rPr>
          <w:rFonts w:ascii="Times New Roman" w:eastAsia="Times New Roman" w:hAnsi="Times New Roman" w:cs="Times New Roman"/>
          <w:sz w:val="24"/>
        </w:rPr>
        <w:t>по адресу ул. Парковая, д. 8, отбор проб проводился по скользящему графику: в 8, 11 и 14</w:t>
      </w:r>
      <w:r w:rsidRPr="00673953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673953">
        <w:rPr>
          <w:rFonts w:ascii="Times New Roman" w:eastAsia="Times New Roman" w:hAnsi="Times New Roman" w:cs="Times New Roman"/>
          <w:sz w:val="24"/>
        </w:rPr>
        <w:t xml:space="preserve">часов по вторникам, четвергам и субботам; в 15, 18 и 21 час – понедельник, среда, пятница. Измерялись концентрации взвешенных веществ, оксида углерода, диоксида азота, сероводорода и формальдегида. В январе и феврале концентрации оксида углерода не измерялись.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взвешенных веществ, оксида углерода и диоксида азота.</w:t>
      </w:r>
      <w:r w:rsidRPr="00673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Содержание взвешенных веществ, оксида углерода и диоксида азота в воздухе города было незначительным: средние за месяц концентрации и разовые концентрации этих веществ не превышали установленных ПДК. Максимальная разовая концентрация оксида углерода составила 0,8 </w:t>
      </w:r>
      <w:proofErr w:type="spellStart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(май), диоксида азота – 0,7 </w:t>
      </w:r>
      <w:proofErr w:type="spellStart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(июнь). Загрязнение воздуха данными примесями низкое.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специфических примесей.</w:t>
      </w:r>
      <w:r w:rsidRPr="00673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загрязнения воздуха сероводородом в январе и феврале оценивается как повышенный (значения СИ - 3,6 и 3,3 соответственно); в марте  (СИ - 11) и июле (СИ - 10,3) - как очень высокий; в апреле (СИ - 5,5), мае (СИ - 6,6), июне (СИ - 5,1), августе (СИ - 7,9) - как высокий.</w:t>
      </w:r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Повторяемость превышений концентрациями ПДК (НП) в период с января по август была от 8,3 % до 18 %. </w:t>
      </w:r>
    </w:p>
    <w:p w:rsidR="00673953" w:rsidRPr="00673953" w:rsidRDefault="00673953" w:rsidP="00673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9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утвержденными в 2014 году санитарными нормативами для концентраций формальдегида, с января по август средние концентрации формальдегида за месяц составляли от 0,8 до 1,8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</w:rPr>
        <w:t>ПДКс.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</w:rPr>
        <w:t xml:space="preserve"> концентрация соответствовала 1 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</w:rPr>
        <w:t xml:space="preserve">. (апрель). Уровень загрязнения формальдегидом оценивается как низкий. </w:t>
      </w:r>
    </w:p>
    <w:p w:rsidR="00673953" w:rsidRPr="00710375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0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Характеристики загрязнения атмосферного воздуха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103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3953" w:rsidRPr="00710375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710375">
        <w:rPr>
          <w:rFonts w:ascii="Times New Roman" w:eastAsia="Times New Roman" w:hAnsi="Times New Roman" w:cs="Times New Roman"/>
          <w:lang w:eastAsia="ar-SA"/>
        </w:rPr>
        <w:t>Таблица 5</w:t>
      </w:r>
    </w:p>
    <w:tbl>
      <w:tblPr>
        <w:tblW w:w="9101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1182"/>
        <w:gridCol w:w="727"/>
        <w:gridCol w:w="671"/>
        <w:gridCol w:w="636"/>
        <w:gridCol w:w="695"/>
        <w:gridCol w:w="637"/>
        <w:gridCol w:w="634"/>
        <w:gridCol w:w="805"/>
        <w:gridCol w:w="723"/>
      </w:tblGrid>
      <w:tr w:rsidR="00673953" w:rsidRPr="00673953" w:rsidTr="00673953">
        <w:trPr>
          <w:jc w:val="center"/>
        </w:trPr>
        <w:tc>
          <w:tcPr>
            <w:tcW w:w="2391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182" w:type="dxa"/>
            <w:vMerge w:val="restart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5528" w:type="dxa"/>
            <w:gridSpan w:val="8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7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34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0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723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8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Концентрация, в долях ПДК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4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0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9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4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0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3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71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9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4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3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71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9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4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0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673953" w:rsidRPr="00673953" w:rsidTr="00673953">
        <w:trPr>
          <w:trHeight w:val="257"/>
          <w:jc w:val="center"/>
        </w:trPr>
        <w:tc>
          <w:tcPr>
            <w:tcW w:w="2391" w:type="dxa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671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636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695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37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634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0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23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 w:val="restart"/>
            <w:vAlign w:val="center"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71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9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4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0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23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673953" w:rsidRPr="00673953" w:rsidTr="00673953">
        <w:trPr>
          <w:jc w:val="center"/>
        </w:trPr>
        <w:tc>
          <w:tcPr>
            <w:tcW w:w="2391" w:type="dxa"/>
            <w:vMerge/>
          </w:tcPr>
          <w:p w:rsidR="00673953" w:rsidRPr="00673953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6739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71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9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7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4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5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23" w:type="dxa"/>
            <w:vAlign w:val="bottom"/>
          </w:tcPr>
          <w:p w:rsidR="00673953" w:rsidRPr="00673953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</w:tbl>
    <w:p w:rsidR="00673953" w:rsidRDefault="00673953" w:rsidP="007103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085F2C" w:rsidRPr="00710375" w:rsidRDefault="00085F2C" w:rsidP="007103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71037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Город Кингисепп</w:t>
      </w:r>
    </w:p>
    <w:p w:rsidR="00673953" w:rsidRPr="00673953" w:rsidRDefault="00673953" w:rsidP="00673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Наблюдения проводятся на посту Государственной службы наблюдений за состоянием окружающей среды, принадлежащем ФГБУ «Северо-Западное УГМС». П</w:t>
      </w:r>
      <w:r w:rsidRPr="00673953">
        <w:rPr>
          <w:rFonts w:ascii="Times New Roman" w:eastAsia="Times New Roman" w:hAnsi="Times New Roman" w:cs="Times New Roman"/>
          <w:sz w:val="24"/>
        </w:rPr>
        <w:t xml:space="preserve">ост расположен по адресу ул. </w:t>
      </w:r>
      <w:proofErr w:type="gramStart"/>
      <w:r w:rsidRPr="00673953">
        <w:rPr>
          <w:rFonts w:ascii="Times New Roman" w:eastAsia="Times New Roman" w:hAnsi="Times New Roman" w:cs="Times New Roman"/>
          <w:sz w:val="24"/>
        </w:rPr>
        <w:t>Октябрьская</w:t>
      </w:r>
      <w:proofErr w:type="gramEnd"/>
      <w:r w:rsidRPr="00673953">
        <w:rPr>
          <w:rFonts w:ascii="Times New Roman" w:eastAsia="Times New Roman" w:hAnsi="Times New Roman" w:cs="Times New Roman"/>
          <w:sz w:val="24"/>
        </w:rPr>
        <w:t>, 4а, отбор проб проводился ежедневно 4</w:t>
      </w:r>
      <w:r w:rsidRPr="0067395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673953">
        <w:rPr>
          <w:rFonts w:ascii="Times New Roman" w:eastAsia="Times New Roman" w:hAnsi="Times New Roman" w:cs="Times New Roman"/>
          <w:sz w:val="24"/>
        </w:rPr>
        <w:t xml:space="preserve">раза в сутки. Измерялись концентрации взвешенных веществ, диоксида серы, оксида углерода, </w:t>
      </w:r>
      <w:r w:rsidRPr="00673953">
        <w:rPr>
          <w:rFonts w:ascii="Times New Roman" w:eastAsia="Times New Roman" w:hAnsi="Times New Roman" w:cs="Times New Roman"/>
          <w:sz w:val="24"/>
        </w:rPr>
        <w:lastRenderedPageBreak/>
        <w:t xml:space="preserve">диоксида азота, ароматических углеводородов и тяжелых металлов. </w:t>
      </w:r>
      <w:r w:rsidRPr="00673953">
        <w:rPr>
          <w:rFonts w:ascii="Times New Roman" w:eastAsia="Times New Roman" w:hAnsi="Times New Roman" w:cs="Times New Roman"/>
          <w:sz w:val="24"/>
          <w:szCs w:val="24"/>
        </w:rPr>
        <w:t>Не проводились измерения оксида углерода - в мае, ароматических углеводородов в апреле, мае, июле, августе и сентябре.</w:t>
      </w:r>
      <w:r w:rsidRPr="006739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взвешенных веществ.</w:t>
      </w:r>
      <w:r w:rsidRPr="00673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Среднемесячные концентрация взвешенных веществ с января по сентябрь были от 0,4 до 1,9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ПДКс.с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(июнь). В июне максимальная концентрация превысила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7,2 раза (СИ - 7,2), НП составила 11 %. Уровень загрязненности воздуха взвешенными веществами в июне был высокий (СИ - 7,2), в феврале, августе и сентябре - низкий. Повышенное загрязнение пылью наблюдалось в январе-мае и июле: значения НП были от 1,9 % до 6 %, значения СИ - от 1,2 до 2,6. 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диоксида серы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оксида углерода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. Средние за месяц концентрации не превышали 0,6 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spellEnd"/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</w:t>
      </w:r>
      <w:proofErr w:type="gram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концентрация составила 1,2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. (февраль). Уровень загрязнения оценивался как повышенный в феврале и апреле (НП - 4,3 % и 2,8 % соответственно), как низкий - в январе, марте и с июня по сентябрь.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диоксида азота</w:t>
      </w:r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Среднемесячные концентрации с января по сентябрь находились в диапазоне от 0,7 до 1,4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ПДКс.с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(май). Максимальная разовая концентрация составила 2,4 </w:t>
      </w:r>
      <w:proofErr w:type="spellStart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ПДКм.р</w:t>
      </w:r>
      <w:proofErr w:type="spellEnd"/>
      <w:r w:rsidRPr="00673953">
        <w:rPr>
          <w:rFonts w:ascii="Times New Roman" w:eastAsia="Times New Roman" w:hAnsi="Times New Roman" w:cs="Times New Roman"/>
          <w:sz w:val="24"/>
          <w:szCs w:val="24"/>
          <w:lang w:eastAsia="ar-SA"/>
        </w:rPr>
        <w:t>. (июль). Уровень загрязнения воздуха диоксидом азота в период с января по май, в августе и сентябре был низкий, в июне (НП - 1,9 %, СИ - 1,9) и июле (НП - 2,8 %, СИ - 2,4) - повышенный.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специфических примесей.</w:t>
      </w:r>
      <w:r w:rsidRPr="006739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6739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Загрязнение воздуха бензолом, ксилолами, толуолом и этилбензолом в январе, феврале, марте и июне квалифицировалось как низкое: санитарные нормативы не были превышены.</w:t>
      </w:r>
    </w:p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673953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Содержание тяжелых металлов (январь – август) в воздухе города не превышало ПДК.</w:t>
      </w:r>
    </w:p>
    <w:p w:rsidR="00673953" w:rsidRPr="00710375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0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Характеристики загрязнения атмосферного воздуха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103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3953" w:rsidRPr="00710375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710375">
        <w:rPr>
          <w:rFonts w:ascii="Times New Roman" w:eastAsia="Times New Roman" w:hAnsi="Times New Roman" w:cs="Times New Roman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lang w:eastAsia="ar-SA"/>
        </w:rPr>
        <w:t>6</w:t>
      </w:r>
    </w:p>
    <w:tbl>
      <w:tblPr>
        <w:tblW w:w="9010" w:type="dxa"/>
        <w:jc w:val="center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131"/>
        <w:gridCol w:w="636"/>
        <w:gridCol w:w="636"/>
        <w:gridCol w:w="636"/>
        <w:gridCol w:w="636"/>
        <w:gridCol w:w="636"/>
        <w:gridCol w:w="636"/>
        <w:gridCol w:w="636"/>
        <w:gridCol w:w="636"/>
        <w:gridCol w:w="700"/>
      </w:tblGrid>
      <w:tr w:rsidR="00673953" w:rsidRPr="00673953" w:rsidTr="00272BF4">
        <w:trPr>
          <w:jc w:val="center"/>
        </w:trPr>
        <w:tc>
          <w:tcPr>
            <w:tcW w:w="2091" w:type="dxa"/>
            <w:vMerge w:val="restart"/>
            <w:vAlign w:val="center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131" w:type="dxa"/>
            <w:vMerge w:val="restart"/>
            <w:vAlign w:val="center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5788" w:type="dxa"/>
            <w:gridSpan w:val="9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  <w:vAlign w:val="center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700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  <w:vAlign w:val="center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8" w:type="dxa"/>
            <w:gridSpan w:val="9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Концентрация, в долях ПДК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 w:val="restart"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 w:val="restart"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 w:val="restart"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 w:val="restart"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  <w:vAlign w:val="center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6" w:type="dxa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 w:val="restart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-*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  <w:vMerge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Ксилолы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73953" w:rsidRPr="00673953" w:rsidTr="00272BF4">
        <w:trPr>
          <w:jc w:val="center"/>
        </w:trPr>
        <w:tc>
          <w:tcPr>
            <w:tcW w:w="2091" w:type="dxa"/>
          </w:tcPr>
          <w:p w:rsidR="00673953" w:rsidRPr="00272BF4" w:rsidRDefault="00673953" w:rsidP="0067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131" w:type="dxa"/>
          </w:tcPr>
          <w:p w:rsidR="00673953" w:rsidRPr="00272BF4" w:rsidRDefault="00673953" w:rsidP="0027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bottom"/>
          </w:tcPr>
          <w:p w:rsidR="00673953" w:rsidRPr="00272BF4" w:rsidRDefault="00673953" w:rsidP="0067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73953" w:rsidRPr="00673953" w:rsidRDefault="00673953" w:rsidP="00673953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3953">
        <w:rPr>
          <w:rFonts w:ascii="Times New Roman" w:eastAsia="Times New Roman" w:hAnsi="Times New Roman" w:cs="Times New Roman"/>
          <w:sz w:val="20"/>
          <w:szCs w:val="20"/>
          <w:lang w:eastAsia="ar-SA"/>
        </w:rPr>
        <w:t>-* - количество наблюдений за бензолом было недостаточным для расчета средней концентрации за месяц.</w:t>
      </w:r>
    </w:p>
    <w:p w:rsidR="008E30C4" w:rsidRDefault="008E30C4" w:rsidP="008E30C4">
      <w:pPr>
        <w:tabs>
          <w:tab w:val="left" w:pos="38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85F2C" w:rsidRPr="008E30C4" w:rsidRDefault="00085F2C" w:rsidP="008E30C4">
      <w:pPr>
        <w:tabs>
          <w:tab w:val="left" w:pos="38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E30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Город Луга</w:t>
      </w:r>
    </w:p>
    <w:p w:rsidR="00272BF4" w:rsidRPr="00272BF4" w:rsidRDefault="00272BF4" w:rsidP="00272BF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</w:rPr>
      </w:pPr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Наблюдения проводятся на стационарном посту Государственной службы наблюдений за состоянием окружающей среды, принадлежащем ФГБУ «Северо-Западное УГМС». Пост расположен в жилой </w:t>
      </w:r>
      <w:proofErr w:type="gram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застройке города</w:t>
      </w:r>
      <w:proofErr w:type="gramEnd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Pr="00272BF4">
        <w:rPr>
          <w:rFonts w:ascii="Times New Roman" w:eastAsia="Times New Roman" w:hAnsi="Times New Roman" w:cs="Times New Roman"/>
          <w:sz w:val="24"/>
        </w:rPr>
        <w:t>адресу ул. Дзержинского, 11,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</w:t>
      </w:r>
      <w:r w:rsidRPr="00272BF4">
        <w:rPr>
          <w:rFonts w:ascii="Calibri" w:eastAsia="Times New Roman" w:hAnsi="Calibri" w:cs="Times New Roman"/>
          <w:sz w:val="24"/>
        </w:rPr>
        <w:t xml:space="preserve">. </w:t>
      </w:r>
      <w:r w:rsidRPr="00272BF4">
        <w:rPr>
          <w:rFonts w:ascii="Times New Roman" w:eastAsia="Times New Roman" w:hAnsi="Times New Roman" w:cs="Times New Roman"/>
          <w:sz w:val="24"/>
          <w:szCs w:val="24"/>
        </w:rPr>
        <w:t xml:space="preserve">Не проводились измерения оксида углерода в апреле, мае и июне, ароматических углеводородов - с апреля по сентябрь. </w:t>
      </w:r>
    </w:p>
    <w:p w:rsidR="00272BF4" w:rsidRPr="00272BF4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Концентрации взвешенных веществ.</w:t>
      </w:r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Среднемесячная концентрация за март составила 1,1 </w:t>
      </w:r>
      <w:proofErr w:type="spell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</w:t>
      </w:r>
      <w:proofErr w:type="gram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spellEnd"/>
      <w:proofErr w:type="gramEnd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остальные месяцы средние значения за месяц были ниже санитарной нормы. В январе, феврале, мае, июне, июле и сентябре уровень загрязнения воздуха пылью квалифицируется как низкий, в марте, апреле и августе как повышенный (НП  - 10 %, 4 % и 1,9 % соответственно). </w:t>
      </w:r>
    </w:p>
    <w:p w:rsidR="00272BF4" w:rsidRPr="00272BF4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272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диоксида серы и оксида углерода.</w:t>
      </w:r>
      <w:r w:rsidRPr="00272BF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Уровень загрязнения</w:t>
      </w:r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воздуха данными примесями характеризуется как низкий: средние за месяц и разовые концентрации не превышали санитарных норм.</w:t>
      </w:r>
    </w:p>
    <w:p w:rsidR="00272BF4" w:rsidRPr="00272BF4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диоксида азота.</w:t>
      </w:r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Среднемесячные концентрации изменялись в диапазоне 0,6 - 1,1 </w:t>
      </w:r>
      <w:proofErr w:type="spell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ПДКс.с</w:t>
      </w:r>
      <w:proofErr w:type="spellEnd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(январь). Максимальные концентрации из </w:t>
      </w:r>
      <w:proofErr w:type="gram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разовых</w:t>
      </w:r>
      <w:proofErr w:type="gramEnd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превышали </w:t>
      </w:r>
      <w:proofErr w:type="spellStart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ПДКм.р</w:t>
      </w:r>
      <w:proofErr w:type="spellEnd"/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1,5 раз (январь) и в 1,3 раза (июль). Повышенный уровень загрязнения воздуха диоксидом азота был в январе (НП - 2,5 %). Степень загрязнения воздуха с февраля по сентябрь оценивается как низкая. </w:t>
      </w:r>
    </w:p>
    <w:p w:rsidR="00272BF4" w:rsidRPr="00272BF4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72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Концентрации специфических примесей.</w:t>
      </w:r>
      <w:r w:rsidRPr="00272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272BF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Уровень загрязнения воздуха бензолом, ксилолами, толуолом и этилбензолом в первом квартале </w:t>
      </w:r>
      <w:smartTag w:uri="urn:schemas-microsoft-com:office:smarttags" w:element="metricconverter">
        <w:smartTagPr>
          <w:attr w:name="ProductID" w:val="2015 г"/>
        </w:smartTagPr>
        <w:r w:rsidRPr="00272BF4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ar-SA"/>
          </w:rPr>
          <w:t>2015 г</w:t>
        </w:r>
      </w:smartTag>
      <w:r w:rsidRPr="00272BF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квалифицируется как низкий</w:t>
      </w:r>
      <w:r w:rsidRPr="00272BF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: средние и разовые концентрации не превышали установленных норм. </w:t>
      </w:r>
    </w:p>
    <w:p w:rsidR="00272BF4" w:rsidRPr="00272BF4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BF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наблюдений за содержанием тяжелых металлов с января по август свидетельствуют о присутствии их в воздухе города.</w:t>
      </w:r>
    </w:p>
    <w:p w:rsidR="00272BF4" w:rsidRPr="00710375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0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Характеристики загрязнения атмосферного воздуха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103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2BF4" w:rsidRPr="00085F2C" w:rsidRDefault="00272BF4" w:rsidP="00272BF4">
      <w:pPr>
        <w:tabs>
          <w:tab w:val="left" w:pos="384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375">
        <w:rPr>
          <w:rFonts w:ascii="Times New Roman" w:eastAsia="Times New Roman" w:hAnsi="Times New Roman" w:cs="Times New Roman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lang w:eastAsia="ar-SA"/>
        </w:rPr>
        <w:t>7</w:t>
      </w:r>
    </w:p>
    <w:tbl>
      <w:tblPr>
        <w:tblW w:w="9251" w:type="dxa"/>
        <w:jc w:val="center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131"/>
        <w:gridCol w:w="767"/>
        <w:gridCol w:w="767"/>
        <w:gridCol w:w="771"/>
        <w:gridCol w:w="768"/>
        <w:gridCol w:w="636"/>
        <w:gridCol w:w="636"/>
        <w:gridCol w:w="636"/>
        <w:gridCol w:w="636"/>
        <w:gridCol w:w="636"/>
      </w:tblGrid>
      <w:tr w:rsidR="00272BF4" w:rsidRPr="00272BF4" w:rsidTr="00272BF4">
        <w:trPr>
          <w:jc w:val="center"/>
        </w:trPr>
        <w:tc>
          <w:tcPr>
            <w:tcW w:w="1867" w:type="dxa"/>
            <w:vMerge w:val="restart"/>
            <w:vAlign w:val="center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Загрязняющее вещество</w:t>
            </w:r>
          </w:p>
        </w:tc>
        <w:tc>
          <w:tcPr>
            <w:tcW w:w="1131" w:type="dxa"/>
            <w:vMerge w:val="restart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253" w:type="dxa"/>
            <w:gridSpan w:val="9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  <w:vAlign w:val="center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67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7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68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6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636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36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36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36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  <w:vAlign w:val="center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Концентрация, в долях ПДК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 w:val="restart"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 w:val="restart"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shd w:val="clear" w:color="auto" w:fill="auto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36" w:type="dxa"/>
            <w:shd w:val="clear" w:color="auto" w:fill="auto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 w:val="restart"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 w:val="restart"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  <w:vAlign w:val="center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 w:val="restart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  <w:vMerge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Ксилолы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2BF4" w:rsidRPr="00272BF4" w:rsidTr="00272BF4">
        <w:trPr>
          <w:jc w:val="center"/>
        </w:trPr>
        <w:tc>
          <w:tcPr>
            <w:tcW w:w="1867" w:type="dxa"/>
          </w:tcPr>
          <w:p w:rsidR="00272BF4" w:rsidRPr="00272BF4" w:rsidRDefault="00272BF4" w:rsidP="0027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131" w:type="dxa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End"/>
            <w:r w:rsidRPr="00272B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7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1" w:type="dxa"/>
            <w:vAlign w:val="bottom"/>
          </w:tcPr>
          <w:p w:rsidR="00272BF4" w:rsidRPr="00272BF4" w:rsidRDefault="00272BF4" w:rsidP="00272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8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72BF4" w:rsidRPr="00272BF4" w:rsidRDefault="00272BF4" w:rsidP="0027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72BF4" w:rsidRPr="00272BF4" w:rsidRDefault="00272BF4" w:rsidP="00272B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7417" w:rsidRPr="00EA7417" w:rsidRDefault="00EA7417" w:rsidP="00EA74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Радиационная обстановка </w:t>
      </w:r>
    </w:p>
    <w:p w:rsidR="00EA7417" w:rsidRPr="00EA7417" w:rsidRDefault="00EA7417" w:rsidP="00EA741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A7417" w:rsidRPr="00EA7417" w:rsidRDefault="00EA7417" w:rsidP="00EA741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  обеспечения радиационной безопасности. </w:t>
      </w:r>
      <w:proofErr w:type="gramEnd"/>
    </w:p>
    <w:p w:rsidR="00EA7417" w:rsidRPr="00EA7417" w:rsidRDefault="00EA7417" w:rsidP="00EA7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На территории Ленинградской области функционирует информационно-измерительная сеть автоматизированной системы контроля радиационной обстановки (АСКРО) Ленинградской области в целях анализа  полученных данных и  оперативного информирования населения региона.</w:t>
      </w:r>
    </w:p>
    <w:p w:rsidR="00EA7417" w:rsidRPr="00EA7417" w:rsidRDefault="00EA7417" w:rsidP="00EA7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В настоящее время информационная сеть АСКРО Ленинградской области состоит из 17-ти стационарных постов контроля мощности эквивалентной дозы (МЭД), один из </w:t>
      </w: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которых снабжен автоматическим метеорологическим постом; двух  информационно-управляющих центров (ИУЦ), расположенным в Комитете по природным ресурсам Ленинградской области и ФГБУ «Северо-Западное управление по гидрометеорологии и мониторингу окружающей  среды». Посты контроля (ПК) МЭД расположены на территории области в основном в 120-километровой зоне от Ленинградской АЭС, в районе расположения 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радиационно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  измерение МЭД в диапазоне от 10 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мкР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/ч (0,1 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мкЗв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/ч) до 50 </w:t>
      </w:r>
      <w:proofErr w:type="gram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/ч (0,5 Зв/ч) и блоками, обеспечивающими накопление данных и передачу их по запросу из центра. </w:t>
      </w:r>
    </w:p>
    <w:p w:rsidR="00EA7417" w:rsidRPr="00EA7417" w:rsidRDefault="00EA7417" w:rsidP="00EA7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За девять месяцев 2015 года на постах контроля информационной сети АСКРО проведено более 40000 измерений МЭД, согласно результатам измерений радиационный фон находился в пределах 0,05-0,29 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мкЗв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/ч, что соответствует многолетним среднегодовым естественным значениям.          </w:t>
      </w:r>
    </w:p>
    <w:p w:rsidR="00EA7417" w:rsidRPr="00EA7417" w:rsidRDefault="00EA7417" w:rsidP="00EA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За отчетный период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  в Ленинградской области.  Комплекс мер по функционированию региональной системы государственного учета и контроля РВ и РАО реализует по поручению комитета по природным ресурсам Ленинградской области ОАО «Радиевый институт имени В.Г. </w:t>
      </w:r>
      <w:proofErr w:type="spellStart"/>
      <w:r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Хлопина</w:t>
      </w:r>
      <w:proofErr w:type="spellEnd"/>
      <w:r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>» Государственной корпорации по атомной энергии «</w:t>
      </w:r>
      <w:proofErr w:type="spellStart"/>
      <w:r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В течение января-сентября осуществлялся непрерывный мониторинг состояния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радионуклидных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источников, используемых предприятиями на территории Ленинградской области. Данные оперативной отчетности передавались  в Центральный информационно-аналитический центр (ЦИАЦ) в установленные сроки. Случаев утери, хищения, несанкционированного использования РВ и РАО не зарегистрировано.</w:t>
      </w:r>
    </w:p>
    <w:p w:rsidR="00EA7417" w:rsidRPr="00EA7417" w:rsidRDefault="00EA7417" w:rsidP="00EA7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Основные 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радиационно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опасные объекты Ленинградской области расположены на территории города Сосновый Бор. К их числу относятся: Ленинградская АЭС, Ленинградское отделение филиала «Северо-Западный территориальный округ» ФГУП «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РосРАО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НИТИ имени </w:t>
      </w:r>
      <w:proofErr w:type="spellStart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А.П.Александрова</w:t>
      </w:r>
      <w:proofErr w:type="spellEnd"/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Контроль радиационной обстановки на территории перечисленных предприятий, а также на прилегающей территории (в зоне наблюдения) осуществляется специализированными лабораториями, имеющими соответствующие лицензии и аккредитации. </w:t>
      </w:r>
    </w:p>
    <w:p w:rsidR="00EA7417" w:rsidRPr="00EA7417" w:rsidRDefault="00EA7417" w:rsidP="00EA7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Радиационная обстановка в январе-сентябре 2015 года на территории Ленинградской области в целом оставалась стабильной.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 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Таким образом, 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EA7417" w:rsidRPr="00EA7417" w:rsidRDefault="00EA7417" w:rsidP="00EA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A7417" w:rsidRPr="00EA7417" w:rsidRDefault="00EA7417" w:rsidP="00EA74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об исполнении органами местного самоуправления </w:t>
      </w:r>
      <w:r w:rsidRPr="00EA741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полномочий в сфере обращения с отходами </w:t>
      </w:r>
    </w:p>
    <w:p w:rsidR="00EA7417" w:rsidRPr="00EA7417" w:rsidRDefault="00EA7417" w:rsidP="00EA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417" w:rsidRPr="00EA7417" w:rsidRDefault="00C906C0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EA7417" w:rsidRPr="00EA74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7417"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>тоги мониторинга обращения с твердыми коммунальными отходами населения (далее – ТКО) в муниципальных образованиях Ленинградской области во втором  квартале 2015 года, а также с</w:t>
      </w:r>
      <w:r w:rsidR="00EA7417" w:rsidRPr="00EA7417">
        <w:rPr>
          <w:rFonts w:ascii="Times New Roman" w:eastAsia="Times New Roman" w:hAnsi="Times New Roman" w:cs="Times New Roman"/>
          <w:sz w:val="24"/>
          <w:szCs w:val="24"/>
        </w:rPr>
        <w:t>ведения об обращении с отходами в первом полугодии 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EA7417" w:rsidRPr="00EA74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7417" w:rsidRPr="00EA7417" w:rsidRDefault="00EA7417" w:rsidP="00EA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Средние нормы образования твердых коммунальных отходов населения в сравнении с первым кварталом 2015 года не изменились и составили для благоустроенного жилого фонда - 1,49 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/чел. (во втором квартале 2014 года – 1,47 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/чел.), для неблагоустроенного - 1,57 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/чел. (норматив в течение года не изменился). </w:t>
      </w:r>
      <w:proofErr w:type="gramEnd"/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2. Средний тариф на утилизацию ТКО для населения во втором квартале 2015 года составил: 2,71 руб./м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для жителей благоустроенного фонда и 2,73 руб./м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 для жителей неблагоустроенного фонда (во втором квартале 2014 года – 2,51 руб./м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и 2,55 руб./м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соответственно). Средний рост тарифа для населения составил 7 % за год. 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Количество поселений, в которых тариф установлен исходя из числа жителей (руб./чел.), а не занимаемой площади (руб./м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>), не изменилось в сравнении с предыдущим кварталом и составило 12 поселений. Средний тариф во втором квартале 2015 года составил 49,31 руб./чел. (во втором квартале 2014 года – 44,57 руб./чел., рост за год составил 10,6 %).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В целом по области тарифы для населения обеспечивали покрытие расходов на утилизацию ТКО.</w:t>
      </w:r>
    </w:p>
    <w:p w:rsidR="00EA7417" w:rsidRPr="00EA7417" w:rsidRDefault="00EA7417" w:rsidP="00EA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3. Общий объем образования ТКО в Ленинградской области за второй</w:t>
      </w:r>
      <w:r w:rsidRPr="00EA7417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Pr="00EA7417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2015 года составил 758,2 тыс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(за второй квартал 2014 года - 724,6</w:t>
      </w:r>
      <w:r w:rsidRPr="00EA7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тыс.м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, объемы образования ТКО выросли на 4,6 %). Превышение фактического объема образования отходов населения над нормативным составило 97,5 тыс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, что сопоставимо с данными второго квартала 2014 года (94,2  тыс.м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7417" w:rsidRPr="00EA7417" w:rsidRDefault="00EA7417" w:rsidP="00EA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Как и в предыдущие отчетные периоды, валовые показатели образования муниципальных ТКО области определяют три муниципальных района - Всеволожский, Выборгский, Гатчинский (более 50 % от всего объема образующихся ТБО). </w:t>
      </w:r>
    </w:p>
    <w:p w:rsidR="00EA7417" w:rsidRPr="00EA7417" w:rsidRDefault="00EA7417" w:rsidP="00EA74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4. Ситуация с размещением твердых коммунальных отходов во втором квартале 2015 года не изменилась. Для размещения ТКО населения используются 15 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Бокситогорском (ООО «Благоустройство»,  два объекта),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Волосовском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(ООО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Профспецтранс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(ОАО «Управляющая компания по обращению с отходами в Ленинградской области»), Всеволожском (два объекта - ООО «Полигон ТБО», ЗАО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Промотходы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»), Выборгском (ООО «РАСЭМ»), Гатчинском (ООО «Новый Свет-Эко»),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Кингисеппском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(ОАО «Управляющая компания по обращению с отходами в Ленинградской области»),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Киришском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(ООО «Лель-Эко»),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Лужском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(ООО «Авто-Беркут»), Приозерском (ОАО «Управляющая компания по обращению с отходами в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области»),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Сланцевском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(ОАО «Управляющая компания по обращению с отходами в Ленинградской области»), Тихвинском (ОАО «Чистый город»),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Тосненском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(ООО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Спецавтотранс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>») районах.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17">
        <w:rPr>
          <w:rFonts w:ascii="Times New Roman" w:eastAsia="Calibri" w:hAnsi="Times New Roman" w:cs="Times New Roman"/>
          <w:sz w:val="24"/>
          <w:szCs w:val="24"/>
        </w:rPr>
        <w:t>В 2015 году в ГРОРО включен в качестве объекта хранения отходов ООО «РАСЭМ» в Выборгском районе (приказ Федеральной службы по надзору в сфере природопользования от 18.02.2015 № 133).</w:t>
      </w:r>
    </w:p>
    <w:p w:rsidR="00EA7417" w:rsidRPr="00EA7417" w:rsidRDefault="00EA7417" w:rsidP="00EA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Фактически оборудованные лицензированные объекты размещения отходов отсутствуют в Кировском,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Лодейнопольском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, Ломоносовском,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Подпорожском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районах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и Сосновоборском городском округе.</w:t>
      </w:r>
    </w:p>
    <w:p w:rsidR="00EA7417" w:rsidRPr="00EA7417" w:rsidRDefault="00EA7417" w:rsidP="00EA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Отходы поселений Ломоносовского района размещались на полигонах ОАО «Управляющая компания по обращению с отходами в Ленинградской области» 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Волосовском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 (56 %), ООО «Новый Свет-Эко» в Гатчинском районе (30,8 %) и а также Санкт-Петербургском ГУП «Завод МПБО-2» (4,8 %).  Два поселения не указали объект размещения отходов. </w:t>
      </w:r>
    </w:p>
    <w:p w:rsidR="00EA7417" w:rsidRPr="00EA7417" w:rsidRDefault="00EA7417" w:rsidP="00EA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Отходы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Сосновоборского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были размещены на полигонах СПб ГУП «Завод МПБО-2» (62 %), ОАО «Управляющая компания по обращению с отходами в Ленинградской области» 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Кингисеппском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 (6,7 %) 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Профспецтранс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Волосовском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 (1,5 %).</w:t>
      </w:r>
    </w:p>
    <w:p w:rsidR="00EA7417" w:rsidRPr="00EA7417" w:rsidRDefault="00EA7417" w:rsidP="00EA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Подпорожском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 отходы размещали на объекте ЗАО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Важинский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гравийно-щебеночный завод», предназначенном для рекультивации. Для размещения отходов в Кировском районе использовалась временная площадка на 5 км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Мгинского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шоссе (эксплуатирующая организация ООО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Грюнбург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»). 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Лодейнопольском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 отходы размещали на объекте ООО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Спецтранс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», обладавшем лицензией до декабря 2013 года. Необходимо отметить, 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наличие на территории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района лицензированного полигона ОАО «Управляющая компания по обращению с отходами в Ленинградской области», четыре поселения данного района продолжают размещать отходы на объектах, не предназначенных для этой цели, объем размещенных таким образом отходов составляет 15 % от общего объема образующихся 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 отходов. </w:t>
      </w:r>
    </w:p>
    <w:p w:rsidR="00EA7417" w:rsidRPr="00EA7417" w:rsidRDefault="00EA7417" w:rsidP="00EA7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Всего на не имеющих разрешительной документации объектах во втором квартале 2015 года размещено порядка 75,2 тыс.</w:t>
      </w:r>
      <w:r w:rsidRPr="00EA741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ТБО, что значительно меньше аналогичного показателя за второй квартал 2014 года (110 тыс.</w:t>
      </w:r>
      <w:r w:rsidRPr="00EA741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) и обусловлено вводом в эксплуатацию полигона ОАО «Управляющая компания по обращению с отходами в Ленинградской области» в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районе. </w:t>
      </w:r>
      <w:proofErr w:type="gramEnd"/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 В разрезе Ленинградской области суммарные затраты на утилизацию муниципальных твердых бытовых отходов обеспечены платежами населения, 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бюджет утилизации муниципальных ТБО незначительно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профицитный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. Общие платежи в сфере оборота муниципальных ТБО составили 302,5 млн. руб. (во втором квартале 2014 года – 260,3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Start"/>
      <w:r w:rsidRPr="00EA741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A741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Общеобластной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профицит бюджета в сфере обращения с отходами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(платежи населения превышают выплаты организациям за транспортировку и размещение отходов)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итогам второго квартала 2015 года составляет 11,8 млн. рублей.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территорий.</w:t>
      </w:r>
    </w:p>
    <w:p w:rsidR="00EA7417" w:rsidRPr="00EA7417" w:rsidRDefault="00EA7417" w:rsidP="00EA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6. Общий объем затрат местных бюджетов на ликвидацию несанкционированных свалок во втором квартале 2015 года составил порядка 16,9 млн. рублей (во втором квартале 2014 года – 18,2  млн. руб.). По данным отчетности за второй квартал 2015 года ликвидированы 241 свалка общим объемом около 15 тыс. 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отходов.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ab/>
        <w:t>Наибольший объем несанкционированных свалок ликвидирован на территории Всеволожского района - 9,04 тыс. 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A7417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Средневзвешенный тариф на транспортирование  отходов вырос на 4,7 % и составил 341,6 руб./м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(в предыдущем квартале 326  руб./м</w:t>
      </w:r>
      <w:r w:rsidRPr="00EA74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.). Тарифы на транспортирование отходов, как и ранее, существенно варьируют в разрезе муниципальных поселений.</w:t>
      </w:r>
      <w:r w:rsidRPr="00EA74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>Число организаций-транспортировщиков отходов населения составило 109. Наибольший объем перевозок осуществлен ООО «РАСЭМ», ООО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Всеволожскспецтранс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>», МП «Жилищное хозяйство», ООО «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ЭкоРос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>», ОАО «Чистый город», МКП «Спецавтобаза-Гатчина» (около 35%  всего объема твердых коммунальных отходов).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8. Тарифы на захоронение (размещение) ТКО регулируются Комитетом по тарифам и ценовой политике Ленинградской области (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ЛенРТК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). На 2015 год утверждены тарифы для всех лицензированных объектов размещения отходов, а также для двух нелицензированных объектов (ООО «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Грюнбург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площадка на 5 км 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Мгинского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шоссе в Кировском районе </w:t>
      </w:r>
      <w:proofErr w:type="gram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и ООО</w:t>
      </w:r>
      <w:proofErr w:type="gram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Спецтранс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в 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Лодейнопольском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районе).  Согласно приказам 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ЛенРТК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увеличение тарифов предусматривается в 2015 году однократно с 01 июля, соответственно, в течение второго квартала 2015 года не произошло увеличения тарифов на размещение отходов. В предыдущие годы среднее увеличение тарифов в течение года составляло от 4 до 15 %.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Тарифы на размещение отходов в весовых показателях утверждены в настоящее время для следующих объектов: полигоны ОАО «Управляющая компания по обращению с отходами в Ленинградской области», ООО «Авто-Беркут», ООО «</w:t>
      </w:r>
      <w:proofErr w:type="gram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Новый</w:t>
      </w:r>
      <w:proofErr w:type="gram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Свет-Эко», а также ООО «</w:t>
      </w:r>
      <w:proofErr w:type="spellStart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Грюнбург</w:t>
      </w:r>
      <w:proofErr w:type="spellEnd"/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Средний тариф на размещение отходов для организаций, принимающих отходы по объему, на первое полугодие 2015 года составил 101,4 руб./м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. Тарифы для разных организаций различаются почти в 3 раза: от 58,73 руб./м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полигоне ООО «Благоустройство» вблизи г. Пикалево до 144,41 руб./м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полигоне ООО «РАСЭМ» Выборгский район. 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Средний тариф для организаций, осуществляющих весовой учет отходов, составил 611,31 руб./тонна при разбросе значений от 357,07 руб./тонна (ООО «Новый Свет-Эко») до 818,05 руб./тонна (полигон г. Сланцы ОАО «Управляющая компания по обращению с отходами в Ленинградской области»).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9. Средневзвешенная себестоимость утилизации одного кубометра ТКО по области составила 375,86 руб./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</w:rPr>
        <w:t>м</w:t>
      </w:r>
      <w:r w:rsidRPr="00EA741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>3</w:t>
      </w:r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. Наибольшая себестоимость отмечается в поселениях Всеволожского, Выборгского,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районов и </w:t>
      </w:r>
      <w:proofErr w:type="spellStart"/>
      <w:r w:rsidRPr="00EA7417">
        <w:rPr>
          <w:rFonts w:ascii="Times New Roman" w:eastAsia="Times New Roman" w:hAnsi="Times New Roman" w:cs="Times New Roman"/>
          <w:sz w:val="24"/>
          <w:szCs w:val="24"/>
        </w:rPr>
        <w:t>Сосновоборского</w:t>
      </w:r>
      <w:proofErr w:type="spellEnd"/>
      <w:r w:rsidRPr="00EA741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Доля стоимости размещения отходов в общих затратах, как и ранее, составляет от 26 % до 37 % для разных поселений. 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17">
        <w:rPr>
          <w:rFonts w:ascii="Times New Roman" w:eastAsia="Times New Roman" w:hAnsi="Times New Roman" w:cs="Times New Roman"/>
          <w:sz w:val="24"/>
          <w:szCs w:val="24"/>
        </w:rPr>
        <w:t>Сведения об обращении с отходами в первом полугодии 2015 года представлены в таблице.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36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140"/>
        <w:gridCol w:w="1275"/>
        <w:gridCol w:w="1134"/>
        <w:gridCol w:w="1276"/>
        <w:gridCol w:w="1134"/>
        <w:gridCol w:w="1276"/>
        <w:gridCol w:w="1134"/>
      </w:tblGrid>
      <w:tr w:rsidR="00EA7417" w:rsidRPr="00EA7417" w:rsidTr="00EA7417">
        <w:trPr>
          <w:trHeight w:val="677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ТБО, тыс</w:t>
            </w:r>
            <w:proofErr w:type="gram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Выплаты за транспортирование и размещение отходов, </w:t>
            </w: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млн</w:t>
            </w:r>
            <w:proofErr w:type="gram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Размещено на </w:t>
            </w: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несанкц</w:t>
            </w:r>
            <w:proofErr w:type="spellEnd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объектах, тыс</w:t>
            </w:r>
            <w:proofErr w:type="gram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A8F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17" w:rsidRPr="00EA7417" w:rsidRDefault="00EA7417" w:rsidP="0006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A8F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17" w:rsidRPr="00EA7417" w:rsidRDefault="00EA7417" w:rsidP="0006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8F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17" w:rsidRPr="00EA7417" w:rsidRDefault="00EA7417" w:rsidP="0006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2,5*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1,9*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7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417" w:rsidRPr="00EA7417" w:rsidTr="00EA7417">
        <w:trPr>
          <w:trHeight w:val="2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417" w:rsidRPr="00EA7417" w:rsidRDefault="00EA7417" w:rsidP="00EA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75,2</w:t>
            </w:r>
          </w:p>
        </w:tc>
      </w:tr>
    </w:tbl>
    <w:p w:rsidR="00EA7417" w:rsidRPr="00EA7417" w:rsidRDefault="00EA7417" w:rsidP="00EA741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7417">
        <w:rPr>
          <w:rFonts w:ascii="Times New Roman" w:eastAsia="Times New Roman" w:hAnsi="Times New Roman" w:cs="Times New Roman"/>
          <w:sz w:val="20"/>
          <w:szCs w:val="20"/>
        </w:rPr>
        <w:t>* Данные об объекте размещения отходов не предоставлены</w:t>
      </w:r>
    </w:p>
    <w:p w:rsidR="00EA7417" w:rsidRPr="00EA7417" w:rsidRDefault="00EA7417" w:rsidP="00EA7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BF4" w:rsidRDefault="00272BF4" w:rsidP="008E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BF4" w:rsidRDefault="00272BF4" w:rsidP="008E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BF4" w:rsidRDefault="00272BF4" w:rsidP="008E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72B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8F" w:rsidRDefault="00061A8F" w:rsidP="00061A8F">
      <w:pPr>
        <w:spacing w:after="0" w:line="240" w:lineRule="auto"/>
      </w:pPr>
      <w:r>
        <w:separator/>
      </w:r>
    </w:p>
  </w:endnote>
  <w:endnote w:type="continuationSeparator" w:id="0">
    <w:p w:rsidR="00061A8F" w:rsidRDefault="00061A8F" w:rsidP="000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8F" w:rsidRDefault="00061A8F" w:rsidP="00061A8F">
      <w:pPr>
        <w:spacing w:after="0" w:line="240" w:lineRule="auto"/>
      </w:pPr>
      <w:r>
        <w:separator/>
      </w:r>
    </w:p>
  </w:footnote>
  <w:footnote w:type="continuationSeparator" w:id="0">
    <w:p w:rsidR="00061A8F" w:rsidRDefault="00061A8F" w:rsidP="0006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22287"/>
      <w:docPartObj>
        <w:docPartGallery w:val="Page Numbers (Top of Page)"/>
        <w:docPartUnique/>
      </w:docPartObj>
    </w:sdtPr>
    <w:sdtEndPr/>
    <w:sdtContent>
      <w:p w:rsidR="00061A8F" w:rsidRDefault="00061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E7">
          <w:rPr>
            <w:noProof/>
          </w:rPr>
          <w:t>11</w:t>
        </w:r>
        <w:r>
          <w:fldChar w:fldCharType="end"/>
        </w:r>
      </w:p>
    </w:sdtContent>
  </w:sdt>
  <w:p w:rsidR="00061A8F" w:rsidRDefault="00061A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29DC"/>
    <w:multiLevelType w:val="hybridMultilevel"/>
    <w:tmpl w:val="6C0CA87C"/>
    <w:lvl w:ilvl="0" w:tplc="A55C52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32E2B"/>
    <w:multiLevelType w:val="hybridMultilevel"/>
    <w:tmpl w:val="36A81C3E"/>
    <w:lvl w:ilvl="0" w:tplc="5742DF5A">
      <w:start w:val="3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C"/>
    <w:rsid w:val="00061A8F"/>
    <w:rsid w:val="00085F2C"/>
    <w:rsid w:val="000B5F6B"/>
    <w:rsid w:val="001154E7"/>
    <w:rsid w:val="001B746A"/>
    <w:rsid w:val="001E75EC"/>
    <w:rsid w:val="00272BF4"/>
    <w:rsid w:val="003629B4"/>
    <w:rsid w:val="003A2326"/>
    <w:rsid w:val="00442027"/>
    <w:rsid w:val="004F5621"/>
    <w:rsid w:val="005C31B6"/>
    <w:rsid w:val="006719DC"/>
    <w:rsid w:val="00673953"/>
    <w:rsid w:val="006E22D0"/>
    <w:rsid w:val="00710375"/>
    <w:rsid w:val="007E6D2F"/>
    <w:rsid w:val="008E30C4"/>
    <w:rsid w:val="009072B8"/>
    <w:rsid w:val="00A92BE2"/>
    <w:rsid w:val="00B33915"/>
    <w:rsid w:val="00C249EE"/>
    <w:rsid w:val="00C33ADC"/>
    <w:rsid w:val="00C906C0"/>
    <w:rsid w:val="00CE319E"/>
    <w:rsid w:val="00D02482"/>
    <w:rsid w:val="00D07092"/>
    <w:rsid w:val="00D614FC"/>
    <w:rsid w:val="00DE1B96"/>
    <w:rsid w:val="00E138BB"/>
    <w:rsid w:val="00E907B1"/>
    <w:rsid w:val="00EA7417"/>
    <w:rsid w:val="00ED4DBE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9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719DC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6719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19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1B74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B746A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2 Знак Знак"/>
    <w:basedOn w:val="a"/>
    <w:rsid w:val="001B74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1B7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EA74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A8F"/>
  </w:style>
  <w:style w:type="paragraph" w:styleId="aa">
    <w:name w:val="footer"/>
    <w:basedOn w:val="a"/>
    <w:link w:val="ab"/>
    <w:uiPriority w:val="99"/>
    <w:unhideWhenUsed/>
    <w:rsid w:val="0006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A8F"/>
  </w:style>
  <w:style w:type="paragraph" w:styleId="ac">
    <w:name w:val="Balloon Text"/>
    <w:basedOn w:val="a"/>
    <w:link w:val="ad"/>
    <w:uiPriority w:val="99"/>
    <w:semiHidden/>
    <w:unhideWhenUsed/>
    <w:rsid w:val="00C9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9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719DC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6719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19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1B74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B746A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2 Знак Знак"/>
    <w:basedOn w:val="a"/>
    <w:rsid w:val="001B74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1B7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"/>
    <w:uiPriority w:val="34"/>
    <w:qFormat/>
    <w:rsid w:val="00EA741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A8F"/>
  </w:style>
  <w:style w:type="paragraph" w:styleId="aa">
    <w:name w:val="footer"/>
    <w:basedOn w:val="a"/>
    <w:link w:val="ab"/>
    <w:uiPriority w:val="99"/>
    <w:unhideWhenUsed/>
    <w:rsid w:val="0006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A8F"/>
  </w:style>
  <w:style w:type="paragraph" w:styleId="ac">
    <w:name w:val="Balloon Text"/>
    <w:basedOn w:val="a"/>
    <w:link w:val="ad"/>
    <w:uiPriority w:val="99"/>
    <w:semiHidden/>
    <w:unhideWhenUsed/>
    <w:rsid w:val="00C9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403C-8A19-40B0-B623-F2A8007C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5267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Калетюк</dc:creator>
  <cp:lastModifiedBy>EEEEE</cp:lastModifiedBy>
  <cp:revision>5</cp:revision>
  <cp:lastPrinted>2015-10-22T10:36:00Z</cp:lastPrinted>
  <dcterms:created xsi:type="dcterms:W3CDTF">2015-11-02T11:08:00Z</dcterms:created>
  <dcterms:modified xsi:type="dcterms:W3CDTF">2015-11-02T11:09:00Z</dcterms:modified>
</cp:coreProperties>
</file>